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3EE2" w14:textId="1D41463B" w:rsidR="00B022E6" w:rsidRDefault="00877057">
      <w:pPr>
        <w:tabs>
          <w:tab w:val="left" w:pos="504"/>
        </w:tabs>
        <w:ind w:left="0" w:hanging="2"/>
        <w:rPr>
          <w:b/>
          <w:sz w:val="22"/>
          <w:szCs w:val="22"/>
        </w:rPr>
      </w:pPr>
      <w:r>
        <w:rPr>
          <w:b/>
          <w:sz w:val="22"/>
          <w:szCs w:val="22"/>
        </w:rPr>
        <w:t>Carbon Storage screening in continental Europe</w:t>
      </w:r>
    </w:p>
    <w:p w14:paraId="295B4B21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sz w:val="22"/>
          <w:szCs w:val="22"/>
        </w:rPr>
      </w:pPr>
    </w:p>
    <w:p w14:paraId="2E5E0176" w14:textId="77777777" w:rsidR="00B022E6" w:rsidRDefault="00E21BD1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Introduction</w:t>
      </w:r>
      <w:bookmarkStart w:id="0" w:name="bookmark=id.gjdgxs" w:colFirst="0" w:colLast="0"/>
      <w:bookmarkEnd w:id="0"/>
    </w:p>
    <w:p w14:paraId="676AE8DA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76F1E864" w14:textId="19D4CED2" w:rsidR="00B022E6" w:rsidRDefault="00F14C1F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bookmarkStart w:id="1" w:name="bookmark=id.30j0zll" w:colFirst="0" w:colLast="0"/>
      <w:bookmarkEnd w:id="1"/>
      <w:r>
        <w:rPr>
          <w:color w:val="000000"/>
          <w:sz w:val="22"/>
          <w:szCs w:val="22"/>
        </w:rPr>
        <w:t>C</w:t>
      </w:r>
      <w:r w:rsidR="00C246E6" w:rsidRPr="00C246E6">
        <w:rPr>
          <w:color w:val="000000"/>
          <w:sz w:val="22"/>
          <w:szCs w:val="22"/>
        </w:rPr>
        <w:t xml:space="preserve">arbon sequestration has a vital role to play in a global net zero emissions future. </w:t>
      </w:r>
      <w:r w:rsidR="00EB76E3">
        <w:rPr>
          <w:color w:val="000000"/>
          <w:sz w:val="22"/>
          <w:szCs w:val="22"/>
        </w:rPr>
        <w:t>In the EU, the Net-Zero Industry Act</w:t>
      </w:r>
      <w:r w:rsidR="005F7B26">
        <w:rPr>
          <w:color w:val="000000"/>
          <w:sz w:val="22"/>
          <w:szCs w:val="22"/>
        </w:rPr>
        <w:t xml:space="preserve"> (NZIA)</w:t>
      </w:r>
      <w:r w:rsidR="00EB76E3">
        <w:rPr>
          <w:color w:val="000000"/>
          <w:sz w:val="22"/>
          <w:szCs w:val="22"/>
        </w:rPr>
        <w:t xml:space="preserve"> has set ambitious decarbonization targets for 2030 </w:t>
      </w:r>
      <w:r w:rsidR="00D26084">
        <w:rPr>
          <w:color w:val="000000"/>
          <w:sz w:val="22"/>
          <w:szCs w:val="22"/>
        </w:rPr>
        <w:t xml:space="preserve">which further </w:t>
      </w:r>
      <w:r w:rsidR="00EB76E3">
        <w:rPr>
          <w:color w:val="000000"/>
          <w:sz w:val="22"/>
          <w:szCs w:val="22"/>
        </w:rPr>
        <w:t xml:space="preserve">emphasizes the need for </w:t>
      </w:r>
      <w:r w:rsidR="00916CB5">
        <w:rPr>
          <w:color w:val="000000"/>
          <w:sz w:val="22"/>
          <w:szCs w:val="22"/>
        </w:rPr>
        <w:t>Carbon Capture and Storage (CCS)</w:t>
      </w:r>
      <w:r w:rsidR="00EB76E3">
        <w:rPr>
          <w:color w:val="000000"/>
          <w:sz w:val="22"/>
          <w:szCs w:val="22"/>
        </w:rPr>
        <w:t xml:space="preserve">. </w:t>
      </w:r>
      <w:r w:rsidR="00C246E6" w:rsidRPr="00C246E6">
        <w:rPr>
          <w:color w:val="000000"/>
          <w:sz w:val="22"/>
          <w:szCs w:val="22"/>
        </w:rPr>
        <w:t>Geological CO</w:t>
      </w:r>
      <w:r w:rsidR="00C246E6" w:rsidRPr="00C246E6">
        <w:rPr>
          <w:color w:val="000000"/>
          <w:sz w:val="22"/>
          <w:szCs w:val="22"/>
          <w:vertAlign w:val="subscript"/>
        </w:rPr>
        <w:t>2</w:t>
      </w:r>
      <w:r w:rsidR="00C246E6" w:rsidRPr="00C246E6">
        <w:rPr>
          <w:color w:val="000000"/>
          <w:sz w:val="22"/>
          <w:szCs w:val="22"/>
        </w:rPr>
        <w:t xml:space="preserve"> storage is seen as the ultimate </w:t>
      </w:r>
      <w:r>
        <w:rPr>
          <w:color w:val="000000"/>
          <w:sz w:val="22"/>
          <w:szCs w:val="22"/>
        </w:rPr>
        <w:t xml:space="preserve">endpoint </w:t>
      </w:r>
      <w:r w:rsidR="00C246E6" w:rsidRPr="00C246E6">
        <w:rPr>
          <w:color w:val="000000"/>
          <w:sz w:val="22"/>
          <w:szCs w:val="22"/>
        </w:rPr>
        <w:t xml:space="preserve">of CCS (Ma et al. 2022), therefore thorough screening and assessment of the subsurface is a foundational </w:t>
      </w:r>
      <w:r>
        <w:rPr>
          <w:color w:val="000000"/>
          <w:sz w:val="22"/>
          <w:szCs w:val="22"/>
        </w:rPr>
        <w:t>aspect</w:t>
      </w:r>
      <w:r w:rsidR="00C246E6" w:rsidRPr="00C246E6">
        <w:rPr>
          <w:color w:val="000000"/>
          <w:sz w:val="22"/>
          <w:szCs w:val="22"/>
        </w:rPr>
        <w:t xml:space="preserve"> of a successful CCS project.</w:t>
      </w:r>
      <w:r w:rsidR="00EB76E3">
        <w:rPr>
          <w:color w:val="000000"/>
          <w:sz w:val="22"/>
          <w:szCs w:val="22"/>
        </w:rPr>
        <w:t xml:space="preserve"> </w:t>
      </w:r>
      <w:r w:rsidR="00916CB5">
        <w:rPr>
          <w:color w:val="000000"/>
          <w:sz w:val="22"/>
          <w:szCs w:val="22"/>
        </w:rPr>
        <w:t>In continental Europe, a</w:t>
      </w:r>
      <w:r w:rsidR="00EB76E3">
        <w:rPr>
          <w:color w:val="000000"/>
          <w:sz w:val="22"/>
          <w:szCs w:val="22"/>
        </w:rPr>
        <w:t>way from the maturing North Sea storage hubs, industrial CO</w:t>
      </w:r>
      <w:r w:rsidR="00EB76E3" w:rsidRPr="00D26084">
        <w:rPr>
          <w:color w:val="000000"/>
          <w:sz w:val="22"/>
          <w:szCs w:val="22"/>
          <w:vertAlign w:val="subscript"/>
        </w:rPr>
        <w:t>2</w:t>
      </w:r>
      <w:r w:rsidR="00EB76E3">
        <w:rPr>
          <w:color w:val="000000"/>
          <w:sz w:val="22"/>
          <w:szCs w:val="22"/>
        </w:rPr>
        <w:t xml:space="preserve"> emitters </w:t>
      </w:r>
      <w:r w:rsidR="00916CB5">
        <w:rPr>
          <w:color w:val="000000"/>
          <w:sz w:val="22"/>
          <w:szCs w:val="22"/>
        </w:rPr>
        <w:t>are faced with a dilemma about where the captured CO</w:t>
      </w:r>
      <w:r w:rsidR="00916CB5" w:rsidRPr="00D26084">
        <w:rPr>
          <w:color w:val="000000"/>
          <w:sz w:val="22"/>
          <w:szCs w:val="22"/>
          <w:vertAlign w:val="subscript"/>
        </w:rPr>
        <w:t>2</w:t>
      </w:r>
      <w:r w:rsidR="00916CB5">
        <w:rPr>
          <w:color w:val="000000"/>
          <w:sz w:val="22"/>
          <w:szCs w:val="22"/>
        </w:rPr>
        <w:t xml:space="preserve"> should be stored: </w:t>
      </w:r>
      <w:r w:rsidR="00B206F5">
        <w:rPr>
          <w:color w:val="000000"/>
          <w:sz w:val="22"/>
          <w:szCs w:val="22"/>
        </w:rPr>
        <w:t>I</w:t>
      </w:r>
      <w:r w:rsidR="00916CB5">
        <w:rPr>
          <w:color w:val="000000"/>
          <w:sz w:val="22"/>
          <w:szCs w:val="22"/>
        </w:rPr>
        <w:t>s it more efficient and cost-effective to transport the CO</w:t>
      </w:r>
      <w:r w:rsidR="00916CB5" w:rsidRPr="00D26084">
        <w:rPr>
          <w:color w:val="000000"/>
          <w:sz w:val="22"/>
          <w:szCs w:val="22"/>
          <w:vertAlign w:val="subscript"/>
        </w:rPr>
        <w:t>2</w:t>
      </w:r>
      <w:r w:rsidR="00916CB5">
        <w:rPr>
          <w:color w:val="000000"/>
          <w:sz w:val="22"/>
          <w:szCs w:val="22"/>
        </w:rPr>
        <w:t xml:space="preserve"> over long distances for storage at one of the North Sea hubs</w:t>
      </w:r>
      <w:r w:rsidR="00B206F5">
        <w:rPr>
          <w:color w:val="000000"/>
          <w:sz w:val="22"/>
          <w:szCs w:val="22"/>
        </w:rPr>
        <w:t>?</w:t>
      </w:r>
      <w:r w:rsidR="00916CB5">
        <w:rPr>
          <w:color w:val="000000"/>
          <w:sz w:val="22"/>
          <w:szCs w:val="22"/>
        </w:rPr>
        <w:t xml:space="preserve"> </w:t>
      </w:r>
      <w:r w:rsidR="00B206F5">
        <w:rPr>
          <w:color w:val="000000"/>
          <w:sz w:val="22"/>
          <w:szCs w:val="22"/>
        </w:rPr>
        <w:t>O</w:t>
      </w:r>
      <w:r w:rsidR="00916CB5">
        <w:rPr>
          <w:color w:val="000000"/>
          <w:sz w:val="22"/>
          <w:szCs w:val="22"/>
        </w:rPr>
        <w:t>r is there a competitive local solution</w:t>
      </w:r>
      <w:r w:rsidR="00D26084">
        <w:rPr>
          <w:color w:val="000000"/>
          <w:sz w:val="22"/>
          <w:szCs w:val="22"/>
        </w:rPr>
        <w:t>?</w:t>
      </w:r>
      <w:r w:rsidR="00916CB5">
        <w:rPr>
          <w:color w:val="000000"/>
          <w:sz w:val="22"/>
          <w:szCs w:val="22"/>
        </w:rPr>
        <w:t xml:space="preserve"> Countries in mainland Europe are putting legislation in place to support and regulate onshore storage of CO</w:t>
      </w:r>
      <w:r w:rsidR="00916CB5" w:rsidRPr="00D26084">
        <w:rPr>
          <w:color w:val="000000"/>
          <w:sz w:val="22"/>
          <w:szCs w:val="22"/>
          <w:vertAlign w:val="subscript"/>
        </w:rPr>
        <w:t>2</w:t>
      </w:r>
      <w:r w:rsidR="00916CB5">
        <w:rPr>
          <w:color w:val="000000"/>
          <w:sz w:val="22"/>
          <w:szCs w:val="22"/>
        </w:rPr>
        <w:t>, hence enabling the local storage solution.</w:t>
      </w:r>
    </w:p>
    <w:p w14:paraId="754A0163" w14:textId="77777777" w:rsidR="00C246E6" w:rsidRDefault="00C246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D388071" w14:textId="05A4B8E5" w:rsidR="00B206F5" w:rsidRDefault="00D07226" w:rsidP="00B206F5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D07226">
        <w:rPr>
          <w:color w:val="000000"/>
          <w:sz w:val="22"/>
          <w:szCs w:val="22"/>
        </w:rPr>
        <w:t>Viridien’s carbon storage screening studies have been utilized globally to help screen at both the regional and basin scale, including South</w:t>
      </w:r>
      <w:r w:rsidR="00916CB5">
        <w:rPr>
          <w:color w:val="000000"/>
          <w:sz w:val="22"/>
          <w:szCs w:val="22"/>
        </w:rPr>
        <w:t>-</w:t>
      </w:r>
      <w:r w:rsidRPr="00D07226">
        <w:rPr>
          <w:color w:val="000000"/>
          <w:sz w:val="22"/>
          <w:szCs w:val="22"/>
        </w:rPr>
        <w:t>East Asia (Shepherd et al. 2024) and more recently over continental Europe.</w:t>
      </w:r>
      <w:r w:rsidR="00D26084">
        <w:rPr>
          <w:color w:val="000000"/>
          <w:sz w:val="22"/>
          <w:szCs w:val="22"/>
        </w:rPr>
        <w:t xml:space="preserve"> </w:t>
      </w:r>
      <w:r w:rsidR="00B206F5" w:rsidRPr="00D07226">
        <w:rPr>
          <w:color w:val="000000"/>
          <w:sz w:val="22"/>
          <w:szCs w:val="22"/>
        </w:rPr>
        <w:t xml:space="preserve">To assess areas for their carbon storage suitability, these screening workflows rely mainly on a rich legacy digital geological database, built on decades of fieldwork, studies, data collection and transformation. </w:t>
      </w:r>
      <w:r w:rsidR="00B206F5">
        <w:rPr>
          <w:color w:val="000000"/>
          <w:sz w:val="22"/>
          <w:szCs w:val="22"/>
        </w:rPr>
        <w:t xml:space="preserve">This database </w:t>
      </w:r>
      <w:r w:rsidR="00F14C1F">
        <w:rPr>
          <w:color w:val="000000"/>
          <w:sz w:val="22"/>
          <w:szCs w:val="22"/>
        </w:rPr>
        <w:t>facilitates cross-border screening</w:t>
      </w:r>
      <w:r w:rsidR="00B206F5">
        <w:rPr>
          <w:color w:val="000000"/>
          <w:sz w:val="22"/>
          <w:szCs w:val="22"/>
        </w:rPr>
        <w:t xml:space="preserve">, </w:t>
      </w:r>
      <w:r w:rsidR="00F14C1F">
        <w:rPr>
          <w:color w:val="000000"/>
          <w:sz w:val="22"/>
          <w:szCs w:val="22"/>
        </w:rPr>
        <w:t xml:space="preserve">limiting any inconsistency arising from country-specific data </w:t>
      </w:r>
      <w:r w:rsidR="00905D14">
        <w:rPr>
          <w:color w:val="000000"/>
          <w:sz w:val="22"/>
          <w:szCs w:val="22"/>
        </w:rPr>
        <w:t xml:space="preserve">methods, formats and data vintages. </w:t>
      </w:r>
      <w:r w:rsidR="00B206F5" w:rsidRPr="00D07226">
        <w:rPr>
          <w:color w:val="000000"/>
          <w:sz w:val="22"/>
          <w:szCs w:val="22"/>
        </w:rPr>
        <w:t>Use of th</w:t>
      </w:r>
      <w:r w:rsidR="00905D14">
        <w:rPr>
          <w:color w:val="000000"/>
          <w:sz w:val="22"/>
          <w:szCs w:val="22"/>
        </w:rPr>
        <w:t>is consistent</w:t>
      </w:r>
      <w:r w:rsidR="00B206F5" w:rsidRPr="00D07226">
        <w:rPr>
          <w:color w:val="000000"/>
          <w:sz w:val="22"/>
          <w:szCs w:val="22"/>
        </w:rPr>
        <w:t xml:space="preserve"> database to create screening studies ensures they contain the </w:t>
      </w:r>
      <w:r w:rsidR="00905D14">
        <w:rPr>
          <w:color w:val="000000"/>
          <w:sz w:val="22"/>
          <w:szCs w:val="22"/>
        </w:rPr>
        <w:t>quality-controlled</w:t>
      </w:r>
      <w:r w:rsidR="00B206F5" w:rsidRPr="00D07226">
        <w:rPr>
          <w:color w:val="000000"/>
          <w:sz w:val="22"/>
          <w:szCs w:val="22"/>
        </w:rPr>
        <w:t xml:space="preserve"> data</w:t>
      </w:r>
      <w:r w:rsidR="00905D14">
        <w:rPr>
          <w:color w:val="000000"/>
          <w:sz w:val="22"/>
          <w:szCs w:val="22"/>
        </w:rPr>
        <w:t xml:space="preserve"> and </w:t>
      </w:r>
      <w:r w:rsidR="00B206F5" w:rsidRPr="00D07226">
        <w:rPr>
          <w:color w:val="000000"/>
          <w:sz w:val="22"/>
          <w:szCs w:val="22"/>
        </w:rPr>
        <w:t xml:space="preserve">significantly reduces the time taken by </w:t>
      </w:r>
      <w:r w:rsidR="00B206F5">
        <w:rPr>
          <w:color w:val="000000"/>
          <w:sz w:val="22"/>
          <w:szCs w:val="22"/>
        </w:rPr>
        <w:t>optimizing</w:t>
      </w:r>
      <w:r w:rsidR="00B206F5" w:rsidRPr="00D07226">
        <w:rPr>
          <w:color w:val="000000"/>
          <w:sz w:val="22"/>
          <w:szCs w:val="22"/>
        </w:rPr>
        <w:t xml:space="preserve"> data harvesting and allow</w:t>
      </w:r>
      <w:r w:rsidR="00905D14">
        <w:rPr>
          <w:color w:val="000000"/>
          <w:sz w:val="22"/>
          <w:szCs w:val="22"/>
        </w:rPr>
        <w:t>ing direct</w:t>
      </w:r>
      <w:r w:rsidR="00B206F5" w:rsidRPr="00D07226">
        <w:rPr>
          <w:color w:val="000000"/>
          <w:sz w:val="22"/>
          <w:szCs w:val="22"/>
        </w:rPr>
        <w:t xml:space="preserve"> focus on key factors. </w:t>
      </w:r>
      <w:r w:rsidR="00B206F5">
        <w:rPr>
          <w:color w:val="000000"/>
          <w:sz w:val="22"/>
          <w:szCs w:val="22"/>
        </w:rPr>
        <w:t>Th</w:t>
      </w:r>
      <w:r w:rsidR="00905D14">
        <w:rPr>
          <w:color w:val="000000"/>
          <w:sz w:val="22"/>
          <w:szCs w:val="22"/>
        </w:rPr>
        <w:t>e</w:t>
      </w:r>
      <w:r w:rsidR="00B206F5">
        <w:rPr>
          <w:color w:val="000000"/>
          <w:sz w:val="22"/>
          <w:szCs w:val="22"/>
        </w:rPr>
        <w:t xml:space="preserve"> approach</w:t>
      </w:r>
      <w:r w:rsidR="00905D14">
        <w:rPr>
          <w:color w:val="000000"/>
          <w:sz w:val="22"/>
          <w:szCs w:val="22"/>
        </w:rPr>
        <w:t xml:space="preserve"> presented here</w:t>
      </w:r>
      <w:r w:rsidR="00B206F5">
        <w:rPr>
          <w:color w:val="000000"/>
          <w:sz w:val="22"/>
          <w:szCs w:val="22"/>
        </w:rPr>
        <w:t xml:space="preserve"> a</w:t>
      </w:r>
      <w:r w:rsidR="00B206F5" w:rsidRPr="00D07226">
        <w:rPr>
          <w:color w:val="000000"/>
          <w:sz w:val="22"/>
          <w:szCs w:val="22"/>
        </w:rPr>
        <w:t>im</w:t>
      </w:r>
      <w:r w:rsidR="00B206F5">
        <w:rPr>
          <w:color w:val="000000"/>
          <w:sz w:val="22"/>
          <w:szCs w:val="22"/>
        </w:rPr>
        <w:t>s</w:t>
      </w:r>
      <w:r w:rsidR="00B206F5" w:rsidRPr="00D07226">
        <w:rPr>
          <w:color w:val="000000"/>
          <w:sz w:val="22"/>
          <w:szCs w:val="22"/>
        </w:rPr>
        <w:t xml:space="preserve"> to provide </w:t>
      </w:r>
      <w:r w:rsidR="00905D14">
        <w:rPr>
          <w:color w:val="000000"/>
          <w:sz w:val="22"/>
          <w:szCs w:val="22"/>
        </w:rPr>
        <w:t xml:space="preserve">a single </w:t>
      </w:r>
      <w:r w:rsidR="00B206F5" w:rsidRPr="00D07226">
        <w:rPr>
          <w:color w:val="000000"/>
          <w:sz w:val="22"/>
          <w:szCs w:val="22"/>
        </w:rPr>
        <w:t>workflow across the basins of continental Europe</w:t>
      </w:r>
      <w:r w:rsidR="00905D14">
        <w:rPr>
          <w:color w:val="000000"/>
          <w:sz w:val="22"/>
          <w:szCs w:val="22"/>
        </w:rPr>
        <w:t xml:space="preserve"> to identify and map</w:t>
      </w:r>
      <w:r w:rsidR="00B206F5" w:rsidRPr="00D07226">
        <w:rPr>
          <w:color w:val="000000"/>
          <w:sz w:val="22"/>
          <w:szCs w:val="22"/>
        </w:rPr>
        <w:t xml:space="preserve"> the best aquifer </w:t>
      </w:r>
      <w:r w:rsidR="00905D14">
        <w:rPr>
          <w:color w:val="000000"/>
          <w:sz w:val="22"/>
          <w:szCs w:val="22"/>
        </w:rPr>
        <w:t>stores</w:t>
      </w:r>
      <w:r w:rsidR="00B206F5" w:rsidRPr="00D07226">
        <w:rPr>
          <w:color w:val="000000"/>
          <w:sz w:val="22"/>
          <w:szCs w:val="22"/>
        </w:rPr>
        <w:t>.</w:t>
      </w:r>
    </w:p>
    <w:p w14:paraId="1BFA8E10" w14:textId="77777777" w:rsidR="00D07226" w:rsidRDefault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4EB038F5" w14:textId="78D1E9D6" w:rsidR="00D07226" w:rsidRDefault="008C035D" w:rsidP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From regional to local scale</w:t>
      </w:r>
    </w:p>
    <w:p w14:paraId="5985DFED" w14:textId="77777777" w:rsidR="00D07226" w:rsidRDefault="00D07226" w:rsidP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sz w:val="22"/>
          <w:szCs w:val="22"/>
        </w:rPr>
      </w:pPr>
    </w:p>
    <w:p w14:paraId="242891B6" w14:textId="3C32E6F4" w:rsidR="00285F78" w:rsidRDefault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bookmarkStart w:id="2" w:name="bookmark=id.1fob9te" w:colFirst="0" w:colLast="0"/>
      <w:bookmarkEnd w:id="2"/>
      <w:r>
        <w:rPr>
          <w:color w:val="000000"/>
          <w:sz w:val="22"/>
          <w:szCs w:val="22"/>
        </w:rPr>
        <w:t xml:space="preserve">Using </w:t>
      </w:r>
      <w:r w:rsidR="00285F78">
        <w:rPr>
          <w:color w:val="000000"/>
          <w:sz w:val="22"/>
          <w:szCs w:val="22"/>
        </w:rPr>
        <w:t xml:space="preserve">the geological data from the </w:t>
      </w:r>
      <w:r>
        <w:rPr>
          <w:color w:val="000000"/>
          <w:sz w:val="22"/>
          <w:szCs w:val="22"/>
        </w:rPr>
        <w:t xml:space="preserve">database </w:t>
      </w:r>
      <w:r w:rsidR="00285F78">
        <w:rPr>
          <w:color w:val="000000"/>
          <w:sz w:val="22"/>
          <w:szCs w:val="22"/>
        </w:rPr>
        <w:t xml:space="preserve">together with </w:t>
      </w:r>
      <w:r>
        <w:rPr>
          <w:color w:val="000000"/>
          <w:sz w:val="22"/>
          <w:szCs w:val="22"/>
        </w:rPr>
        <w:t xml:space="preserve">the latest public domain information, </w:t>
      </w:r>
      <w:r w:rsidR="00D07226" w:rsidRPr="00D07226">
        <w:rPr>
          <w:color w:val="000000"/>
          <w:sz w:val="22"/>
          <w:szCs w:val="22"/>
        </w:rPr>
        <w:t>a series of regional filters</w:t>
      </w:r>
      <w:r>
        <w:rPr>
          <w:color w:val="000000"/>
          <w:sz w:val="22"/>
          <w:szCs w:val="22"/>
        </w:rPr>
        <w:t xml:space="preserve"> were applied</w:t>
      </w:r>
      <w:r w:rsidR="00D07226" w:rsidRPr="00D07226">
        <w:rPr>
          <w:color w:val="000000"/>
          <w:sz w:val="22"/>
          <w:szCs w:val="22"/>
        </w:rPr>
        <w:t>, including water depth, seismicity and sediment thickness</w:t>
      </w:r>
      <w:r>
        <w:rPr>
          <w:color w:val="000000"/>
          <w:sz w:val="22"/>
          <w:szCs w:val="22"/>
        </w:rPr>
        <w:t xml:space="preserve">. </w:t>
      </w:r>
    </w:p>
    <w:p w14:paraId="72E8D2BB" w14:textId="77777777" w:rsidR="00285F78" w:rsidRDefault="00285F78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F29E1F9" w14:textId="716873B5" w:rsidR="00285F78" w:rsidRDefault="00285F78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4F2BDFB0" wp14:editId="6131435E">
            <wp:extent cx="5192395" cy="3053715"/>
            <wp:effectExtent l="0" t="0" r="8255" b="0"/>
            <wp:docPr id="1776912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305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2F894" w14:textId="77777777" w:rsidR="00285F78" w:rsidRDefault="00285F78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6FC4C96" w14:textId="77777777" w:rsidR="00285F78" w:rsidRDefault="00285F78" w:rsidP="00285F78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Figure 1</w:t>
      </w:r>
      <w:r>
        <w:rPr>
          <w:i/>
          <w:color w:val="000000"/>
          <w:sz w:val="22"/>
          <w:szCs w:val="22"/>
        </w:rPr>
        <w:t xml:space="preserve"> Basin-sectors across continental Europe assessed in the study. Sectors are divided by country, onshore/shelf and sediment thickness &gt;1000m. </w:t>
      </w:r>
    </w:p>
    <w:p w14:paraId="67A25C23" w14:textId="77777777" w:rsidR="00285F78" w:rsidRDefault="00285F78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40E3E131" w14:textId="1168EC5C" w:rsidR="00B022E6" w:rsidRDefault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Following those initial filters, b</w:t>
      </w:r>
      <w:r w:rsidR="00D07226" w:rsidRPr="00D07226">
        <w:rPr>
          <w:color w:val="000000"/>
          <w:sz w:val="22"/>
          <w:szCs w:val="22"/>
        </w:rPr>
        <w:t>asin-sectors were</w:t>
      </w:r>
      <w:r>
        <w:rPr>
          <w:color w:val="000000"/>
          <w:sz w:val="22"/>
          <w:szCs w:val="22"/>
        </w:rPr>
        <w:t xml:space="preserve"> defined and</w:t>
      </w:r>
      <w:r w:rsidR="00D07226" w:rsidRPr="00D07226">
        <w:rPr>
          <w:color w:val="000000"/>
          <w:sz w:val="22"/>
          <w:szCs w:val="22"/>
        </w:rPr>
        <w:t xml:space="preserve"> scored on a range of parameters important for carbon storage (Bachu 2003) including area</w:t>
      </w:r>
      <w:r w:rsidR="00D26084">
        <w:rPr>
          <w:color w:val="000000"/>
          <w:sz w:val="22"/>
          <w:szCs w:val="22"/>
        </w:rPr>
        <w:t>l extent</w:t>
      </w:r>
      <w:r w:rsidR="00D07226" w:rsidRPr="00D07226">
        <w:rPr>
          <w:color w:val="000000"/>
          <w:sz w:val="22"/>
          <w:szCs w:val="22"/>
        </w:rPr>
        <w:t xml:space="preserve">, leakage potential, geothermal regime, geological knowledge, </w:t>
      </w:r>
      <w:r w:rsidR="00D26084" w:rsidRPr="00D07226">
        <w:rPr>
          <w:color w:val="000000"/>
          <w:sz w:val="22"/>
          <w:szCs w:val="22"/>
        </w:rPr>
        <w:t>a</w:t>
      </w:r>
      <w:r w:rsidR="00D26084">
        <w:rPr>
          <w:color w:val="000000"/>
          <w:sz w:val="22"/>
          <w:szCs w:val="22"/>
        </w:rPr>
        <w:t>s well as</w:t>
      </w:r>
      <w:r w:rsidR="00D26084" w:rsidRPr="00D07226">
        <w:rPr>
          <w:color w:val="000000"/>
          <w:sz w:val="22"/>
          <w:szCs w:val="22"/>
        </w:rPr>
        <w:t xml:space="preserve"> </w:t>
      </w:r>
      <w:r w:rsidR="00D07226" w:rsidRPr="00D07226">
        <w:rPr>
          <w:color w:val="000000"/>
          <w:sz w:val="22"/>
          <w:szCs w:val="22"/>
        </w:rPr>
        <w:t>surface accessibility factors such as environmental restrictions, population density, distance to ports, road networks and emissions sites. A simple weighted scoring and ranking enables the best basin-sectors to pass through to a subsurface play analysis.</w:t>
      </w:r>
      <w:r w:rsidR="003B3136">
        <w:rPr>
          <w:color w:val="000000"/>
          <w:sz w:val="22"/>
          <w:szCs w:val="22"/>
        </w:rPr>
        <w:t xml:space="preserve"> </w:t>
      </w:r>
      <w:r w:rsidR="00D26084">
        <w:rPr>
          <w:color w:val="000000"/>
          <w:sz w:val="22"/>
          <w:szCs w:val="22"/>
        </w:rPr>
        <w:t>Here</w:t>
      </w:r>
      <w:r w:rsidR="00FF124D">
        <w:rPr>
          <w:color w:val="000000"/>
          <w:sz w:val="22"/>
          <w:szCs w:val="22"/>
        </w:rPr>
        <w:t>,</w:t>
      </w:r>
      <w:r w:rsidR="003B3136">
        <w:rPr>
          <w:color w:val="000000"/>
          <w:sz w:val="22"/>
          <w:szCs w:val="22"/>
        </w:rPr>
        <w:t xml:space="preserve"> we define a play (or aquifer store) as </w:t>
      </w:r>
      <w:r w:rsidR="00FF124D">
        <w:rPr>
          <w:color w:val="000000"/>
          <w:sz w:val="22"/>
          <w:szCs w:val="22"/>
        </w:rPr>
        <w:t>a reservoir rock coupled with cap rock (or top seal) present over the larger part of a sedimentary basin.</w:t>
      </w:r>
    </w:p>
    <w:p w14:paraId="1C0B1CB2" w14:textId="77777777" w:rsidR="00E711AC" w:rsidRDefault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0AD46D9" w14:textId="77777777" w:rsidR="00E711AC" w:rsidRDefault="00E711AC" w:rsidP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sz w:val="22"/>
          <w:szCs w:val="22"/>
        </w:rPr>
      </w:pPr>
      <w:r w:rsidRPr="00D07226">
        <w:rPr>
          <w:sz w:val="22"/>
          <w:szCs w:val="22"/>
        </w:rPr>
        <w:t xml:space="preserve">For the selected basin-sectors, potential aquifer intervals were identified, and then each of these was </w:t>
      </w:r>
      <w:r>
        <w:rPr>
          <w:sz w:val="22"/>
          <w:szCs w:val="22"/>
        </w:rPr>
        <w:t xml:space="preserve">assessed and scored </w:t>
      </w:r>
      <w:r w:rsidRPr="00D07226">
        <w:rPr>
          <w:sz w:val="22"/>
          <w:szCs w:val="22"/>
        </w:rPr>
        <w:t>on lithology, reservoir facies, depth, area, reservoir properties and seal thickness, using internally developed cut-offs and scores.</w:t>
      </w:r>
    </w:p>
    <w:p w14:paraId="0283C149" w14:textId="77777777" w:rsidR="00E711AC" w:rsidRDefault="00E711AC" w:rsidP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271B1325" w14:textId="4AC9D81B" w:rsidR="00E711AC" w:rsidRDefault="00E711AC" w:rsidP="00E711AC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final s</w:t>
      </w:r>
      <w:r w:rsidRPr="00D07226">
        <w:rPr>
          <w:color w:val="000000"/>
          <w:sz w:val="22"/>
          <w:szCs w:val="22"/>
        </w:rPr>
        <w:t>creening outputs can identify subsurface aquifers with storage potential, and this can be used to rank emissions sites in a portfolio for CCUS investment, or to focus in on an individual emission location to narrow down the potential areas for further investigation.</w:t>
      </w:r>
      <w:r w:rsidR="005C38A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This workflow will be illustrated by analysis of a selected emissions site.</w:t>
      </w:r>
    </w:p>
    <w:p w14:paraId="3672DF80" w14:textId="77777777" w:rsidR="00D07226" w:rsidRDefault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54CB1CF7" w14:textId="4AE026EA" w:rsidR="00D07226" w:rsidRDefault="008C035D" w:rsidP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Screening </w:t>
      </w:r>
      <w:r w:rsidR="003B586B">
        <w:rPr>
          <w:b/>
          <w:color w:val="000000"/>
          <w:sz w:val="22"/>
          <w:szCs w:val="22"/>
        </w:rPr>
        <w:t>for local storage opportunities</w:t>
      </w:r>
    </w:p>
    <w:p w14:paraId="5963629E" w14:textId="77777777" w:rsidR="00D07226" w:rsidRDefault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31B2FF5" w14:textId="71A2CAEA" w:rsidR="00D07226" w:rsidRDefault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D07226">
        <w:rPr>
          <w:color w:val="000000"/>
          <w:sz w:val="22"/>
          <w:szCs w:val="22"/>
        </w:rPr>
        <w:t>Once an area with potential for storage has been identified</w:t>
      </w:r>
      <w:r w:rsidR="003B586B">
        <w:rPr>
          <w:color w:val="000000"/>
          <w:sz w:val="22"/>
          <w:szCs w:val="22"/>
        </w:rPr>
        <w:t xml:space="preserve"> or a capture site is pushed to look for local a nearby storage solution (e.g</w:t>
      </w:r>
      <w:r w:rsidR="00E528FC">
        <w:rPr>
          <w:color w:val="000000"/>
          <w:sz w:val="22"/>
          <w:szCs w:val="22"/>
        </w:rPr>
        <w:t>.</w:t>
      </w:r>
      <w:r w:rsidR="003B586B">
        <w:rPr>
          <w:color w:val="000000"/>
          <w:sz w:val="22"/>
          <w:szCs w:val="22"/>
        </w:rPr>
        <w:t xml:space="preserve"> within a radius of 20-40km)</w:t>
      </w:r>
      <w:r w:rsidRPr="00D07226">
        <w:rPr>
          <w:color w:val="000000"/>
          <w:sz w:val="22"/>
          <w:szCs w:val="22"/>
        </w:rPr>
        <w:t>, the next step usually requires subsurface data (seismic</w:t>
      </w:r>
      <w:r w:rsidR="003B586B">
        <w:rPr>
          <w:color w:val="000000"/>
          <w:sz w:val="22"/>
          <w:szCs w:val="22"/>
        </w:rPr>
        <w:t xml:space="preserve"> and</w:t>
      </w:r>
      <w:r w:rsidRPr="00D07226">
        <w:rPr>
          <w:color w:val="000000"/>
          <w:sz w:val="22"/>
          <w:szCs w:val="22"/>
        </w:rPr>
        <w:t xml:space="preserve"> well data) </w:t>
      </w:r>
      <w:r w:rsidR="003B586B">
        <w:rPr>
          <w:color w:val="000000"/>
          <w:sz w:val="22"/>
          <w:szCs w:val="22"/>
        </w:rPr>
        <w:t>to refine the subsurface analysis and delineate an area for potential storage license application</w:t>
      </w:r>
      <w:r w:rsidRPr="00D07226">
        <w:rPr>
          <w:color w:val="000000"/>
          <w:sz w:val="22"/>
          <w:szCs w:val="22"/>
        </w:rPr>
        <w:t xml:space="preserve">.  This example looks at the Bohemian Basin in the Czech Republic, where historic exploration efforts have focused on coal </w:t>
      </w:r>
      <w:r w:rsidR="003B586B">
        <w:rPr>
          <w:color w:val="000000"/>
          <w:sz w:val="22"/>
          <w:szCs w:val="22"/>
        </w:rPr>
        <w:t xml:space="preserve">mining </w:t>
      </w:r>
      <w:r w:rsidRPr="00D07226">
        <w:rPr>
          <w:color w:val="000000"/>
          <w:sz w:val="22"/>
          <w:szCs w:val="22"/>
        </w:rPr>
        <w:t xml:space="preserve">on the basin margins. </w:t>
      </w:r>
      <w:r>
        <w:rPr>
          <w:color w:val="000000"/>
          <w:sz w:val="22"/>
          <w:szCs w:val="22"/>
        </w:rPr>
        <w:t>Interpretation of</w:t>
      </w:r>
      <w:r w:rsidRPr="00D07226">
        <w:rPr>
          <w:color w:val="000000"/>
          <w:sz w:val="22"/>
          <w:szCs w:val="22"/>
        </w:rPr>
        <w:t xml:space="preserve"> well log and sparse 2D seismic data</w:t>
      </w:r>
      <w:r>
        <w:rPr>
          <w:color w:val="000000"/>
          <w:sz w:val="22"/>
          <w:szCs w:val="22"/>
        </w:rPr>
        <w:t xml:space="preserve"> from the CGS</w:t>
      </w:r>
      <w:r w:rsidRPr="00D07226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integrated with information derived from public domain references enabled the construction of </w:t>
      </w:r>
      <w:r w:rsidRPr="00D07226">
        <w:rPr>
          <w:color w:val="000000"/>
          <w:sz w:val="22"/>
          <w:szCs w:val="22"/>
        </w:rPr>
        <w:t>individual property maps for the identified aquifer of interest, comprising</w:t>
      </w:r>
      <w:r>
        <w:rPr>
          <w:color w:val="000000"/>
          <w:sz w:val="22"/>
          <w:szCs w:val="22"/>
        </w:rPr>
        <w:t>:</w:t>
      </w:r>
    </w:p>
    <w:p w14:paraId="18ADDD42" w14:textId="4A53BF16" w:rsidR="00D07226" w:rsidRPr="00EB76E3" w:rsidRDefault="00D07226" w:rsidP="00D07226">
      <w:pPr>
        <w:numPr>
          <w:ilvl w:val="0"/>
          <w:numId w:val="1"/>
        </w:numPr>
        <w:tabs>
          <w:tab w:val="left" w:pos="504"/>
        </w:tabs>
        <w:ind w:left="0" w:hanging="2"/>
        <w:jc w:val="both"/>
        <w:rPr>
          <w:sz w:val="22"/>
          <w:szCs w:val="22"/>
          <w:lang w:val="fr-FR"/>
        </w:rPr>
      </w:pPr>
      <w:r w:rsidRPr="00EB76E3">
        <w:rPr>
          <w:sz w:val="22"/>
          <w:szCs w:val="22"/>
          <w:lang w:val="fr-FR"/>
        </w:rPr>
        <w:t>Aquifer Gross Depositional Environment (GDE)</w:t>
      </w:r>
      <w:r w:rsidR="00A3292C">
        <w:rPr>
          <w:sz w:val="22"/>
          <w:szCs w:val="22"/>
          <w:lang w:val="fr-FR"/>
        </w:rPr>
        <w:t>, lithology</w:t>
      </w:r>
    </w:p>
    <w:p w14:paraId="3355666A" w14:textId="49B37D8A" w:rsidR="00D07226" w:rsidRPr="00D07226" w:rsidRDefault="00D07226" w:rsidP="00D07226">
      <w:pPr>
        <w:numPr>
          <w:ilvl w:val="0"/>
          <w:numId w:val="1"/>
        </w:numPr>
        <w:tabs>
          <w:tab w:val="left" w:pos="504"/>
        </w:tabs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T</w:t>
      </w:r>
      <w:r w:rsidRPr="00D07226">
        <w:rPr>
          <w:sz w:val="22"/>
          <w:szCs w:val="22"/>
        </w:rPr>
        <w:t>op depth-structure</w:t>
      </w:r>
    </w:p>
    <w:p w14:paraId="29A5E909" w14:textId="6C60B3AA" w:rsidR="00D07226" w:rsidRPr="00D07226" w:rsidRDefault="00D07226" w:rsidP="00D07226">
      <w:pPr>
        <w:numPr>
          <w:ilvl w:val="0"/>
          <w:numId w:val="1"/>
        </w:numPr>
        <w:tabs>
          <w:tab w:val="left" w:pos="504"/>
        </w:tabs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Aquifer p</w:t>
      </w:r>
      <w:r w:rsidRPr="00D07226">
        <w:rPr>
          <w:sz w:val="22"/>
          <w:szCs w:val="22"/>
        </w:rPr>
        <w:t>orosity</w:t>
      </w:r>
      <w:r w:rsidR="00A3292C">
        <w:rPr>
          <w:sz w:val="22"/>
          <w:szCs w:val="22"/>
        </w:rPr>
        <w:t>, permeability, net thickness</w:t>
      </w:r>
    </w:p>
    <w:p w14:paraId="371D3825" w14:textId="6F3C43E9" w:rsidR="00D07226" w:rsidRPr="00D07226" w:rsidRDefault="00D07226" w:rsidP="00D07226">
      <w:pPr>
        <w:numPr>
          <w:ilvl w:val="0"/>
          <w:numId w:val="1"/>
        </w:numPr>
        <w:tabs>
          <w:tab w:val="left" w:pos="504"/>
        </w:tabs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Aquifer</w:t>
      </w:r>
      <w:r w:rsidRPr="00D07226">
        <w:rPr>
          <w:sz w:val="22"/>
          <w:szCs w:val="22"/>
        </w:rPr>
        <w:t xml:space="preserve"> temperature</w:t>
      </w:r>
    </w:p>
    <w:p w14:paraId="489296A0" w14:textId="51751764" w:rsidR="00D07226" w:rsidRDefault="00D07226" w:rsidP="00D07226">
      <w:pPr>
        <w:numPr>
          <w:ilvl w:val="0"/>
          <w:numId w:val="1"/>
        </w:numPr>
        <w:tabs>
          <w:tab w:val="left" w:pos="504"/>
        </w:tabs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</w:t>
      </w:r>
      <w:r w:rsidRPr="00D07226">
        <w:rPr>
          <w:color w:val="000000"/>
          <w:sz w:val="22"/>
          <w:szCs w:val="22"/>
        </w:rPr>
        <w:t>eal GDE</w:t>
      </w:r>
      <w:r w:rsidR="00A3292C">
        <w:rPr>
          <w:color w:val="000000"/>
          <w:sz w:val="22"/>
          <w:szCs w:val="22"/>
        </w:rPr>
        <w:t>, lithology</w:t>
      </w:r>
    </w:p>
    <w:p w14:paraId="48B8DD57" w14:textId="419DA24A" w:rsidR="00A3292C" w:rsidRDefault="00D07226" w:rsidP="00D07226">
      <w:pPr>
        <w:numPr>
          <w:ilvl w:val="0"/>
          <w:numId w:val="1"/>
        </w:num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  <w:r w:rsidRPr="00A3292C">
        <w:rPr>
          <w:color w:val="000000"/>
          <w:sz w:val="22"/>
          <w:szCs w:val="22"/>
        </w:rPr>
        <w:t>Seal thickness</w:t>
      </w:r>
    </w:p>
    <w:p w14:paraId="05848082" w14:textId="77777777" w:rsidR="00877057" w:rsidRDefault="00877057" w:rsidP="00D07226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78D034AF" w14:textId="75117445" w:rsidR="00CF0416" w:rsidRDefault="00CF0416" w:rsidP="00D07226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  <w:r w:rsidRPr="00CF0416">
        <w:rPr>
          <w:noProof/>
          <w:color w:val="000000"/>
          <w:sz w:val="22"/>
          <w:szCs w:val="22"/>
        </w:rPr>
        <w:drawing>
          <wp:inline distT="0" distB="0" distL="0" distR="0" wp14:anchorId="39A65E7F" wp14:editId="4200F78A">
            <wp:extent cx="5732145" cy="2460625"/>
            <wp:effectExtent l="0" t="0" r="1905" b="0"/>
            <wp:docPr id="238889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8905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A44F1" w14:textId="77777777" w:rsidR="00CF0416" w:rsidRDefault="00CF0416" w:rsidP="00D07226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68882AB8" w14:textId="2C72B724" w:rsidR="00877057" w:rsidRPr="00877057" w:rsidRDefault="00877057" w:rsidP="00D07226">
      <w:pPr>
        <w:tabs>
          <w:tab w:val="left" w:pos="504"/>
        </w:tabs>
        <w:ind w:leftChars="0" w:left="0" w:firstLineChars="0" w:firstLine="0"/>
        <w:jc w:val="both"/>
        <w:rPr>
          <w:i/>
          <w:iCs/>
          <w:color w:val="000000"/>
          <w:sz w:val="22"/>
          <w:szCs w:val="22"/>
        </w:rPr>
      </w:pPr>
      <w:r w:rsidRPr="00CF0416">
        <w:rPr>
          <w:b/>
          <w:bCs/>
          <w:i/>
          <w:iCs/>
          <w:color w:val="000000"/>
          <w:sz w:val="22"/>
          <w:szCs w:val="22"/>
        </w:rPr>
        <w:t xml:space="preserve">Figure </w:t>
      </w:r>
      <w:r w:rsidR="00CF0416" w:rsidRPr="00CF0416">
        <w:rPr>
          <w:b/>
          <w:bCs/>
          <w:i/>
          <w:iCs/>
          <w:color w:val="000000"/>
          <w:sz w:val="22"/>
          <w:szCs w:val="22"/>
        </w:rPr>
        <w:t>2</w:t>
      </w:r>
      <w:r w:rsidRPr="00877057">
        <w:rPr>
          <w:i/>
          <w:iCs/>
          <w:color w:val="000000"/>
          <w:sz w:val="22"/>
          <w:szCs w:val="22"/>
        </w:rPr>
        <w:t xml:space="preserve"> </w:t>
      </w:r>
      <w:r w:rsidR="00CF0416">
        <w:rPr>
          <w:i/>
          <w:iCs/>
          <w:color w:val="000000"/>
          <w:sz w:val="22"/>
          <w:szCs w:val="22"/>
        </w:rPr>
        <w:t xml:space="preserve">Interpreted </w:t>
      </w:r>
      <w:r w:rsidR="00210C6A">
        <w:rPr>
          <w:i/>
          <w:iCs/>
          <w:color w:val="000000"/>
          <w:sz w:val="22"/>
          <w:szCs w:val="22"/>
        </w:rPr>
        <w:t xml:space="preserve">categories for </w:t>
      </w:r>
      <w:r w:rsidR="00CF0416">
        <w:rPr>
          <w:i/>
          <w:iCs/>
          <w:color w:val="000000"/>
          <w:sz w:val="22"/>
          <w:szCs w:val="22"/>
        </w:rPr>
        <w:t>aquifer permeability</w:t>
      </w:r>
      <w:r w:rsidR="00450B90">
        <w:rPr>
          <w:i/>
          <w:iCs/>
          <w:color w:val="000000"/>
          <w:sz w:val="22"/>
          <w:szCs w:val="22"/>
        </w:rPr>
        <w:t xml:space="preserve"> for part of the Bohemian Basin</w:t>
      </w:r>
      <w:r w:rsidR="00CF0416">
        <w:rPr>
          <w:i/>
          <w:iCs/>
          <w:color w:val="000000"/>
          <w:sz w:val="22"/>
          <w:szCs w:val="22"/>
        </w:rPr>
        <w:t>,</w:t>
      </w:r>
      <w:r w:rsidR="00210C6A">
        <w:rPr>
          <w:i/>
          <w:iCs/>
          <w:color w:val="000000"/>
          <w:sz w:val="22"/>
          <w:szCs w:val="22"/>
        </w:rPr>
        <w:t xml:space="preserve"> showing an increase from red (poor) to green (good) strongly linked to porosity and depth. A</w:t>
      </w:r>
      <w:r w:rsidR="00CF0416">
        <w:rPr>
          <w:i/>
          <w:iCs/>
          <w:color w:val="000000"/>
          <w:sz w:val="22"/>
          <w:szCs w:val="22"/>
        </w:rPr>
        <w:t xml:space="preserve">vailable seismic lines </w:t>
      </w:r>
      <w:r w:rsidR="00210C6A">
        <w:rPr>
          <w:i/>
          <w:iCs/>
          <w:color w:val="000000"/>
          <w:sz w:val="22"/>
          <w:szCs w:val="22"/>
        </w:rPr>
        <w:t>(</w:t>
      </w:r>
      <w:r w:rsidR="00CF0416">
        <w:rPr>
          <w:i/>
          <w:iCs/>
          <w:color w:val="000000"/>
          <w:sz w:val="22"/>
          <w:szCs w:val="22"/>
        </w:rPr>
        <w:t>green)</w:t>
      </w:r>
      <w:r w:rsidR="00210C6A">
        <w:rPr>
          <w:i/>
          <w:iCs/>
          <w:color w:val="000000"/>
          <w:sz w:val="22"/>
          <w:szCs w:val="22"/>
        </w:rPr>
        <w:t xml:space="preserve"> and well data (hexagons)</w:t>
      </w:r>
      <w:r w:rsidRPr="00877057">
        <w:rPr>
          <w:i/>
          <w:iCs/>
          <w:color w:val="000000"/>
          <w:sz w:val="22"/>
          <w:szCs w:val="22"/>
        </w:rPr>
        <w:t>.</w:t>
      </w:r>
    </w:p>
    <w:p w14:paraId="6DE592FF" w14:textId="77777777" w:rsidR="00A3292C" w:rsidRPr="00A3292C" w:rsidRDefault="00A3292C" w:rsidP="00A3292C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  <w:r w:rsidRPr="00A3292C">
        <w:rPr>
          <w:color w:val="000000"/>
          <w:sz w:val="22"/>
          <w:szCs w:val="22"/>
        </w:rPr>
        <w:lastRenderedPageBreak/>
        <w:t>These maps use categories defined by Duval et al. (2022) and Callas et al. (2024) and were then convolved into storage potential maps with associated first-pass capacity estimates.</w:t>
      </w:r>
    </w:p>
    <w:p w14:paraId="6C83964F" w14:textId="77777777" w:rsidR="00877057" w:rsidRDefault="00877057" w:rsidP="00D07226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65B90F9A" w14:textId="1FFA638D" w:rsidR="00877057" w:rsidRDefault="00877057" w:rsidP="00D07226">
      <w:pPr>
        <w:tabs>
          <w:tab w:val="left" w:pos="504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  <w:r w:rsidRPr="00877057">
        <w:rPr>
          <w:color w:val="000000"/>
          <w:sz w:val="22"/>
          <w:szCs w:val="22"/>
        </w:rPr>
        <w:t xml:space="preserve">Note that this workflow focuses on subsurface static parameters, whilst </w:t>
      </w:r>
      <w:r w:rsidR="003B586B">
        <w:rPr>
          <w:color w:val="000000"/>
          <w:sz w:val="22"/>
          <w:szCs w:val="22"/>
        </w:rPr>
        <w:t>the final modelling phase</w:t>
      </w:r>
      <w:r w:rsidR="00E528FC">
        <w:rPr>
          <w:color w:val="000000"/>
          <w:sz w:val="22"/>
          <w:szCs w:val="22"/>
        </w:rPr>
        <w:t xml:space="preserve"> </w:t>
      </w:r>
      <w:r w:rsidRPr="00877057">
        <w:rPr>
          <w:color w:val="000000"/>
          <w:sz w:val="22"/>
          <w:szCs w:val="22"/>
        </w:rPr>
        <w:t>(not presented here) focuses on a preliminary 3D dynamic CO</w:t>
      </w:r>
      <w:r w:rsidRPr="00877057">
        <w:rPr>
          <w:color w:val="000000"/>
          <w:sz w:val="22"/>
          <w:szCs w:val="22"/>
          <w:vertAlign w:val="subscript"/>
        </w:rPr>
        <w:t>2</w:t>
      </w:r>
      <w:r w:rsidRPr="00877057">
        <w:rPr>
          <w:color w:val="000000"/>
          <w:sz w:val="22"/>
          <w:szCs w:val="22"/>
        </w:rPr>
        <w:t xml:space="preserve"> plume model to support a future storage permit application</w:t>
      </w:r>
      <w:r w:rsidR="003B586B">
        <w:rPr>
          <w:color w:val="000000"/>
          <w:sz w:val="22"/>
          <w:szCs w:val="22"/>
        </w:rPr>
        <w:t xml:space="preserve"> and </w:t>
      </w:r>
      <w:r w:rsidR="00E528FC">
        <w:rPr>
          <w:color w:val="000000"/>
          <w:sz w:val="22"/>
          <w:szCs w:val="22"/>
        </w:rPr>
        <w:t>delineate</w:t>
      </w:r>
      <w:r w:rsidR="003B586B">
        <w:rPr>
          <w:color w:val="000000"/>
          <w:sz w:val="22"/>
          <w:szCs w:val="22"/>
        </w:rPr>
        <w:t xml:space="preserve"> its extent.</w:t>
      </w:r>
    </w:p>
    <w:p w14:paraId="567E0EE7" w14:textId="77777777" w:rsidR="00D07226" w:rsidRDefault="00D0722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sz w:val="22"/>
          <w:szCs w:val="22"/>
        </w:rPr>
      </w:pPr>
    </w:p>
    <w:p w14:paraId="2E01D90B" w14:textId="77777777" w:rsidR="00B022E6" w:rsidRDefault="00E21BD1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bookmarkStart w:id="3" w:name="bookmark=id.4d34og8" w:colFirst="0" w:colLast="0"/>
      <w:bookmarkEnd w:id="3"/>
      <w:r>
        <w:rPr>
          <w:b/>
          <w:color w:val="000000"/>
          <w:sz w:val="22"/>
          <w:szCs w:val="22"/>
        </w:rPr>
        <w:t>Conclusions</w:t>
      </w:r>
      <w:bookmarkStart w:id="4" w:name="bookmark=id.2s8eyo1" w:colFirst="0" w:colLast="0"/>
      <w:bookmarkEnd w:id="4"/>
    </w:p>
    <w:p w14:paraId="17F0548A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50B97F55" w14:textId="5C45386B" w:rsidR="00B022E6" w:rsidRDefault="00877057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 w:rsidRPr="00877057">
        <w:rPr>
          <w:color w:val="000000"/>
          <w:sz w:val="22"/>
          <w:szCs w:val="22"/>
        </w:rPr>
        <w:t xml:space="preserve">Screening built on a </w:t>
      </w:r>
      <w:r w:rsidR="0049296A">
        <w:rPr>
          <w:color w:val="000000"/>
          <w:sz w:val="22"/>
          <w:szCs w:val="22"/>
        </w:rPr>
        <w:t xml:space="preserve">rich, </w:t>
      </w:r>
      <w:r w:rsidRPr="00877057">
        <w:rPr>
          <w:color w:val="000000"/>
          <w:sz w:val="22"/>
          <w:szCs w:val="22"/>
        </w:rPr>
        <w:t xml:space="preserve">robust </w:t>
      </w:r>
      <w:r w:rsidR="0049296A">
        <w:rPr>
          <w:color w:val="000000"/>
          <w:sz w:val="22"/>
          <w:szCs w:val="22"/>
        </w:rPr>
        <w:t xml:space="preserve">and globally consistent </w:t>
      </w:r>
      <w:r w:rsidRPr="00877057">
        <w:rPr>
          <w:color w:val="000000"/>
          <w:sz w:val="22"/>
          <w:szCs w:val="22"/>
        </w:rPr>
        <w:t xml:space="preserve">geological database helps quickly focus on the analysis of key storage parameters for rapid and sound business decisions and prioritization of opportunities in a </w:t>
      </w:r>
      <w:r w:rsidR="0049296A">
        <w:rPr>
          <w:color w:val="000000"/>
          <w:sz w:val="22"/>
          <w:szCs w:val="22"/>
        </w:rPr>
        <w:t xml:space="preserve">CCS investment </w:t>
      </w:r>
      <w:r w:rsidRPr="00877057">
        <w:rPr>
          <w:color w:val="000000"/>
          <w:sz w:val="22"/>
          <w:szCs w:val="22"/>
        </w:rPr>
        <w:t>portfolio</w:t>
      </w:r>
      <w:r w:rsidR="005F7B26">
        <w:rPr>
          <w:color w:val="000000"/>
          <w:sz w:val="22"/>
          <w:szCs w:val="22"/>
        </w:rPr>
        <w:t xml:space="preserve"> for storage developers and CO2 emitters</w:t>
      </w:r>
      <w:r w:rsidR="0049296A">
        <w:rPr>
          <w:color w:val="000000"/>
          <w:sz w:val="22"/>
          <w:szCs w:val="22"/>
        </w:rPr>
        <w:t xml:space="preserve">. It enables the </w:t>
      </w:r>
      <w:r w:rsidRPr="00877057">
        <w:rPr>
          <w:color w:val="000000"/>
          <w:sz w:val="22"/>
          <w:szCs w:val="22"/>
        </w:rPr>
        <w:t>identification of areas of high potential for suitable storage sites and aims to support, accelerate and increase CO</w:t>
      </w:r>
      <w:r w:rsidRPr="00E528FC">
        <w:rPr>
          <w:color w:val="000000"/>
          <w:sz w:val="22"/>
          <w:szCs w:val="22"/>
          <w:vertAlign w:val="subscript"/>
        </w:rPr>
        <w:t>2</w:t>
      </w:r>
      <w:r w:rsidRPr="00877057">
        <w:rPr>
          <w:color w:val="000000"/>
          <w:sz w:val="22"/>
          <w:szCs w:val="22"/>
        </w:rPr>
        <w:t xml:space="preserve"> storage permit applications </w:t>
      </w:r>
      <w:r w:rsidR="0049296A">
        <w:rPr>
          <w:color w:val="000000"/>
          <w:sz w:val="22"/>
          <w:szCs w:val="22"/>
        </w:rPr>
        <w:t>in continental Europe and around the world,</w:t>
      </w:r>
      <w:r w:rsidRPr="00877057">
        <w:rPr>
          <w:color w:val="000000"/>
          <w:sz w:val="22"/>
          <w:szCs w:val="22"/>
        </w:rPr>
        <w:t xml:space="preserve"> to ensure CCS project lead times are decreased and that a net-zero 2050 is achieved</w:t>
      </w:r>
      <w:r w:rsidR="005F7B26">
        <w:rPr>
          <w:color w:val="000000"/>
          <w:sz w:val="22"/>
          <w:szCs w:val="22"/>
        </w:rPr>
        <w:t>, including the NZIA 2030 targets.</w:t>
      </w:r>
    </w:p>
    <w:p w14:paraId="03F9A58B" w14:textId="77777777" w:rsidR="00706E09" w:rsidRDefault="00706E09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</w:p>
    <w:p w14:paraId="063750A4" w14:textId="77777777" w:rsidR="00B022E6" w:rsidRDefault="00E21BD1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References</w:t>
      </w:r>
    </w:p>
    <w:p w14:paraId="131D5ACE" w14:textId="77777777" w:rsidR="00B022E6" w:rsidRDefault="00B022E6">
      <w:pPr>
        <w:ind w:left="0" w:hanging="2"/>
        <w:rPr>
          <w:sz w:val="22"/>
          <w:szCs w:val="22"/>
        </w:rPr>
      </w:pPr>
    </w:p>
    <w:p w14:paraId="1A4728CC" w14:textId="77777777" w:rsidR="00877057" w:rsidRPr="00877057" w:rsidRDefault="00877057" w:rsidP="00877057">
      <w:pPr>
        <w:ind w:left="0" w:hanging="2"/>
        <w:rPr>
          <w:sz w:val="22"/>
          <w:szCs w:val="22"/>
        </w:rPr>
      </w:pPr>
      <w:r w:rsidRPr="00877057">
        <w:rPr>
          <w:sz w:val="22"/>
          <w:szCs w:val="22"/>
        </w:rPr>
        <w:t>Bachu, S. [2003]. Screening and ranking of sedimentary basins for sequestration of CO</w:t>
      </w:r>
      <w:r w:rsidRPr="00A3292C">
        <w:rPr>
          <w:sz w:val="22"/>
          <w:szCs w:val="22"/>
          <w:vertAlign w:val="subscript"/>
        </w:rPr>
        <w:t>2</w:t>
      </w:r>
      <w:r w:rsidRPr="00877057">
        <w:rPr>
          <w:sz w:val="22"/>
          <w:szCs w:val="22"/>
        </w:rPr>
        <w:t xml:space="preserve"> in geological media in response to climate change. </w:t>
      </w:r>
      <w:r w:rsidRPr="00877057">
        <w:rPr>
          <w:i/>
          <w:iCs/>
          <w:sz w:val="22"/>
          <w:szCs w:val="22"/>
        </w:rPr>
        <w:t>Environmental Geology</w:t>
      </w:r>
      <w:r w:rsidRPr="00877057">
        <w:rPr>
          <w:sz w:val="22"/>
          <w:szCs w:val="22"/>
        </w:rPr>
        <w:t xml:space="preserve">, </w:t>
      </w:r>
      <w:r w:rsidRPr="00877057">
        <w:rPr>
          <w:b/>
          <w:bCs/>
          <w:sz w:val="22"/>
          <w:szCs w:val="22"/>
        </w:rPr>
        <w:t>44</w:t>
      </w:r>
      <w:r w:rsidRPr="00877057">
        <w:rPr>
          <w:sz w:val="22"/>
          <w:szCs w:val="22"/>
        </w:rPr>
        <w:t>, 277-289.</w:t>
      </w:r>
    </w:p>
    <w:p w14:paraId="36F4CE2F" w14:textId="77777777" w:rsidR="00877057" w:rsidRPr="00877057" w:rsidRDefault="00877057" w:rsidP="00877057">
      <w:pPr>
        <w:ind w:left="0" w:hanging="2"/>
        <w:rPr>
          <w:sz w:val="22"/>
          <w:szCs w:val="22"/>
        </w:rPr>
      </w:pPr>
      <w:r w:rsidRPr="00877057">
        <w:rPr>
          <w:sz w:val="22"/>
          <w:szCs w:val="22"/>
        </w:rPr>
        <w:t xml:space="preserve">Callas, C., Davis, J.S., Saltzer, S.D., Hashemi, S.S., Wen, G., Gold, P.O., Zoback, M.D., Benson, S.M. and Kovscek, A.R. [2024]. Criteria and workflow for selecting saline formations for carbon storage. </w:t>
      </w:r>
      <w:r w:rsidRPr="00877057">
        <w:rPr>
          <w:i/>
          <w:iCs/>
          <w:sz w:val="22"/>
          <w:szCs w:val="22"/>
        </w:rPr>
        <w:t>International Journal of Greenhouse Gas Control</w:t>
      </w:r>
      <w:r w:rsidRPr="00877057">
        <w:rPr>
          <w:sz w:val="22"/>
          <w:szCs w:val="22"/>
        </w:rPr>
        <w:t xml:space="preserve">, </w:t>
      </w:r>
      <w:r w:rsidRPr="00877057">
        <w:rPr>
          <w:b/>
          <w:bCs/>
          <w:sz w:val="22"/>
          <w:szCs w:val="22"/>
        </w:rPr>
        <w:t>135</w:t>
      </w:r>
      <w:r w:rsidRPr="00877057">
        <w:rPr>
          <w:sz w:val="22"/>
          <w:szCs w:val="22"/>
        </w:rPr>
        <w:t>, 104138.</w:t>
      </w:r>
    </w:p>
    <w:p w14:paraId="6896C421" w14:textId="2CAD3D0F" w:rsidR="00877057" w:rsidRPr="00877057" w:rsidRDefault="00877057" w:rsidP="00877057">
      <w:pPr>
        <w:ind w:left="0" w:hanging="2"/>
        <w:rPr>
          <w:sz w:val="22"/>
          <w:szCs w:val="22"/>
        </w:rPr>
      </w:pPr>
      <w:r w:rsidRPr="00877057">
        <w:rPr>
          <w:sz w:val="22"/>
          <w:szCs w:val="22"/>
        </w:rPr>
        <w:t>Duval, G., Booth, M., Porjesz, R., Otto, S., Park, P., Olivares, C., Satterley, A., Calvert, S., Abukarova, A., Polyakova, L., Khalid, A. and Nassir, M.  [2022]: Geological Data and Tools for Basin-Scale Screening of CO</w:t>
      </w:r>
      <w:r w:rsidRPr="00A3292C">
        <w:rPr>
          <w:sz w:val="22"/>
          <w:szCs w:val="22"/>
          <w:vertAlign w:val="subscript"/>
        </w:rPr>
        <w:t>2</w:t>
      </w:r>
      <w:r w:rsidRPr="00877057">
        <w:rPr>
          <w:sz w:val="22"/>
          <w:szCs w:val="22"/>
        </w:rPr>
        <w:t xml:space="preserve"> Storage Potential - Northern North Sea. </w:t>
      </w:r>
      <w:r w:rsidRPr="00877057">
        <w:rPr>
          <w:i/>
          <w:iCs/>
          <w:sz w:val="22"/>
          <w:szCs w:val="22"/>
        </w:rPr>
        <w:t>EAGE GET 2022</w:t>
      </w:r>
      <w:r w:rsidRPr="00877057">
        <w:rPr>
          <w:sz w:val="22"/>
          <w:szCs w:val="22"/>
        </w:rPr>
        <w:t>, Extended Abstracts.</w:t>
      </w:r>
    </w:p>
    <w:p w14:paraId="3E96F127" w14:textId="77777777" w:rsidR="00877057" w:rsidRPr="00877057" w:rsidRDefault="00877057" w:rsidP="00877057">
      <w:pPr>
        <w:ind w:left="0" w:hanging="2"/>
        <w:rPr>
          <w:sz w:val="22"/>
          <w:szCs w:val="22"/>
        </w:rPr>
      </w:pPr>
      <w:r w:rsidRPr="00877057">
        <w:rPr>
          <w:sz w:val="22"/>
          <w:szCs w:val="22"/>
        </w:rPr>
        <w:t xml:space="preserve">Ma, J., Li, L., Wang, H., Du, Y., Ma, J., Zhang, X. and Wang, Z. [2022] Carbon Capture and Storage: History and the Road Ahead. </w:t>
      </w:r>
      <w:r w:rsidRPr="00877057">
        <w:rPr>
          <w:i/>
          <w:iCs/>
          <w:sz w:val="22"/>
          <w:szCs w:val="22"/>
        </w:rPr>
        <w:t>Engineering</w:t>
      </w:r>
      <w:r w:rsidRPr="00877057">
        <w:rPr>
          <w:sz w:val="22"/>
          <w:szCs w:val="22"/>
        </w:rPr>
        <w:t xml:space="preserve">, </w:t>
      </w:r>
      <w:r w:rsidRPr="00877057">
        <w:rPr>
          <w:b/>
          <w:bCs/>
          <w:sz w:val="22"/>
          <w:szCs w:val="22"/>
        </w:rPr>
        <w:t>14</w:t>
      </w:r>
      <w:r w:rsidRPr="00877057">
        <w:rPr>
          <w:sz w:val="22"/>
          <w:szCs w:val="22"/>
        </w:rPr>
        <w:t>, 33-43.</w:t>
      </w:r>
    </w:p>
    <w:p w14:paraId="4455EB66" w14:textId="659CE4A1" w:rsidR="00B022E6" w:rsidRDefault="00877057" w:rsidP="00877057">
      <w:pPr>
        <w:ind w:left="0" w:hanging="2"/>
      </w:pPr>
      <w:r w:rsidRPr="00877057">
        <w:rPr>
          <w:sz w:val="22"/>
          <w:szCs w:val="22"/>
        </w:rPr>
        <w:t xml:space="preserve">Shepherd, E., Otto, S. and Duval, G. [2024]: Carbon Storage Screening Study of Southeast Asia: A case study from Offshore Sarawak. </w:t>
      </w:r>
      <w:r w:rsidRPr="00877057">
        <w:rPr>
          <w:i/>
          <w:iCs/>
          <w:sz w:val="22"/>
          <w:szCs w:val="22"/>
        </w:rPr>
        <w:t>3rd EAGE Conference on Carbon Capture and Storage Potential</w:t>
      </w:r>
      <w:r w:rsidRPr="00877057">
        <w:rPr>
          <w:sz w:val="22"/>
          <w:szCs w:val="22"/>
        </w:rPr>
        <w:t>, Extended Abstracts.</w:t>
      </w:r>
    </w:p>
    <w:sectPr w:rsidR="00B022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440" w:right="1440" w:bottom="1440" w:left="1440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1C6E" w14:textId="77777777" w:rsidR="00C84D0C" w:rsidRDefault="00C84D0C">
      <w:pPr>
        <w:spacing w:line="240" w:lineRule="auto"/>
        <w:ind w:left="0" w:hanging="2"/>
      </w:pPr>
      <w:r>
        <w:separator/>
      </w:r>
    </w:p>
  </w:endnote>
  <w:endnote w:type="continuationSeparator" w:id="0">
    <w:p w14:paraId="7FF6A42F" w14:textId="77777777" w:rsidR="00C84D0C" w:rsidRDefault="00C84D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126E" w14:textId="77777777" w:rsidR="00B022E6" w:rsidRDefault="00B022E6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4BAC" w14:textId="77777777" w:rsidR="007122C7" w:rsidRDefault="007122C7" w:rsidP="007122C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  <w:p w14:paraId="0B8355CA" w14:textId="22AEBA68" w:rsidR="00B022E6" w:rsidRPr="007122C7" w:rsidRDefault="00F70A4E" w:rsidP="007122C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 xml:space="preserve">World CCUS Conference </w:t>
    </w:r>
    <w:r w:rsidR="00157344">
      <w:rPr>
        <w:sz w:val="20"/>
        <w:szCs w:val="20"/>
      </w:rPr>
      <w:t>2026</w:t>
    </w:r>
    <w:r w:rsidR="007122C7">
      <w:rPr>
        <w:color w:val="FF0000"/>
        <w:sz w:val="20"/>
        <w:szCs w:val="20"/>
      </w:rPr>
      <w:br/>
    </w:r>
    <w:r w:rsidR="00157344">
      <w:rPr>
        <w:sz w:val="20"/>
        <w:szCs w:val="20"/>
      </w:rPr>
      <w:t>September</w:t>
    </w:r>
    <w:r w:rsidR="00157344" w:rsidRPr="00157344">
      <w:rPr>
        <w:sz w:val="20"/>
        <w:szCs w:val="20"/>
      </w:rPr>
      <w:t xml:space="preserve"> 202</w:t>
    </w:r>
    <w:r w:rsidR="00157344">
      <w:rPr>
        <w:sz w:val="20"/>
        <w:szCs w:val="20"/>
      </w:rPr>
      <w:t>6</w:t>
    </w:r>
    <w:r w:rsidR="00157344" w:rsidRPr="00157344">
      <w:rPr>
        <w:sz w:val="20"/>
        <w:szCs w:val="20"/>
      </w:rPr>
      <w:t>,</w:t>
    </w:r>
    <w:r w:rsidR="0094179F">
      <w:rPr>
        <w:sz w:val="20"/>
        <w:szCs w:val="20"/>
      </w:rPr>
      <w:t xml:space="preserve"> Edinburgh,</w:t>
    </w:r>
    <w:r w:rsidR="00157344" w:rsidRPr="00157344">
      <w:rPr>
        <w:sz w:val="20"/>
        <w:szCs w:val="20"/>
      </w:rPr>
      <w:t xml:space="preserve"> United Kingdom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B52D" w14:textId="77777777" w:rsidR="00B022E6" w:rsidRDefault="00B022E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B162" w14:textId="77777777" w:rsidR="00C84D0C" w:rsidRDefault="00C84D0C">
      <w:pPr>
        <w:spacing w:line="240" w:lineRule="auto"/>
        <w:ind w:left="0" w:hanging="2"/>
      </w:pPr>
      <w:r>
        <w:separator/>
      </w:r>
    </w:p>
  </w:footnote>
  <w:footnote w:type="continuationSeparator" w:id="0">
    <w:p w14:paraId="1A2396B6" w14:textId="77777777" w:rsidR="00C84D0C" w:rsidRDefault="00C84D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08B3" w14:textId="77777777" w:rsidR="00B022E6" w:rsidRDefault="00E21BD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color w:val="000000"/>
        <w:sz w:val="12"/>
        <w:szCs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0093CA9" wp14:editId="4D68E873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1321435" cy="306070"/>
              <wp:effectExtent l="0" t="0" r="0" b="0"/>
              <wp:wrapNone/>
              <wp:docPr id="1036" name="Group 1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21435" cy="306070"/>
                        <a:chOff x="4685275" y="3626950"/>
                        <a:chExt cx="1321450" cy="306100"/>
                      </a:xfrm>
                    </wpg:grpSpPr>
                    <wpg:grpSp>
                      <wpg:cNvPr id="1299828191" name="Group 1299828191"/>
                      <wpg:cNvGrpSpPr/>
                      <wpg:grpSpPr>
                        <a:xfrm>
                          <a:off x="4685283" y="3626965"/>
                          <a:ext cx="1321435" cy="306070"/>
                          <a:chOff x="4685283" y="3626965"/>
                          <a:chExt cx="1321435" cy="306070"/>
                        </a:xfrm>
                      </wpg:grpSpPr>
                      <wps:wsp>
                        <wps:cNvPr id="301476027" name="Rectangle 301476027"/>
                        <wps:cNvSpPr/>
                        <wps:spPr>
                          <a:xfrm>
                            <a:off x="4685283" y="3626965"/>
                            <a:ext cx="1321425" cy="30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03682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29098456" name="Group 1429098456"/>
                        <wpg:cNvGrpSpPr/>
                        <wpg:grpSpPr>
                          <a:xfrm>
                            <a:off x="4685283" y="3626965"/>
                            <a:ext cx="1321435" cy="306070"/>
                            <a:chOff x="4685283" y="3626965"/>
                            <a:chExt cx="1321435" cy="306070"/>
                          </a:xfrm>
                        </wpg:grpSpPr>
                        <wps:wsp>
                          <wps:cNvPr id="1310071024" name="Rectangle 1310071024"/>
                          <wps:cNvSpPr/>
                          <wps:spPr>
                            <a:xfrm>
                              <a:off x="4685283" y="3626965"/>
                              <a:ext cx="1321425" cy="30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BED48E" w14:textId="77777777" w:rsidR="00B022E6" w:rsidRDefault="00B022E6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47139859" name="Group 447139859"/>
                          <wpg:cNvGrpSpPr/>
                          <wpg:grpSpPr>
                            <a:xfrm>
                              <a:off x="4685283" y="3626965"/>
                              <a:ext cx="1321435" cy="306070"/>
                              <a:chOff x="4685283" y="3625945"/>
                              <a:chExt cx="1322453" cy="307090"/>
                            </a:xfrm>
                          </wpg:grpSpPr>
                          <wps:wsp>
                            <wps:cNvPr id="211898892" name="Rectangle 211898892"/>
                            <wps:cNvSpPr/>
                            <wps:spPr>
                              <a:xfrm>
                                <a:off x="4685283" y="3625945"/>
                                <a:ext cx="1322450" cy="307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9CBC7A" w14:textId="77777777" w:rsidR="00B022E6" w:rsidRDefault="00B022E6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30734344" name="Group 1930734344"/>
                            <wpg:cNvGrpSpPr/>
                            <wpg:grpSpPr>
                              <a:xfrm>
                                <a:off x="4685283" y="3625945"/>
                                <a:ext cx="1322453" cy="307090"/>
                                <a:chOff x="0" y="-6"/>
                                <a:chExt cx="7791" cy="1806"/>
                              </a:xfrm>
                            </wpg:grpSpPr>
                            <wps:wsp>
                              <wps:cNvPr id="198755364" name="Rectangle 198755364"/>
                              <wps:cNvSpPr/>
                              <wps:spPr>
                                <a:xfrm>
                                  <a:off x="0" y="0"/>
                                  <a:ext cx="7775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6B6607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0779570" name="Rectangle 440779570"/>
                              <wps:cNvSpPr/>
                              <wps:spPr>
                                <a:xfrm>
                                  <a:off x="0" y="0"/>
                                  <a:ext cx="7785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E6E300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022907" name="Freeform 1683022907"/>
                              <wps:cNvSpPr/>
                              <wps:spPr>
                                <a:xfrm>
                                  <a:off x="0" y="30"/>
                                  <a:ext cx="1791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" h="295" extrusionOk="0">
                                      <a:moveTo>
                                        <a:pt x="252" y="189"/>
                                      </a:moveTo>
                                      <a:cubicBezTo>
                                        <a:pt x="223" y="189"/>
                                        <a:pt x="223" y="189"/>
                                        <a:pt x="223" y="189"/>
                                      </a:cubicBezTo>
                                      <a:cubicBezTo>
                                        <a:pt x="214" y="157"/>
                                        <a:pt x="199" y="150"/>
                                        <a:pt x="164" y="150"/>
                                      </a:cubicBezTo>
                                      <a:cubicBezTo>
                                        <a:pt x="115" y="150"/>
                                        <a:pt x="115" y="150"/>
                                        <a:pt x="115" y="150"/>
                                      </a:cubicBezTo>
                                      <a:cubicBezTo>
                                        <a:pt x="115" y="233"/>
                                        <a:pt x="115" y="233"/>
                                        <a:pt x="115" y="233"/>
                                      </a:cubicBezTo>
                                      <a:cubicBezTo>
                                        <a:pt x="115" y="260"/>
                                        <a:pt x="123" y="275"/>
                                        <a:pt x="170" y="275"/>
                                      </a:cubicBezTo>
                                      <a:cubicBezTo>
                                        <a:pt x="211" y="275"/>
                                        <a:pt x="236" y="266"/>
                                        <a:pt x="273" y="222"/>
                                      </a:cubicBezTo>
                                      <a:cubicBezTo>
                                        <a:pt x="303" y="222"/>
                                        <a:pt x="303" y="222"/>
                                        <a:pt x="303" y="222"/>
                                      </a:cubicBezTo>
                                      <a:cubicBezTo>
                                        <a:pt x="290" y="295"/>
                                        <a:pt x="290" y="295"/>
                                        <a:pt x="290" y="29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0" y="275"/>
                                        <a:pt x="0" y="275"/>
                                        <a:pt x="0" y="275"/>
                                      </a:cubicBezTo>
                                      <a:cubicBezTo>
                                        <a:pt x="27" y="275"/>
                                        <a:pt x="39" y="265"/>
                                        <a:pt x="39" y="238"/>
                                      </a:cubicBezTo>
                                      <a:cubicBezTo>
                                        <a:pt x="39" y="56"/>
                                        <a:pt x="39" y="56"/>
                                        <a:pt x="39" y="56"/>
                                      </a:cubicBezTo>
                                      <a:cubicBezTo>
                                        <a:pt x="39" y="32"/>
                                        <a:pt x="30" y="21"/>
                                        <a:pt x="0" y="21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ubicBezTo>
                                        <a:pt x="284" y="0"/>
                                        <a:pt x="284" y="0"/>
                                        <a:pt x="284" y="0"/>
                                      </a:cubicBezTo>
                                      <a:cubicBezTo>
                                        <a:pt x="284" y="62"/>
                                        <a:pt x="284" y="62"/>
                                        <a:pt x="284" y="62"/>
                                      </a:cubicBezTo>
                                      <a:cubicBezTo>
                                        <a:pt x="256" y="62"/>
                                        <a:pt x="256" y="62"/>
                                        <a:pt x="256" y="62"/>
                                      </a:cubicBezTo>
                                      <a:cubicBezTo>
                                        <a:pt x="229" y="29"/>
                                        <a:pt x="212" y="21"/>
                                        <a:pt x="176" y="21"/>
                                      </a:cubicBezTo>
                                      <a:cubicBezTo>
                                        <a:pt x="115" y="21"/>
                                        <a:pt x="115" y="21"/>
                                        <a:pt x="115" y="21"/>
                                      </a:cubicBezTo>
                                      <a:cubicBezTo>
                                        <a:pt x="115" y="130"/>
                                        <a:pt x="115" y="130"/>
                                        <a:pt x="115" y="130"/>
                                      </a:cubicBezTo>
                                      <a:cubicBezTo>
                                        <a:pt x="167" y="130"/>
                                        <a:pt x="167" y="130"/>
                                        <a:pt x="167" y="130"/>
                                      </a:cubicBezTo>
                                      <a:cubicBezTo>
                                        <a:pt x="202" y="130"/>
                                        <a:pt x="217" y="120"/>
                                        <a:pt x="223" y="94"/>
                                      </a:cubicBezTo>
                                      <a:cubicBezTo>
                                        <a:pt x="252" y="94"/>
                                        <a:pt x="252" y="94"/>
                                        <a:pt x="252" y="94"/>
                                      </a:cubicBezTo>
                                      <a:lnTo>
                                        <a:pt x="252" y="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EC9767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3365161" name="Freeform 1143365161"/>
                              <wps:cNvSpPr/>
                              <wps:spPr>
                                <a:xfrm>
                                  <a:off x="1856" y="30"/>
                                  <a:ext cx="1962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" h="295" extrusionOk="0">
                                      <a:moveTo>
                                        <a:pt x="183" y="159"/>
                                      </a:moveTo>
                                      <a:cubicBezTo>
                                        <a:pt x="101" y="159"/>
                                        <a:pt x="101" y="159"/>
                                        <a:pt x="101" y="159"/>
                                      </a:cubicBezTo>
                                      <a:cubicBezTo>
                                        <a:pt x="140" y="50"/>
                                        <a:pt x="140" y="50"/>
                                        <a:pt x="140" y="50"/>
                                      </a:cubicBezTo>
                                      <a:lnTo>
                                        <a:pt x="183" y="159"/>
                                      </a:lnTo>
                                      <a:close/>
                                      <a:moveTo>
                                        <a:pt x="193" y="184"/>
                                      </a:moveTo>
                                      <a:cubicBezTo>
                                        <a:pt x="212" y="234"/>
                                        <a:pt x="212" y="234"/>
                                        <a:pt x="212" y="234"/>
                                      </a:cubicBezTo>
                                      <a:cubicBezTo>
                                        <a:pt x="222" y="261"/>
                                        <a:pt x="215" y="272"/>
                                        <a:pt x="186" y="275"/>
                                      </a:cubicBezTo>
                                      <a:cubicBezTo>
                                        <a:pt x="186" y="295"/>
                                        <a:pt x="186" y="295"/>
                                        <a:pt x="186" y="295"/>
                                      </a:cubicBezTo>
                                      <a:cubicBezTo>
                                        <a:pt x="332" y="295"/>
                                        <a:pt x="332" y="295"/>
                                        <a:pt x="332" y="295"/>
                                      </a:cubicBezTo>
                                      <a:cubicBezTo>
                                        <a:pt x="332" y="275"/>
                                        <a:pt x="332" y="275"/>
                                        <a:pt x="332" y="275"/>
                                      </a:cubicBezTo>
                                      <a:cubicBezTo>
                                        <a:pt x="314" y="275"/>
                                        <a:pt x="303" y="264"/>
                                        <a:pt x="294" y="239"/>
                                      </a:cubicBezTo>
                                      <a:cubicBezTo>
                                        <a:pt x="201" y="0"/>
                                        <a:pt x="201" y="0"/>
                                        <a:pt x="201" y="0"/>
                                      </a:cubicBezTo>
                                      <a:cubicBezTo>
                                        <a:pt x="120" y="0"/>
                                        <a:pt x="120" y="0"/>
                                        <a:pt x="120" y="0"/>
                                      </a:cubicBezTo>
                                      <a:cubicBezTo>
                                        <a:pt x="130" y="21"/>
                                        <a:pt x="130" y="21"/>
                                        <a:pt x="130" y="21"/>
                                      </a:cubicBezTo>
                                      <a:cubicBezTo>
                                        <a:pt x="45" y="236"/>
                                        <a:pt x="45" y="236"/>
                                        <a:pt x="45" y="236"/>
                                      </a:cubicBezTo>
                                      <a:cubicBezTo>
                                        <a:pt x="37" y="257"/>
                                        <a:pt x="29" y="269"/>
                                        <a:pt x="0" y="27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101" y="295"/>
                                        <a:pt x="101" y="295"/>
                                        <a:pt x="101" y="295"/>
                                      </a:cubicBezTo>
                                      <a:cubicBezTo>
                                        <a:pt x="101" y="275"/>
                                        <a:pt x="101" y="275"/>
                                        <a:pt x="101" y="275"/>
                                      </a:cubicBezTo>
                                      <a:cubicBezTo>
                                        <a:pt x="74" y="272"/>
                                        <a:pt x="68" y="252"/>
                                        <a:pt x="78" y="224"/>
                                      </a:cubicBezTo>
                                      <a:cubicBezTo>
                                        <a:pt x="91" y="184"/>
                                        <a:pt x="91" y="184"/>
                                        <a:pt x="91" y="184"/>
                                      </a:cubicBezTo>
                                      <a:lnTo>
                                        <a:pt x="193" y="1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CB41B9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8909776" name="Freeform 1668909776"/>
                              <wps:cNvSpPr/>
                              <wps:spPr>
                                <a:xfrm>
                                  <a:off x="3895" y="-6"/>
                                  <a:ext cx="1980" cy="1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" h="307" extrusionOk="0">
                                      <a:moveTo>
                                        <a:pt x="272" y="94"/>
                                      </a:moveTo>
                                      <a:cubicBezTo>
                                        <a:pt x="253" y="49"/>
                                        <a:pt x="214" y="21"/>
                                        <a:pt x="171" y="21"/>
                                      </a:cubicBezTo>
                                      <a:cubicBezTo>
                                        <a:pt x="114" y="21"/>
                                        <a:pt x="83" y="67"/>
                                        <a:pt x="83" y="150"/>
                                      </a:cubicBezTo>
                                      <a:cubicBezTo>
                                        <a:pt x="83" y="236"/>
                                        <a:pt x="120" y="286"/>
                                        <a:pt x="183" y="286"/>
                                      </a:cubicBezTo>
                                      <a:cubicBezTo>
                                        <a:pt x="200" y="286"/>
                                        <a:pt x="213" y="283"/>
                                        <a:pt x="226" y="275"/>
                                      </a:cubicBezTo>
                                      <a:cubicBezTo>
                                        <a:pt x="226" y="213"/>
                                        <a:pt x="226" y="213"/>
                                        <a:pt x="226" y="213"/>
                                      </a:cubicBezTo>
                                      <a:cubicBezTo>
                                        <a:pt x="226" y="187"/>
                                        <a:pt x="219" y="175"/>
                                        <a:pt x="187" y="175"/>
                                      </a:cubicBezTo>
                                      <a:cubicBezTo>
                                        <a:pt x="187" y="154"/>
                                        <a:pt x="187" y="154"/>
                                        <a:pt x="187" y="154"/>
                                      </a:cubicBezTo>
                                      <a:cubicBezTo>
                                        <a:pt x="335" y="154"/>
                                        <a:pt x="335" y="154"/>
                                        <a:pt x="335" y="154"/>
                                      </a:cubicBezTo>
                                      <a:cubicBezTo>
                                        <a:pt x="335" y="175"/>
                                        <a:pt x="335" y="175"/>
                                        <a:pt x="335" y="175"/>
                                      </a:cubicBezTo>
                                      <a:cubicBezTo>
                                        <a:pt x="310" y="175"/>
                                        <a:pt x="302" y="187"/>
                                        <a:pt x="302" y="211"/>
                                      </a:cubicBezTo>
                                      <a:cubicBezTo>
                                        <a:pt x="302" y="284"/>
                                        <a:pt x="302" y="284"/>
                                        <a:pt x="302" y="284"/>
                                      </a:cubicBezTo>
                                      <a:cubicBezTo>
                                        <a:pt x="280" y="295"/>
                                        <a:pt x="215" y="307"/>
                                        <a:pt x="171" y="307"/>
                                      </a:cubicBezTo>
                                      <a:cubicBezTo>
                                        <a:pt x="65" y="307"/>
                                        <a:pt x="0" y="251"/>
                                        <a:pt x="0" y="159"/>
                                      </a:cubicBezTo>
                                      <a:cubicBezTo>
                                        <a:pt x="0" y="76"/>
                                        <a:pt x="61" y="0"/>
                                        <a:pt x="174" y="0"/>
                                      </a:cubicBezTo>
                                      <a:cubicBezTo>
                                        <a:pt x="220" y="0"/>
                                        <a:pt x="269" y="10"/>
                                        <a:pt x="295" y="27"/>
                                      </a:cubicBezTo>
                                      <a:cubicBezTo>
                                        <a:pt x="300" y="94"/>
                                        <a:pt x="300" y="94"/>
                                        <a:pt x="300" y="94"/>
                                      </a:cubicBezTo>
                                      <a:lnTo>
                                        <a:pt x="272" y="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4326CE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0978552" name="Freeform 530978552"/>
                              <wps:cNvSpPr/>
                              <wps:spPr>
                                <a:xfrm>
                                  <a:off x="6000" y="30"/>
                                  <a:ext cx="1791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" h="295" extrusionOk="0">
                                      <a:moveTo>
                                        <a:pt x="252" y="189"/>
                                      </a:moveTo>
                                      <a:cubicBezTo>
                                        <a:pt x="223" y="189"/>
                                        <a:pt x="223" y="189"/>
                                        <a:pt x="223" y="189"/>
                                      </a:cubicBezTo>
                                      <a:cubicBezTo>
                                        <a:pt x="214" y="157"/>
                                        <a:pt x="199" y="150"/>
                                        <a:pt x="165" y="150"/>
                                      </a:cubicBezTo>
                                      <a:cubicBezTo>
                                        <a:pt x="115" y="150"/>
                                        <a:pt x="115" y="150"/>
                                        <a:pt x="115" y="150"/>
                                      </a:cubicBezTo>
                                      <a:cubicBezTo>
                                        <a:pt x="115" y="233"/>
                                        <a:pt x="115" y="233"/>
                                        <a:pt x="115" y="233"/>
                                      </a:cubicBezTo>
                                      <a:cubicBezTo>
                                        <a:pt x="115" y="260"/>
                                        <a:pt x="123" y="275"/>
                                        <a:pt x="171" y="275"/>
                                      </a:cubicBezTo>
                                      <a:cubicBezTo>
                                        <a:pt x="212" y="275"/>
                                        <a:pt x="236" y="266"/>
                                        <a:pt x="273" y="222"/>
                                      </a:cubicBezTo>
                                      <a:cubicBezTo>
                                        <a:pt x="303" y="222"/>
                                        <a:pt x="303" y="222"/>
                                        <a:pt x="303" y="222"/>
                                      </a:cubicBezTo>
                                      <a:cubicBezTo>
                                        <a:pt x="290" y="295"/>
                                        <a:pt x="290" y="295"/>
                                        <a:pt x="290" y="29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0" y="275"/>
                                        <a:pt x="0" y="275"/>
                                        <a:pt x="0" y="275"/>
                                      </a:cubicBezTo>
                                      <a:cubicBezTo>
                                        <a:pt x="27" y="275"/>
                                        <a:pt x="39" y="265"/>
                                        <a:pt x="39" y="238"/>
                                      </a:cubicBezTo>
                                      <a:cubicBezTo>
                                        <a:pt x="39" y="56"/>
                                        <a:pt x="39" y="56"/>
                                        <a:pt x="39" y="56"/>
                                      </a:cubicBezTo>
                                      <a:cubicBezTo>
                                        <a:pt x="39" y="32"/>
                                        <a:pt x="30" y="21"/>
                                        <a:pt x="0" y="21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ubicBezTo>
                                        <a:pt x="284" y="0"/>
                                        <a:pt x="284" y="0"/>
                                        <a:pt x="284" y="0"/>
                                      </a:cubicBezTo>
                                      <a:cubicBezTo>
                                        <a:pt x="284" y="62"/>
                                        <a:pt x="284" y="62"/>
                                        <a:pt x="284" y="62"/>
                                      </a:cubicBezTo>
                                      <a:cubicBezTo>
                                        <a:pt x="256" y="62"/>
                                        <a:pt x="256" y="62"/>
                                        <a:pt x="256" y="62"/>
                                      </a:cubicBezTo>
                                      <a:cubicBezTo>
                                        <a:pt x="229" y="29"/>
                                        <a:pt x="212" y="21"/>
                                        <a:pt x="176" y="21"/>
                                      </a:cubicBezTo>
                                      <a:cubicBezTo>
                                        <a:pt x="115" y="21"/>
                                        <a:pt x="115" y="21"/>
                                        <a:pt x="115" y="21"/>
                                      </a:cubicBezTo>
                                      <a:cubicBezTo>
                                        <a:pt x="115" y="130"/>
                                        <a:pt x="115" y="130"/>
                                        <a:pt x="115" y="130"/>
                                      </a:cubicBezTo>
                                      <a:cubicBezTo>
                                        <a:pt x="167" y="130"/>
                                        <a:pt x="167" y="130"/>
                                        <a:pt x="167" y="130"/>
                                      </a:cubicBezTo>
                                      <a:cubicBezTo>
                                        <a:pt x="203" y="130"/>
                                        <a:pt x="217" y="120"/>
                                        <a:pt x="223" y="94"/>
                                      </a:cubicBezTo>
                                      <a:cubicBezTo>
                                        <a:pt x="252" y="94"/>
                                        <a:pt x="252" y="94"/>
                                        <a:pt x="252" y="94"/>
                                      </a:cubicBezTo>
                                      <a:lnTo>
                                        <a:pt x="252" y="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F702D2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0093CA9" id="Group 1036" o:spid="_x0000_s1026" style="position:absolute;left:0;text-align:left;margin-left:3pt;margin-top:0;width:104.05pt;height:24.1pt;z-index:251659264" coordorigin="46852,36269" coordsize="13214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">
              <v:group id="Group 1299828191" o:spid="_x0000_s1027" style="position:absolute;left:46852;top:36269;width:13215;height:3061" coordorigin="46852,36269" coordsize="13214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">
                <v:rect id="Rectangle 301476027" o:spid="_x0000_s1028" style="position:absolute;left:46852;top:36269;width:13215;height:3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67E03682" w14:textId="77777777" w:rsidR="00B022E6" w:rsidRDefault="00B022E6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group id="Group 1429098456" o:spid="_x0000_s1029" style="position:absolute;left:46852;top:36269;width:13215;height:3061" coordorigin="46852,36269" coordsize="13214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">
                  <v:rect id="Rectangle 1310071024" o:spid="_x0000_s1030" style="position:absolute;left:46852;top:36269;width:13215;height:3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4BED48E" w14:textId="77777777" w:rsidR="00B022E6" w:rsidRDefault="00B022E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oup 447139859" o:spid="_x0000_s1031" style="position:absolute;left:46852;top:36269;width:13215;height:3061" coordorigin="46852,36259" coordsize="1322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">
                    <v:rect id="Rectangle 211898892" o:spid="_x0000_s1032" style="position:absolute;left:46852;top:36259;width:13225;height: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6C9CBC7A" w14:textId="77777777" w:rsidR="00B022E6" w:rsidRDefault="00B022E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oup 1930734344" o:spid="_x0000_s1033" style="position:absolute;left:46852;top:36259;width:13225;height:3071" coordorigin=",-6" coordsize="7791,1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">
                      <v:rect id="Rectangle 198755364" o:spid="_x0000_s1034" style="position:absolute;width:777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5C6B6607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rect id="Rectangle 440779570" o:spid="_x0000_s1035" style="position:absolute;width:778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76E6E300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reeform 1683022907" o:spid="_x0000_s1036" style="position:absolute;top:30;width:1791;height:1735;visibility:visible;mso-wrap-style:square;v-text-anchor:middle" coordsize="303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" adj="-11796480,,5400" path="m252,189v-29,,-29,,-29,c214,157,199,150,164,150v-49,,-49,,-49,c115,233,115,233,115,233v,27,8,42,55,42c211,275,236,266,273,222v30,,30,,30,c290,295,290,295,290,295,,295,,295,,295,,275,,275,,275v27,,39,-10,39,-37c39,56,39,56,39,56,39,32,30,21,,21,,,,,,,284,,284,,284,v,62,,62,,62c256,62,256,62,256,62,229,29,212,21,176,21v-61,,-61,,-61,c115,130,115,130,115,130v52,,52,,52,c202,130,217,120,223,94v29,,29,,29,l252,189xe" fillcolor="#009273" stroked="f">
                        <v:stroke joinstyle="miter"/>
                        <v:formulas/>
                        <v:path arrowok="t" o:extrusionok="f" o:connecttype="custom" textboxrect="0,0,303,295"/>
                        <v:textbox inset="2.53958mm,2.53958mm,2.53958mm,2.53958mm">
                          <w:txbxContent>
                            <w:p w14:paraId="07EC9767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1143365161" o:spid="_x0000_s1037" style="position:absolute;left:1856;top:30;width:1962;height:1735;visibility:visible;mso-wrap-style:square;v-text-anchor:middle" coordsize="332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" adj="-11796480,,5400" path="m183,159v-82,,-82,,-82,c140,50,140,50,140,50r43,109xm193,184v19,50,19,50,19,50c222,261,215,272,186,275v,20,,20,,20c332,295,332,295,332,295v,-20,,-20,,-20c314,275,303,264,294,239,201,,201,,201,,120,,120,,120,v10,21,10,21,10,21c45,236,45,236,45,236,37,257,29,269,,275v,20,,20,,20c101,295,101,295,101,295v,-20,,-20,,-20c74,272,68,252,78,224,91,184,91,184,91,184r102,xe" fillcolor="#009273" stroked="f">
                        <v:stroke joinstyle="miter"/>
                        <v:formulas/>
                        <v:path arrowok="t" o:extrusionok="f" o:connecttype="custom" textboxrect="0,0,332,295"/>
                        <v:textbox inset="2.53958mm,2.53958mm,2.53958mm,2.53958mm">
                          <w:txbxContent>
                            <w:p w14:paraId="2CCB41B9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1668909776" o:spid="_x0000_s1038" style="position:absolute;left:3895;top:-6;width:1980;height:1806;visibility:visible;mso-wrap-style:square;v-text-anchor:middle" coordsize="335,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" adj="-11796480,,5400" path="m272,94c253,49,214,21,171,21,114,21,83,67,83,150v,86,37,136,100,136c200,286,213,283,226,275v,-62,,-62,,-62c226,187,219,175,187,175v,-21,,-21,,-21c335,154,335,154,335,154v,21,,21,,21c310,175,302,187,302,211v,73,,73,,73c280,295,215,307,171,307,65,307,,251,,159,,76,61,,174,v46,,95,10,121,27c300,94,300,94,300,94r-28,xe" fillcolor="#009273" stroked="f">
                        <v:stroke joinstyle="miter"/>
                        <v:formulas/>
                        <v:path arrowok="t" o:extrusionok="f" o:connecttype="custom" textboxrect="0,0,335,307"/>
                        <v:textbox inset="2.53958mm,2.53958mm,2.53958mm,2.53958mm">
                          <w:txbxContent>
                            <w:p w14:paraId="334326CE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530978552" o:spid="_x0000_s1039" style="position:absolute;left:6000;top:30;width:1791;height:1735;visibility:visible;mso-wrap-style:square;v-text-anchor:middle" coordsize="303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" adj="-11796480,,5400" path="m252,189v-29,,-29,,-29,c214,157,199,150,165,150v-50,,-50,,-50,c115,233,115,233,115,233v,27,8,42,56,42c212,275,236,266,273,222v30,,30,,30,c290,295,290,295,290,295,,295,,295,,295,,275,,275,,275v27,,39,-10,39,-37c39,56,39,56,39,56,39,32,30,21,,21,,,,,,,284,,284,,284,v,62,,62,,62c256,62,256,62,256,62,229,29,212,21,176,21v-61,,-61,,-61,c115,130,115,130,115,130v52,,52,,52,c203,130,217,120,223,94v29,,29,,29,l252,189xe" fillcolor="#009273" stroked="f">
                        <v:stroke joinstyle="miter"/>
                        <v:formulas/>
                        <v:path arrowok="t" o:extrusionok="f" o:connecttype="custom" textboxrect="0,0,303,295"/>
                        <v:textbox inset="2.53958mm,2.53958mm,2.53958mm,2.53958mm">
                          <w:txbxContent>
                            <w:p w14:paraId="24F702D2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DA83" w14:textId="058D74B5" w:rsidR="00B022E6" w:rsidRDefault="00762C72">
    <w:pPr>
      <w:tabs>
        <w:tab w:val="center" w:pos="4703"/>
        <w:tab w:val="right" w:pos="9406"/>
      </w:tabs>
      <w:ind w:left="0" w:hanging="2"/>
      <w:jc w:val="right"/>
      <w:rPr>
        <w:color w:val="000000"/>
        <w:sz w:val="12"/>
        <w:szCs w:val="12"/>
      </w:rPr>
    </w:pPr>
    <w:r>
      <w:rPr>
        <w:noProof/>
      </w:rPr>
      <w:drawing>
        <wp:inline distT="0" distB="0" distL="0" distR="0" wp14:anchorId="0FA5B1B6" wp14:editId="08CE398E">
          <wp:extent cx="771083" cy="771083"/>
          <wp:effectExtent l="0" t="0" r="3810" b="3810"/>
          <wp:docPr id="196202209" name="Picture 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02209" name="Picture 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72" cy="860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08B09" w14:textId="77777777" w:rsidR="00B022E6" w:rsidRDefault="00B022E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4DBA" w14:textId="77777777" w:rsidR="00B022E6" w:rsidRDefault="00E21BD1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611"/>
    <w:multiLevelType w:val="multilevel"/>
    <w:tmpl w:val="F80EFC2A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17019D"/>
    <w:multiLevelType w:val="multilevel"/>
    <w:tmpl w:val="3716C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ParaLis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3F760C0"/>
    <w:multiLevelType w:val="multilevel"/>
    <w:tmpl w:val="C44E9E0C"/>
    <w:lvl w:ilvl="0">
      <w:start w:val="1"/>
      <w:numFmt w:val="bullet"/>
      <w:pStyle w:val="ListBullet"/>
      <w:lvlText w:val="●"/>
      <w:lvlJc w:val="left"/>
      <w:pPr>
        <w:ind w:left="64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9868990">
    <w:abstractNumId w:val="2"/>
  </w:num>
  <w:num w:numId="2" w16cid:durableId="207305906">
    <w:abstractNumId w:val="1"/>
  </w:num>
  <w:num w:numId="3" w16cid:durableId="11834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E6"/>
    <w:rsid w:val="00066668"/>
    <w:rsid w:val="00157344"/>
    <w:rsid w:val="00197B9E"/>
    <w:rsid w:val="002052C9"/>
    <w:rsid w:val="00210C6A"/>
    <w:rsid w:val="00285F78"/>
    <w:rsid w:val="002C0BD3"/>
    <w:rsid w:val="002D692D"/>
    <w:rsid w:val="003562F6"/>
    <w:rsid w:val="003B3136"/>
    <w:rsid w:val="003B586B"/>
    <w:rsid w:val="00450B90"/>
    <w:rsid w:val="00461CF1"/>
    <w:rsid w:val="0049296A"/>
    <w:rsid w:val="004C0913"/>
    <w:rsid w:val="004F721E"/>
    <w:rsid w:val="00507E9E"/>
    <w:rsid w:val="005409F9"/>
    <w:rsid w:val="00584DF1"/>
    <w:rsid w:val="005C38A7"/>
    <w:rsid w:val="005F7B26"/>
    <w:rsid w:val="00613FD1"/>
    <w:rsid w:val="00653BCA"/>
    <w:rsid w:val="006D3978"/>
    <w:rsid w:val="00706E09"/>
    <w:rsid w:val="007122C7"/>
    <w:rsid w:val="00745E5B"/>
    <w:rsid w:val="00762C72"/>
    <w:rsid w:val="007637BF"/>
    <w:rsid w:val="008101FC"/>
    <w:rsid w:val="00820B41"/>
    <w:rsid w:val="00823A02"/>
    <w:rsid w:val="00877057"/>
    <w:rsid w:val="008A7D7F"/>
    <w:rsid w:val="008C035D"/>
    <w:rsid w:val="00905D14"/>
    <w:rsid w:val="00916CB5"/>
    <w:rsid w:val="00917AF8"/>
    <w:rsid w:val="0094179F"/>
    <w:rsid w:val="009553E0"/>
    <w:rsid w:val="009C00D0"/>
    <w:rsid w:val="00A1327C"/>
    <w:rsid w:val="00A3292C"/>
    <w:rsid w:val="00AB13CB"/>
    <w:rsid w:val="00B022E6"/>
    <w:rsid w:val="00B206F5"/>
    <w:rsid w:val="00B92241"/>
    <w:rsid w:val="00BD0884"/>
    <w:rsid w:val="00C246E6"/>
    <w:rsid w:val="00C247B9"/>
    <w:rsid w:val="00C84D0C"/>
    <w:rsid w:val="00CF0416"/>
    <w:rsid w:val="00D07226"/>
    <w:rsid w:val="00D20967"/>
    <w:rsid w:val="00D26084"/>
    <w:rsid w:val="00D2724D"/>
    <w:rsid w:val="00D3631F"/>
    <w:rsid w:val="00D406FE"/>
    <w:rsid w:val="00E21BD1"/>
    <w:rsid w:val="00E27AEE"/>
    <w:rsid w:val="00E528FC"/>
    <w:rsid w:val="00E711AC"/>
    <w:rsid w:val="00E8322F"/>
    <w:rsid w:val="00EB76E3"/>
    <w:rsid w:val="00ED0582"/>
    <w:rsid w:val="00F14C1F"/>
    <w:rsid w:val="00F70A4E"/>
    <w:rsid w:val="00FB001A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F494D"/>
  <w15:docId w15:val="{EC629850-2971-B244-A386-C029A59D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framePr w:w="9356" w:hSpace="142" w:vSpace="284" w:wrap="notBeside" w:vAnchor="text" w:hAnchor="text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AUTHOR">
    <w:name w:val="AUTHOR"/>
    <w:basedOn w:val="Normal"/>
    <w:pPr>
      <w:framePr w:w="9356" w:hSpace="142" w:vSpace="284" w:wrap="notBeside" w:vAnchor="text" w:hAnchor="text" w:x="1146" w:y="-112"/>
      <w:spacing w:before="60"/>
      <w:jc w:val="right"/>
    </w:pPr>
    <w:rPr>
      <w:rFonts w:ascii="Arial" w:hAnsi="Arial"/>
      <w:caps/>
      <w:sz w:val="16"/>
    </w:rPr>
  </w:style>
  <w:style w:type="paragraph" w:styleId="Header">
    <w:name w:val="header"/>
    <w:basedOn w:val="Normal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Normal"/>
    <w:pPr>
      <w:spacing w:before="120"/>
      <w:jc w:val="both"/>
    </w:pPr>
  </w:style>
  <w:style w:type="paragraph" w:customStyle="1" w:styleId="ParaList">
    <w:name w:val="ParaList"/>
    <w:basedOn w:val="ParagraphNorm"/>
    <w:pPr>
      <w:numPr>
        <w:ilvl w:val="11"/>
        <w:numId w:val="2"/>
      </w:numPr>
      <w:tabs>
        <w:tab w:val="left" w:pos="567"/>
      </w:tabs>
      <w:ind w:left="851" w:hanging="284"/>
    </w:pPr>
  </w:style>
  <w:style w:type="paragraph" w:styleId="Caption">
    <w:name w:val="caption"/>
    <w:basedOn w:val="Normal"/>
    <w:next w:val="Normal"/>
    <w:pPr>
      <w:framePr w:w="9663" w:hSpace="142" w:vSpace="284" w:wrap="notBeside" w:vAnchor="text" w:hAnchor="text" w:x="1146" w:y="-112"/>
      <w:tabs>
        <w:tab w:val="right" w:pos="8505"/>
      </w:tabs>
    </w:pPr>
    <w:rPr>
      <w:b/>
      <w:sz w:val="36"/>
    </w:rPr>
  </w:style>
  <w:style w:type="paragraph" w:customStyle="1" w:styleId="Heading10">
    <w:name w:val="Heading1"/>
    <w:basedOn w:val="ParagraphNorm"/>
    <w:next w:val="Heading1"/>
    <w:pPr>
      <w:spacing w:before="240" w:after="120"/>
      <w:ind w:firstLine="0"/>
      <w:jc w:val="left"/>
    </w:pPr>
    <w:rPr>
      <w:b/>
    </w:rPr>
  </w:style>
  <w:style w:type="paragraph" w:customStyle="1" w:styleId="Heading20">
    <w:name w:val="Heading2"/>
    <w:basedOn w:val="ParagraphNorm"/>
    <w:next w:val="Heading2"/>
    <w:pPr>
      <w:spacing w:after="120"/>
      <w:ind w:firstLine="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0"/>
    <w:pPr>
      <w:jc w:val="both"/>
    </w:pPr>
    <w:rPr>
      <w:sz w:val="20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Salutation">
    <w:name w:val="Salutation"/>
    <w:basedOn w:val="Normal"/>
    <w:next w:val="Normal"/>
  </w:style>
  <w:style w:type="paragraph" w:styleId="EnvelopeAddress">
    <w:name w:val="envelope address"/>
    <w:basedOn w:val="Normal"/>
    <w:pPr>
      <w:framePr w:w="7920" w:hSpace="141" w:wrap="auto" w:vAnchor="page" w:hAnchor="text" w:xAlign="center" w:yAlign="bottom"/>
      <w:ind w:left="2880"/>
    </w:pPr>
    <w:rPr>
      <w:rFonts w:ascii="Arial" w:hAnsi="Arial"/>
    </w:rPr>
  </w:style>
  <w:style w:type="paragraph" w:styleId="Closing">
    <w:name w:val="Closing"/>
    <w:basedOn w:val="Normal"/>
    <w:pPr>
      <w:ind w:left="4252"/>
    </w:p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pPr>
      <w:ind w:left="240" w:hanging="240"/>
    </w:pPr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rPr>
      <w:sz w:val="20"/>
    </w:rPr>
  </w:style>
  <w:style w:type="paragraph" w:styleId="Signature">
    <w:name w:val="Signature"/>
    <w:basedOn w:val="Normal"/>
    <w:pPr>
      <w:ind w:left="4252"/>
    </w:pPr>
  </w:style>
  <w:style w:type="paragraph" w:styleId="Index1">
    <w:name w:val="index 1"/>
    <w:basedOn w:val="Normal"/>
    <w:next w:val="Normal"/>
    <w:pPr>
      <w:ind w:left="240" w:hanging="240"/>
    </w:pPr>
  </w:style>
  <w:style w:type="paragraph" w:styleId="Index2">
    <w:name w:val="index 2"/>
    <w:basedOn w:val="Normal"/>
    <w:next w:val="Normal"/>
    <w:pPr>
      <w:ind w:left="480" w:hanging="240"/>
    </w:pPr>
  </w:style>
  <w:style w:type="paragraph" w:styleId="Index3">
    <w:name w:val="index 3"/>
    <w:basedOn w:val="Normal"/>
    <w:next w:val="Normal"/>
    <w:pPr>
      <w:ind w:left="720" w:hanging="240"/>
    </w:pPr>
  </w:style>
  <w:style w:type="paragraph" w:styleId="Index4">
    <w:name w:val="index 4"/>
    <w:basedOn w:val="Normal"/>
    <w:next w:val="Normal"/>
    <w:pPr>
      <w:ind w:left="960" w:hanging="240"/>
    </w:pPr>
  </w:style>
  <w:style w:type="paragraph" w:styleId="Index5">
    <w:name w:val="index 5"/>
    <w:basedOn w:val="Normal"/>
    <w:next w:val="Normal"/>
    <w:pPr>
      <w:ind w:left="1200" w:hanging="240"/>
    </w:pPr>
  </w:style>
  <w:style w:type="paragraph" w:styleId="Index6">
    <w:name w:val="index 6"/>
    <w:basedOn w:val="Normal"/>
    <w:next w:val="Normal"/>
    <w:pPr>
      <w:ind w:left="1440" w:hanging="240"/>
    </w:pPr>
  </w:style>
  <w:style w:type="paragraph" w:styleId="Index7">
    <w:name w:val="index 7"/>
    <w:basedOn w:val="Normal"/>
    <w:next w:val="Normal"/>
    <w:pPr>
      <w:ind w:left="1680" w:hanging="240"/>
    </w:pPr>
  </w:style>
  <w:style w:type="paragraph" w:styleId="Index8">
    <w:name w:val="index 8"/>
    <w:basedOn w:val="Normal"/>
    <w:next w:val="Normal"/>
    <w:pPr>
      <w:ind w:left="1920" w:hanging="240"/>
    </w:pPr>
  </w:style>
  <w:style w:type="paragraph" w:styleId="Index9">
    <w:name w:val="index 9"/>
    <w:basedOn w:val="Normal"/>
    <w:next w:val="Normal"/>
    <w:pPr>
      <w:ind w:left="2160" w:hanging="240"/>
    </w:pPr>
  </w:style>
  <w:style w:type="paragraph" w:styleId="IndexHeading">
    <w:name w:val="index heading"/>
    <w:basedOn w:val="Normal"/>
    <w:next w:val="Index1"/>
    <w:rPr>
      <w:rFonts w:ascii="Arial" w:hAnsi="Arial"/>
      <w:b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40"/>
    </w:pPr>
  </w:style>
  <w:style w:type="paragraph" w:styleId="TOC3">
    <w:name w:val="toc 3"/>
    <w:basedOn w:val="Normal"/>
    <w:next w:val="Normal"/>
    <w:pPr>
      <w:ind w:left="480"/>
    </w:pPr>
  </w:style>
  <w:style w:type="paragraph" w:styleId="TOC4">
    <w:name w:val="toc 4"/>
    <w:basedOn w:val="Normal"/>
    <w:next w:val="Normal"/>
    <w:pPr>
      <w:ind w:left="720"/>
    </w:pPr>
  </w:style>
  <w:style w:type="paragraph" w:styleId="TOC5">
    <w:name w:val="toc 5"/>
    <w:basedOn w:val="Normal"/>
    <w:next w:val="Normal"/>
    <w:pPr>
      <w:ind w:left="960"/>
    </w:pPr>
  </w:style>
  <w:style w:type="paragraph" w:styleId="TOC6">
    <w:name w:val="toc 6"/>
    <w:basedOn w:val="Normal"/>
    <w:next w:val="Normal"/>
    <w:pPr>
      <w:ind w:left="1200"/>
    </w:pPr>
  </w:style>
  <w:style w:type="paragraph" w:styleId="TOC7">
    <w:name w:val="toc 7"/>
    <w:basedOn w:val="Normal"/>
    <w:next w:val="Normal"/>
    <w:pPr>
      <w:ind w:left="1440"/>
    </w:pPr>
  </w:style>
  <w:style w:type="paragraph" w:styleId="TOC8">
    <w:name w:val="toc 8"/>
    <w:basedOn w:val="Normal"/>
    <w:next w:val="Normal"/>
    <w:pPr>
      <w:ind w:left="1680"/>
    </w:pPr>
  </w:style>
  <w:style w:type="paragraph" w:styleId="TOC9">
    <w:name w:val="toc 9"/>
    <w:basedOn w:val="Normal"/>
    <w:next w:val="Normal"/>
    <w:pPr>
      <w:ind w:left="1920"/>
    </w:p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TableofFigures">
    <w:name w:val="table of figures"/>
    <w:basedOn w:val="Normal"/>
    <w:next w:val="Normal"/>
    <w:pPr>
      <w:ind w:left="480" w:hanging="480"/>
    </w:pPr>
  </w:style>
  <w:style w:type="paragraph" w:styleId="ListBullet">
    <w:name w:val="List Bullet"/>
    <w:basedOn w:val="Normal"/>
    <w:pPr>
      <w:numPr>
        <w:numId w:val="1"/>
      </w:numPr>
      <w:ind w:left="-1" w:hanging="1"/>
    </w:pPr>
  </w:style>
  <w:style w:type="paragraph" w:styleId="ListBullet2">
    <w:name w:val="List Bullet 2"/>
    <w:basedOn w:val="Normal"/>
    <w:pPr>
      <w:numPr>
        <w:numId w:val="3"/>
      </w:numPr>
      <w:ind w:left="-1" w:hanging="1"/>
    </w:pPr>
  </w:style>
  <w:style w:type="paragraph" w:styleId="ListBullet3">
    <w:name w:val="List Bullet 3"/>
    <w:basedOn w:val="Normal"/>
    <w:pPr>
      <w:tabs>
        <w:tab w:val="num" w:pos="720"/>
      </w:tabs>
    </w:pPr>
  </w:style>
  <w:style w:type="paragraph" w:styleId="ListBullet4">
    <w:name w:val="List Bullet 4"/>
    <w:basedOn w:val="Normal"/>
    <w:pPr>
      <w:tabs>
        <w:tab w:val="num" w:pos="720"/>
      </w:tabs>
    </w:pPr>
  </w:style>
  <w:style w:type="paragraph" w:styleId="ListBullet5">
    <w:name w:val="List Bullet 5"/>
    <w:basedOn w:val="Normal"/>
    <w:pPr>
      <w:tabs>
        <w:tab w:val="num" w:pos="720"/>
      </w:tabs>
    </w:pPr>
  </w:style>
  <w:style w:type="paragraph" w:styleId="ListNumber">
    <w:name w:val="List Number"/>
    <w:basedOn w:val="Normal"/>
    <w:pPr>
      <w:tabs>
        <w:tab w:val="num" w:pos="720"/>
      </w:tabs>
    </w:pPr>
  </w:style>
  <w:style w:type="paragraph" w:styleId="ListNumber2">
    <w:name w:val="List Number 2"/>
    <w:basedOn w:val="Normal"/>
    <w:pPr>
      <w:tabs>
        <w:tab w:val="num" w:pos="720"/>
      </w:tabs>
    </w:pPr>
  </w:style>
  <w:style w:type="paragraph" w:styleId="ListNumber3">
    <w:name w:val="List Number 3"/>
    <w:basedOn w:val="Normal"/>
    <w:pPr>
      <w:tabs>
        <w:tab w:val="num" w:pos="720"/>
      </w:tabs>
    </w:pPr>
  </w:style>
  <w:style w:type="paragraph" w:styleId="ListNumber4">
    <w:name w:val="List Number 4"/>
    <w:basedOn w:val="Normal"/>
    <w:pPr>
      <w:tabs>
        <w:tab w:val="num" w:pos="720"/>
      </w:tabs>
    </w:pPr>
  </w:style>
  <w:style w:type="paragraph" w:styleId="ListNumber5">
    <w:name w:val="List Number 5"/>
    <w:basedOn w:val="Normal"/>
    <w:pPr>
      <w:tabs>
        <w:tab w:val="num" w:pos="72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NormalIndent">
    <w:name w:val="Normal Indent"/>
    <w:basedOn w:val="Normal"/>
    <w:pPr>
      <w:ind w:left="708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caption11ptitalic">
    <w:name w:val="caption 11pt italic"/>
    <w:basedOn w:val="Normal11ptjustified"/>
    <w:pPr>
      <w:spacing w:before="120" w:after="120"/>
    </w:pPr>
    <w:rPr>
      <w:i/>
    </w:rPr>
  </w:style>
  <w:style w:type="paragraph" w:customStyle="1" w:styleId="Address">
    <w:name w:val="Address"/>
    <w:basedOn w:val="Heading2"/>
    <w:pPr>
      <w:framePr w:wrap="notBeside"/>
    </w:pPr>
  </w:style>
  <w:style w:type="paragraph" w:customStyle="1" w:styleId="Normal11ptjustified">
    <w:name w:val="Normal 11pt justified"/>
    <w:basedOn w:val="Normal"/>
    <w:pPr>
      <w:tabs>
        <w:tab w:val="left" w:pos="504"/>
      </w:tabs>
      <w:jc w:val="both"/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pPr>
      <w:jc w:val="center"/>
    </w:pPr>
  </w:style>
  <w:style w:type="paragraph" w:customStyle="1" w:styleId="SectionHeading">
    <w:name w:val="Section Heading"/>
    <w:basedOn w:val="Normal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sz w:val="18"/>
      <w:szCs w:val="18"/>
    </w:rPr>
  </w:style>
  <w:style w:type="character" w:customStyle="1" w:styleId="BalloonTextChar">
    <w:name w:val="Balloon Text Char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3C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76E3"/>
    <w:pPr>
      <w:ind w:firstLine="0"/>
    </w:pPr>
    <w:rPr>
      <w:position w:val="-1"/>
    </w:rPr>
  </w:style>
  <w:style w:type="character" w:styleId="CommentReference">
    <w:name w:val="annotation reference"/>
    <w:basedOn w:val="DefaultParagraphFont"/>
    <w:uiPriority w:val="99"/>
    <w:semiHidden/>
    <w:unhideWhenUsed/>
    <w:rsid w:val="003B313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136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rsid w:val="003B3136"/>
    <w:rPr>
      <w:position w:val="-1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136"/>
    <w:rPr>
      <w:b/>
      <w:bCs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4f19b0-4bcd-4809-83c5-9f6dae6eee9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IEgOB7WpGwYjfrfsHtFrYiwC8A==">AMUW2mVAH0c6uccK2WcYkRZAVfoI9nbhu0G83YsdzZGvrnfRa8+V3f5OznoGWH46bMYPO8Dmy+rm87FOP1cGwl1bR41yOzuOdVapt6MxqAS2b9gqq/rbocpv3lOY0O27w+aFnIGX8N+DbR+p5fIA9UcB/Zmw08JWgJ4YUGJAx5TBgDMEsVBshx8GIHEKTLjueYW1dk42hWS8UqjHzSk+HBRl7GMqCF1no774K3TrvtEpdGebuxkDFmiwvZ8WhoLQAh6CQaA1kKqDI4eDnMTWd+iEd7S8HDihhKBAk8Y9SCRFFj4b6IUksIRUKBeMEb20EzvLBPEBhwdH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485DC163919489FF388B652622408" ma:contentTypeVersion="15" ma:contentTypeDescription="Create a new document." ma:contentTypeScope="" ma:versionID="b8d9bef37c1b725df8c3052eb806ed54">
  <xsd:schema xmlns:xsd="http://www.w3.org/2001/XMLSchema" xmlns:xs="http://www.w3.org/2001/XMLSchema" xmlns:p="http://schemas.microsoft.com/office/2006/metadata/properties" xmlns:ns3="294f19b0-4bcd-4809-83c5-9f6dae6eee97" xmlns:ns4="419da591-cbdb-4134-a428-448fcdc368a7" targetNamespace="http://schemas.microsoft.com/office/2006/metadata/properties" ma:root="true" ma:fieldsID="98ca3dc64ae60293faca9b99384a0821" ns3:_="" ns4:_="">
    <xsd:import namespace="294f19b0-4bcd-4809-83c5-9f6dae6eee97"/>
    <xsd:import namespace="419da591-cbdb-4134-a428-448fcdc368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19b0-4bcd-4809-83c5-9f6dae6ee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da591-cbdb-4134-a428-448fcdc368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3C5CD-BBC1-4241-9E92-DB5D7BE3D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ACE76-AE44-41C8-A839-00749BE66A12}">
  <ds:schemaRefs>
    <ds:schemaRef ds:uri="http://schemas.microsoft.com/office/2006/metadata/properties"/>
    <ds:schemaRef ds:uri="http://schemas.microsoft.com/office/infopath/2007/PartnerControls"/>
    <ds:schemaRef ds:uri="294f19b0-4bcd-4809-83c5-9f6dae6eee9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88C5F83-A13C-4F8D-81FD-04FAC4BF7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f19b0-4bcd-4809-83c5-9f6dae6eee97"/>
    <ds:schemaRef ds:uri="419da591-cbdb-4134-a428-448fcdc36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1034</Words>
  <Characters>5898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Marjolein van Kraanen</dc:creator>
  <cp:lastModifiedBy>Otto, Simon</cp:lastModifiedBy>
  <cp:revision>2</cp:revision>
  <cp:lastPrinted>2024-07-22T07:20:00Z</cp:lastPrinted>
  <dcterms:created xsi:type="dcterms:W3CDTF">2026-02-26T14:55:00Z</dcterms:created>
  <dcterms:modified xsi:type="dcterms:W3CDTF">2026-02-26T14:55:00Z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2c04a7-5d76-4e04-b5db-e1b9d1bdf2a5_Enabled">
    <vt:lpwstr>true</vt:lpwstr>
  </property>
  <property fmtid="{D5CDD505-2E9C-101B-9397-08002B2CF9AE}" pid="3" name="MSIP_Label_942c04a7-5d76-4e04-b5db-e1b9d1bdf2a5_SetDate">
    <vt:lpwstr>2026-02-19T16:44:58Z</vt:lpwstr>
  </property>
  <property fmtid="{D5CDD505-2E9C-101B-9397-08002B2CF9AE}" pid="4" name="MSIP_Label_942c04a7-5d76-4e04-b5db-e1b9d1bdf2a5_Method">
    <vt:lpwstr>Privileged</vt:lpwstr>
  </property>
  <property fmtid="{D5CDD505-2E9C-101B-9397-08002B2CF9AE}" pid="5" name="MSIP_Label_942c04a7-5d76-4e04-b5db-e1b9d1bdf2a5_Name">
    <vt:lpwstr>CGG Public</vt:lpwstr>
  </property>
  <property fmtid="{D5CDD505-2E9C-101B-9397-08002B2CF9AE}" pid="6" name="MSIP_Label_942c04a7-5d76-4e04-b5db-e1b9d1bdf2a5_SiteId">
    <vt:lpwstr>307ea682-75e1-4701-a114-6c42f9ff0d24</vt:lpwstr>
  </property>
  <property fmtid="{D5CDD505-2E9C-101B-9397-08002B2CF9AE}" pid="7" name="MSIP_Label_942c04a7-5d76-4e04-b5db-e1b9d1bdf2a5_ActionId">
    <vt:lpwstr>cf4d13f4-104f-48b8-ba78-8bb99b16d1b1</vt:lpwstr>
  </property>
  <property fmtid="{D5CDD505-2E9C-101B-9397-08002B2CF9AE}" pid="8" name="MSIP_Label_942c04a7-5d76-4e04-b5db-e1b9d1bdf2a5_ContentBits">
    <vt:lpwstr>0</vt:lpwstr>
  </property>
  <property fmtid="{D5CDD505-2E9C-101B-9397-08002B2CF9AE}" pid="9" name="MSIP_Label_942c04a7-5d76-4e04-b5db-e1b9d1bdf2a5_Tag">
    <vt:lpwstr>10, 0, 1, 1</vt:lpwstr>
  </property>
  <property fmtid="{D5CDD505-2E9C-101B-9397-08002B2CF9AE}" pid="10" name="ContentTypeId">
    <vt:lpwstr>0x010100B14485DC163919489FF388B652622408</vt:lpwstr>
  </property>
</Properties>
</file>