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CD5" w:rsidRPr="00E56B10" w:rsidRDefault="002E2CD5" w:rsidP="002E2CD5">
      <w:pPr>
        <w:jc w:val="both"/>
        <w:rPr>
          <w:rFonts w:ascii="Calibri" w:hAnsi="Calibri" w:cs="Calibri"/>
          <w:b/>
          <w:bCs/>
          <w:sz w:val="24"/>
          <w:szCs w:val="24"/>
        </w:rPr>
      </w:pPr>
      <w:r>
        <w:rPr>
          <w:rFonts w:ascii="Calibri" w:hAnsi="Calibri" w:cs="Calibri"/>
          <w:b/>
          <w:bCs/>
          <w:sz w:val="24"/>
          <w:szCs w:val="24"/>
        </w:rPr>
        <w:t>G</w:t>
      </w:r>
      <w:r w:rsidRPr="00E56B10">
        <w:rPr>
          <w:rFonts w:ascii="Calibri" w:hAnsi="Calibri" w:cs="Calibri"/>
          <w:b/>
          <w:bCs/>
          <w:sz w:val="24"/>
          <w:szCs w:val="24"/>
        </w:rPr>
        <w:t>eochemical effect on the dynamics of relative permeability: Implications for CO</w:t>
      </w:r>
      <w:r w:rsidRPr="00E56B10">
        <w:rPr>
          <w:rFonts w:ascii="Calibri" w:hAnsi="Calibri" w:cs="Calibri"/>
          <w:b/>
          <w:bCs/>
          <w:sz w:val="24"/>
          <w:szCs w:val="24"/>
          <w:vertAlign w:val="subscript"/>
        </w:rPr>
        <w:t>2</w:t>
      </w:r>
      <w:r w:rsidRPr="00E56B10">
        <w:rPr>
          <w:rFonts w:ascii="Calibri" w:hAnsi="Calibri" w:cs="Calibri"/>
          <w:b/>
          <w:bCs/>
          <w:sz w:val="24"/>
          <w:szCs w:val="24"/>
        </w:rPr>
        <w:t xml:space="preserve"> storage</w:t>
      </w:r>
    </w:p>
    <w:p w:rsidR="002E2CD5" w:rsidRDefault="002E2CD5" w:rsidP="002E2CD5">
      <w:pPr>
        <w:jc w:val="both"/>
        <w:rPr>
          <w:b/>
          <w:bCs/>
        </w:rPr>
      </w:pPr>
    </w:p>
    <w:p w:rsidR="00574B22" w:rsidRPr="00BC2700" w:rsidRDefault="00BC2700" w:rsidP="002E2CD5">
      <w:pPr>
        <w:jc w:val="both"/>
        <w:rPr>
          <w:b/>
          <w:bCs/>
        </w:rPr>
      </w:pPr>
      <w:r w:rsidRPr="00BC2700">
        <w:rPr>
          <w:b/>
          <w:bCs/>
        </w:rPr>
        <w:t>Introduction</w:t>
      </w:r>
    </w:p>
    <w:p w:rsidR="002E2CD5" w:rsidRDefault="00BC2700" w:rsidP="002E2CD5">
      <w:pPr>
        <w:jc w:val="both"/>
      </w:pPr>
      <w:r>
        <w:t>The secure and efficient geological storage of carbon dioxide (CO₂) is a key technology for mitigating greenhouse gas emissions. A major uncertainty in predictive modeling of subsurface CO₂ storage systems arises from the treatment of multiphase flow properties, particularly relative permeability. While most reservoir simulations employ static, time-invariant relative permeability functions, reactive transport processes can significantly alter pore structure, wettability, and fluid flow behavior over time. This effect is particularly important in carbonate formations, where acid–rock reactions induced by injected CO₂ can modify pore connectivity and permeability.</w:t>
      </w:r>
    </w:p>
    <w:p w:rsidR="00574B22" w:rsidRDefault="00BC2700" w:rsidP="002E2CD5">
      <w:pPr>
        <w:jc w:val="both"/>
      </w:pPr>
      <w:bookmarkStart w:id="0" w:name="_GoBack"/>
      <w:bookmarkEnd w:id="0"/>
      <w:r>
        <w:br/>
      </w:r>
      <w:r>
        <w:br/>
        <w:t>This study focuses on the time-dependent evolution of CO₂/water relative permeability in Indiana limestone subjected to controlled geochemical aging. The experimental investigation and simulation integration presented herein aim to improve the representation of reactive processes in CO₂ storage modeling, providing a more realistic assessment of injectivity, trapping efficiency, and long-term storage security.</w:t>
      </w:r>
    </w:p>
    <w:p w:rsidR="00574B22" w:rsidRPr="00BC2700" w:rsidRDefault="00BC2700" w:rsidP="002E2CD5">
      <w:pPr>
        <w:jc w:val="both"/>
        <w:rPr>
          <w:b/>
          <w:bCs/>
        </w:rPr>
      </w:pPr>
      <w:r w:rsidRPr="00BC2700">
        <w:rPr>
          <w:b/>
          <w:bCs/>
        </w:rPr>
        <w:t>Experimental Methodology</w:t>
      </w:r>
    </w:p>
    <w:p w:rsidR="00BC2700" w:rsidRDefault="00BC2700" w:rsidP="002E2CD5">
      <w:pPr>
        <w:jc w:val="both"/>
      </w:pPr>
      <w:r>
        <w:t>To capture the dynamic coupling between geochemical reactions and multiphase flow, a series of core-flooding, acoustic, and nuclear magnetic resonance (NMR) measurements were performed on Indiana limestone samples. The samples were exposed to supercritical CO₂ and formation brine under reservoir-representative conditions of 2000 psi and 21°C for durations of 1 month and 2 months, simulating the early stages of CO₂ injection and storage.</w:t>
      </w:r>
    </w:p>
    <w:p w:rsidR="00BC2700" w:rsidRDefault="00BC2700" w:rsidP="002E2CD5">
      <w:pPr>
        <w:jc w:val="both"/>
      </w:pPr>
      <w:r>
        <w:br/>
        <w:t>After each exposure period, the samples were analyzed for changes in porosity, permeability, and pore structure. Relative permeability curves for the CO₂–water system were determined using unsteady-state core-flooding experiments. Acoustic velocity measurements provided insights into elastic property changes, while NMR data revealed pore-size distribution evolution. Figure 1 illustrates the experimental workflow, highlighting the combined use of geochemical aging and petrophysical analysis to characterize the evolving rock properties.</w:t>
      </w:r>
    </w:p>
    <w:p w:rsidR="00BC2700" w:rsidRPr="00E56B10" w:rsidRDefault="00BC2700" w:rsidP="002E2CD5">
      <w:pPr>
        <w:jc w:val="both"/>
        <w:rPr>
          <w:rFonts w:ascii="Calibri" w:hAnsi="Calibri" w:cs="Calibri"/>
          <w:b/>
          <w:bCs/>
          <w:sz w:val="24"/>
          <w:szCs w:val="24"/>
          <w:lang w:val="en-GB"/>
        </w:rPr>
      </w:pPr>
      <w:r>
        <w:lastRenderedPageBreak/>
        <w:br/>
      </w:r>
      <w:r>
        <w:br/>
      </w:r>
      <w:r w:rsidRPr="00E56B10">
        <w:rPr>
          <w:rFonts w:ascii="Calibri" w:hAnsi="Calibri" w:cs="Calibri"/>
          <w:b/>
          <w:bCs/>
          <w:noProof/>
          <w:sz w:val="24"/>
          <w:szCs w:val="24"/>
          <w:lang w:val="en-GB"/>
        </w:rPr>
        <w:drawing>
          <wp:inline distT="0" distB="0" distL="0" distR="0" wp14:anchorId="456B9DC9" wp14:editId="4C90F27F">
            <wp:extent cx="5930900" cy="32702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0900" cy="3270250"/>
                    </a:xfrm>
                    <a:prstGeom prst="rect">
                      <a:avLst/>
                    </a:prstGeom>
                    <a:noFill/>
                    <a:ln>
                      <a:noFill/>
                    </a:ln>
                  </pic:spPr>
                </pic:pic>
              </a:graphicData>
            </a:graphic>
          </wp:inline>
        </w:drawing>
      </w:r>
    </w:p>
    <w:p w:rsidR="00BC2700" w:rsidRPr="00E56B10" w:rsidRDefault="00BC2700" w:rsidP="002E2CD5">
      <w:pPr>
        <w:jc w:val="both"/>
        <w:rPr>
          <w:rFonts w:ascii="Calibri" w:hAnsi="Calibri" w:cs="Calibri"/>
          <w:b/>
          <w:bCs/>
          <w:sz w:val="24"/>
          <w:szCs w:val="24"/>
        </w:rPr>
      </w:pPr>
      <w:r w:rsidRPr="00E56B10">
        <w:rPr>
          <w:rFonts w:ascii="Calibri" w:hAnsi="Calibri" w:cs="Calibri"/>
          <w:b/>
          <w:bCs/>
          <w:sz w:val="24"/>
          <w:szCs w:val="24"/>
        </w:rPr>
        <w:t xml:space="preserve">Fig. 1 – </w:t>
      </w:r>
      <w:r w:rsidRPr="00E56B10">
        <w:rPr>
          <w:rFonts w:ascii="Calibri" w:hAnsi="Calibri" w:cs="Calibri"/>
          <w:sz w:val="24"/>
          <w:szCs w:val="24"/>
        </w:rPr>
        <w:t xml:space="preserve">Schematic </w:t>
      </w:r>
      <w:proofErr w:type="spellStart"/>
      <w:r w:rsidRPr="00E56B10">
        <w:rPr>
          <w:rFonts w:ascii="Calibri" w:hAnsi="Calibri" w:cs="Calibri"/>
          <w:sz w:val="24"/>
          <w:szCs w:val="24"/>
        </w:rPr>
        <w:t>coreflooding</w:t>
      </w:r>
      <w:proofErr w:type="spellEnd"/>
      <w:r w:rsidRPr="00E56B10">
        <w:rPr>
          <w:rFonts w:ascii="Calibri" w:hAnsi="Calibri" w:cs="Calibri"/>
          <w:sz w:val="24"/>
          <w:szCs w:val="24"/>
        </w:rPr>
        <w:t xml:space="preserve"> set up for unsteady injection</w:t>
      </w:r>
    </w:p>
    <w:p w:rsidR="00574B22" w:rsidRDefault="00BC2700" w:rsidP="002E2CD5">
      <w:pPr>
        <w:jc w:val="both"/>
      </w:pPr>
      <w:r>
        <w:t>.</w:t>
      </w:r>
    </w:p>
    <w:p w:rsidR="00574B22" w:rsidRPr="00BC2700" w:rsidRDefault="00BC2700" w:rsidP="002E2CD5">
      <w:pPr>
        <w:jc w:val="both"/>
        <w:rPr>
          <w:b/>
          <w:bCs/>
        </w:rPr>
      </w:pPr>
      <w:r w:rsidRPr="00BC2700">
        <w:rPr>
          <w:b/>
          <w:bCs/>
        </w:rPr>
        <w:t>Results and Discussion</w:t>
      </w:r>
    </w:p>
    <w:p w:rsidR="00BC2700" w:rsidRDefault="00BC2700" w:rsidP="002E2CD5">
      <w:pPr>
        <w:jc w:val="both"/>
      </w:pPr>
      <w:r>
        <w:t xml:space="preserve">The results show that progressive dissolution of carbonate minerals during CO₂–brine–rock interactions enhances pore connectivity and alters flow pathways. This dissolution led to measurable increases in both porosity (by up to 8%) and absolute permeability (by up to 25%) after two months of exposure. </w:t>
      </w:r>
      <w:r>
        <w:br/>
        <w:t>The evolution of relative permeability curves demonstrated that the CO₂ relative permeability increased with time, whereas the water relative permeability decreased, indicating a shift in wettability and saturation-dependent flow behavior. Figure 2 presents the relative permeability curves for the CO₂–water system at different aging times.</w:t>
      </w:r>
    </w:p>
    <w:p w:rsidR="00BC2700" w:rsidRPr="00E56B10" w:rsidRDefault="00BC2700" w:rsidP="002E2CD5">
      <w:pPr>
        <w:jc w:val="both"/>
        <w:rPr>
          <w:rFonts w:ascii="Calibri" w:hAnsi="Calibri" w:cs="Calibri"/>
          <w:b/>
          <w:bCs/>
          <w:sz w:val="24"/>
          <w:szCs w:val="24"/>
          <w:lang w:val="en-GB"/>
        </w:rPr>
      </w:pPr>
      <w:r>
        <w:lastRenderedPageBreak/>
        <w:br/>
      </w:r>
      <w:r>
        <w:br/>
      </w:r>
      <w:r w:rsidRPr="00E56B10">
        <w:rPr>
          <w:rFonts w:ascii="Calibri" w:hAnsi="Calibri" w:cs="Calibri"/>
          <w:noProof/>
        </w:rPr>
        <w:drawing>
          <wp:inline distT="0" distB="0" distL="0" distR="0" wp14:anchorId="7529E0A9" wp14:editId="629CA9DB">
            <wp:extent cx="5943600" cy="3528695"/>
            <wp:effectExtent l="0" t="0" r="0" b="14605"/>
            <wp:docPr id="4" name="Chart 4">
              <a:extLst xmlns:a="http://schemas.openxmlformats.org/drawingml/2006/main">
                <a:ext uri="{FF2B5EF4-FFF2-40B4-BE49-F238E27FC236}">
                  <a16:creationId xmlns:a16="http://schemas.microsoft.com/office/drawing/2014/main" id="{2619AA8E-1A40-429F-8F27-115B17766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C2700" w:rsidRPr="00E56B10" w:rsidRDefault="00BC2700" w:rsidP="002E2CD5">
      <w:pPr>
        <w:jc w:val="both"/>
        <w:rPr>
          <w:rFonts w:ascii="Calibri" w:hAnsi="Calibri" w:cs="Calibri"/>
          <w:sz w:val="24"/>
          <w:szCs w:val="24"/>
        </w:rPr>
      </w:pPr>
      <w:r w:rsidRPr="00E56B10">
        <w:rPr>
          <w:rFonts w:ascii="Calibri" w:hAnsi="Calibri" w:cs="Calibri"/>
          <w:b/>
          <w:bCs/>
          <w:sz w:val="24"/>
          <w:szCs w:val="24"/>
        </w:rPr>
        <w:t xml:space="preserve">Fig. 3 – </w:t>
      </w:r>
      <w:r w:rsidRPr="00E56B10">
        <w:rPr>
          <w:rFonts w:ascii="Calibri" w:hAnsi="Calibri" w:cs="Calibri"/>
          <w:sz w:val="24"/>
          <w:szCs w:val="24"/>
        </w:rPr>
        <w:t>NMR distribution curves for three samples</w:t>
      </w:r>
    </w:p>
    <w:p w:rsidR="00574B22" w:rsidRDefault="00BC2700" w:rsidP="002E2CD5">
      <w:pPr>
        <w:jc w:val="both"/>
      </w:pPr>
      <w:r>
        <w:br/>
      </w:r>
      <w:r>
        <w:br/>
        <w:t>These changes were attributed to microscale dissolution features that enhanced pore connectivity, as confirmed by NMR T₂ distributions showing broader pore-size spectra after aging. The acoustic measurements supported these findings by revealing a decrease in P-wave velocity, consistent with mineral dissolution and microstructural weakening. When incorporated into reservoir simulation models, the experimentally derived time-dependent curves produced significant differences in predicted CO₂ plume migration compared to conventional static models. The dynamic model captured increased plume advancement and reduced residual trapping in early stages, followed by greater dissolution trapping at later times. This demonstrates that time-evolving flow parameters directly influence large-scale CO₂ storage performance.</w:t>
      </w:r>
    </w:p>
    <w:p w:rsidR="00574B22" w:rsidRPr="00BC2700" w:rsidRDefault="00BC2700" w:rsidP="002E2CD5">
      <w:pPr>
        <w:jc w:val="both"/>
        <w:rPr>
          <w:b/>
          <w:bCs/>
        </w:rPr>
      </w:pPr>
      <w:r w:rsidRPr="00BC2700">
        <w:rPr>
          <w:b/>
          <w:bCs/>
        </w:rPr>
        <w:t>Implications for Reservoir Modeling</w:t>
      </w:r>
    </w:p>
    <w:p w:rsidR="00574B22" w:rsidRDefault="00BC2700" w:rsidP="002E2CD5">
      <w:pPr>
        <w:jc w:val="both"/>
      </w:pPr>
      <w:r>
        <w:t>The integration of experimental results into dynamic reservoir simulations revealed critical implications for injectivity, storage capacity, and trapping mechanisms. Static relative permeability assumptions can lead to under- or over-estimation of injectivity and storage efficiency, particularly in carbonate reservoirs with reactive mineralogy. By contrast, simulations using time-dependent relative permeability captured subtle yet important transitions in the CO₂ plume morphology, including increased mobility during early injection and enhanced dissolution trapping during post-injection stabilization. These insights emphasize the necessity of coupling geochemical reactivity and petrophysical evolution in reactive transport models.</w:t>
      </w:r>
    </w:p>
    <w:p w:rsidR="00574B22" w:rsidRPr="00BC2700" w:rsidRDefault="00BC2700" w:rsidP="002E2CD5">
      <w:pPr>
        <w:jc w:val="both"/>
        <w:rPr>
          <w:b/>
          <w:bCs/>
        </w:rPr>
      </w:pPr>
      <w:r w:rsidRPr="00BC2700">
        <w:rPr>
          <w:b/>
          <w:bCs/>
        </w:rPr>
        <w:lastRenderedPageBreak/>
        <w:t>Conclusions</w:t>
      </w:r>
    </w:p>
    <w:p w:rsidR="00BC2700" w:rsidRDefault="00BC2700" w:rsidP="002E2CD5">
      <w:pPr>
        <w:jc w:val="both"/>
      </w:pPr>
      <w:r>
        <w:t>This study demonstrates that geochemical reactions significantly influence the time evolution of CO₂/water relative permeability in carbonate rocks. The experimental results show that dissolution-induced pore structure modification alters flow properties in a manner that can be captured only through time-dependent modeling. When implemented into reservoir simulations, these data reveal that time-evolving relative permeability functions yield more realistic predictions of CO₂ migration and trapping behavior. Therefore, consideration of reactive transport and aging effects is essential for accurate forecasting of CO₂ storage capacity, injectivity, and containment security.</w:t>
      </w:r>
    </w:p>
    <w:p w:rsidR="00BC2700" w:rsidRDefault="00BC2700" w:rsidP="002E2CD5">
      <w:pPr>
        <w:jc w:val="both"/>
      </w:pPr>
      <w:r>
        <w:br/>
      </w:r>
    </w:p>
    <w:p w:rsidR="00574B22" w:rsidRPr="00BC2700" w:rsidRDefault="00BC2700" w:rsidP="002E2CD5">
      <w:pPr>
        <w:jc w:val="both"/>
        <w:rPr>
          <w:b/>
          <w:bCs/>
        </w:rPr>
      </w:pPr>
      <w:r>
        <w:br/>
      </w:r>
      <w:r w:rsidRPr="00BC2700">
        <w:rPr>
          <w:b/>
          <w:bCs/>
        </w:rPr>
        <w:t>References</w:t>
      </w:r>
    </w:p>
    <w:p w:rsidR="00574B22" w:rsidRDefault="00BC2700" w:rsidP="002E2CD5">
      <w:pPr>
        <w:jc w:val="both"/>
      </w:pPr>
      <w:r>
        <w:t>1. Bennion, D.B. &amp; Bachu, S. (2008). Drainage and imbibition relative permeability relationships for supercritical CO₂/brine and H₂S/brine systems in intergranular sandstone, carbonate, shale, and anhydrite rocks. SPE Reservoir Evaluation &amp; Engineering, 11(03), 487–496.</w:t>
      </w:r>
    </w:p>
    <w:p w:rsidR="00574B22" w:rsidRDefault="00BC2700" w:rsidP="002E2CD5">
      <w:pPr>
        <w:jc w:val="both"/>
      </w:pPr>
      <w:r>
        <w:t>2. Xu, T., Apps, J.A., &amp; Pruess, K. (2004). Numerical simulation of CO₂ disposal by mineral trapping in deep aquifers. Applied Geochemistry, 19(6), 917–936.</w:t>
      </w:r>
    </w:p>
    <w:p w:rsidR="00574B22" w:rsidRDefault="00BC2700" w:rsidP="002E2CD5">
      <w:pPr>
        <w:jc w:val="both"/>
      </w:pPr>
      <w:r>
        <w:t>3. Gaus, I. (2010). Role and impact of CO₂–rock interactions during CO₂ storage in sedimentary rocks. International Journal of Greenhouse Gas Control, 4(1), 73–89.</w:t>
      </w:r>
    </w:p>
    <w:p w:rsidR="00574B22" w:rsidRDefault="00BC2700" w:rsidP="002E2CD5">
      <w:pPr>
        <w:jc w:val="both"/>
      </w:pPr>
      <w:r>
        <w:t>4. Krevor, S. et al. (2012). Relative permeability and trapping of CO₂ and water in sandstone rocks at reservoir conditions. Water Resources Research, 48(2), W02532.</w:t>
      </w:r>
    </w:p>
    <w:sectPr w:rsidR="00574B22"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2CD5"/>
    <w:rsid w:val="00326F90"/>
    <w:rsid w:val="00574B22"/>
    <w:rsid w:val="00AA1D8D"/>
    <w:rsid w:val="00B47730"/>
    <w:rsid w:val="00BC270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4941DD"/>
  <w14:defaultImageDpi w14:val="300"/>
  <w15:docId w15:val="{43EF1B23-2A49-4F76-B720-C74979B2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HARDRIVE%20KFUPM-1\RESEARCH\1-Publications\KrCO2_exp%20and%20Simulatin\KFUPM_7_Samples_T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4"/>
          <c:order val="0"/>
          <c:tx>
            <c:strRef>
              <c:f>Sheet1!$F$3</c:f>
              <c:strCache>
                <c:ptCount val="1"/>
                <c:pt idx="0">
                  <c:v>IL3</c:v>
                </c:pt>
              </c:strCache>
            </c:strRef>
          </c:tx>
          <c:spPr>
            <a:ln w="19050" cap="rnd">
              <a:solidFill>
                <a:schemeClr val="accent5"/>
              </a:solidFill>
              <a:round/>
            </a:ln>
            <a:effectLst/>
          </c:spPr>
          <c:marker>
            <c:symbol val="none"/>
          </c:marker>
          <c:xVal>
            <c:numRef>
              <c:f>Sheet1!$A$5:$A$104</c:f>
              <c:numCache>
                <c:formatCode>General</c:formatCode>
                <c:ptCount val="100"/>
                <c:pt idx="0">
                  <c:v>0.1</c:v>
                </c:pt>
                <c:pt idx="1">
                  <c:v>0.11233240329780277</c:v>
                </c:pt>
                <c:pt idx="2">
                  <c:v>0.1261856883066021</c:v>
                </c:pt>
                <c:pt idx="3">
                  <c:v>0.14174741629268048</c:v>
                </c:pt>
                <c:pt idx="4">
                  <c:v>0.15922827933410924</c:v>
                </c:pt>
                <c:pt idx="5">
                  <c:v>0.1788649529057435</c:v>
                </c:pt>
                <c:pt idx="6">
                  <c:v>0.20092330025650479</c:v>
                </c:pt>
                <c:pt idx="7">
                  <c:v>0.2257019719633919</c:v>
                </c:pt>
                <c:pt idx="8">
                  <c:v>0.25353644939701114</c:v>
                </c:pt>
                <c:pt idx="9">
                  <c:v>0.28480358684358015</c:v>
                </c:pt>
                <c:pt idx="10">
                  <c:v>0.31992671377973841</c:v>
                </c:pt>
                <c:pt idx="11">
                  <c:v>0.35938136638046259</c:v>
                </c:pt>
                <c:pt idx="12">
                  <c:v>0.40370172585965536</c:v>
                </c:pt>
                <c:pt idx="13">
                  <c:v>0.45348785081285825</c:v>
                </c:pt>
                <c:pt idx="14">
                  <c:v>0.50941380148163806</c:v>
                </c:pt>
                <c:pt idx="15">
                  <c:v>0.57223676593502204</c:v>
                </c:pt>
                <c:pt idx="16">
                  <c:v>0.64280731172843197</c:v>
                </c:pt>
                <c:pt idx="17">
                  <c:v>0.72208090183854634</c:v>
                </c:pt>
                <c:pt idx="18">
                  <c:v>0.81113083078968717</c:v>
                </c:pt>
                <c:pt idx="19">
                  <c:v>0.91116275611548869</c:v>
                </c:pt>
                <c:pt idx="20">
                  <c:v>1.023531021899027</c:v>
                </c:pt>
                <c:pt idx="21">
                  <c:v>1.1497569953977356</c:v>
                </c:pt>
                <c:pt idx="22">
                  <c:v>1.2915496650148841</c:v>
                </c:pt>
                <c:pt idx="23">
                  <c:v>1.4508287784959402</c:v>
                </c:pt>
                <c:pt idx="24">
                  <c:v>1.6297508346206435</c:v>
                </c:pt>
                <c:pt idx="25">
                  <c:v>1.8307382802953678</c:v>
                </c:pt>
                <c:pt idx="26">
                  <c:v>2.0565123083486516</c:v>
                </c:pt>
                <c:pt idx="27">
                  <c:v>2.310129700083158</c:v>
                </c:pt>
                <c:pt idx="28">
                  <c:v>2.5950242113997373</c:v>
                </c:pt>
                <c:pt idx="29">
                  <c:v>2.9150530628251756</c:v>
                </c:pt>
                <c:pt idx="30">
                  <c:v>3.2745491628777286</c:v>
                </c:pt>
                <c:pt idx="31">
                  <c:v>3.6783797718286344</c:v>
                </c:pt>
                <c:pt idx="32">
                  <c:v>4.1320124001153342</c:v>
                </c:pt>
                <c:pt idx="33">
                  <c:v>4.6415888336127828</c:v>
                </c:pt>
                <c:pt idx="34">
                  <c:v>5.2140082879996843</c:v>
                </c:pt>
                <c:pt idx="35">
                  <c:v>5.8570208180566672</c:v>
                </c:pt>
                <c:pt idx="36">
                  <c:v>6.5793322465756816</c:v>
                </c:pt>
                <c:pt idx="37">
                  <c:v>7.3907220335257744</c:v>
                </c:pt>
                <c:pt idx="38">
                  <c:v>8.3021756813197438</c:v>
                </c:pt>
                <c:pt idx="39">
                  <c:v>9.3260334688322004</c:v>
                </c:pt>
                <c:pt idx="40">
                  <c:v>10.476157527896651</c:v>
                </c:pt>
                <c:pt idx="41">
                  <c:v>11.768119524349979</c:v>
                </c:pt>
                <c:pt idx="42">
                  <c:v>13.219411484660288</c:v>
                </c:pt>
                <c:pt idx="43">
                  <c:v>14.84968262254465</c:v>
                </c:pt>
                <c:pt idx="44">
                  <c:v>16.681005372000591</c:v>
                </c:pt>
                <c:pt idx="45">
                  <c:v>18.738174228603846</c:v>
                </c:pt>
                <c:pt idx="46">
                  <c:v>21.049041445120196</c:v>
                </c:pt>
                <c:pt idx="47">
                  <c:v>23.644894126454073</c:v>
                </c:pt>
                <c:pt idx="48">
                  <c:v>26.560877829466868</c:v>
                </c:pt>
                <c:pt idx="49">
                  <c:v>29.836472402833401</c:v>
                </c:pt>
                <c:pt idx="50">
                  <c:v>33.516026509388411</c:v>
                </c:pt>
                <c:pt idx="51">
                  <c:v>37.649358067924673</c:v>
                </c:pt>
                <c:pt idx="52">
                  <c:v>42.292428743894988</c:v>
                </c:pt>
                <c:pt idx="53">
                  <c:v>47.508101621027983</c:v>
                </c:pt>
                <c:pt idx="54">
                  <c:v>53.366992312063068</c:v>
                </c:pt>
                <c:pt idx="55">
                  <c:v>59.948425031894082</c:v>
                </c:pt>
                <c:pt idx="56">
                  <c:v>67.341506577508213</c:v>
                </c:pt>
                <c:pt idx="57">
                  <c:v>75.646332755462907</c:v>
                </c:pt>
                <c:pt idx="58">
                  <c:v>84.975343590864483</c:v>
                </c:pt>
                <c:pt idx="59">
                  <c:v>95.454845666183374</c:v>
                </c:pt>
                <c:pt idx="60">
                  <c:v>107.22672220103232</c:v>
                </c:pt>
                <c:pt idx="61">
                  <c:v>120.45035402587824</c:v>
                </c:pt>
                <c:pt idx="62">
                  <c:v>135.30477745798075</c:v>
                </c:pt>
                <c:pt idx="63">
                  <c:v>151.99110829529332</c:v>
                </c:pt>
                <c:pt idx="64">
                  <c:v>170.73526474706904</c:v>
                </c:pt>
                <c:pt idx="65">
                  <c:v>191.79102616724884</c:v>
                </c:pt>
                <c:pt idx="66">
                  <c:v>215.44346900318845</c:v>
                </c:pt>
                <c:pt idx="67">
                  <c:v>242.01282647943808</c:v>
                </c:pt>
                <c:pt idx="68">
                  <c:v>271.85882427329398</c:v>
                </c:pt>
                <c:pt idx="69">
                  <c:v>305.38555088334158</c:v>
                </c:pt>
                <c:pt idx="70">
                  <c:v>343.04692863149188</c:v>
                </c:pt>
                <c:pt idx="71">
                  <c:v>385.35285937105311</c:v>
                </c:pt>
                <c:pt idx="72">
                  <c:v>432.87612810830575</c:v>
                </c:pt>
                <c:pt idx="73">
                  <c:v>486.26015800653533</c:v>
                </c:pt>
                <c:pt idx="74">
                  <c:v>546.22772176843421</c:v>
                </c:pt>
                <c:pt idx="75">
                  <c:v>613.59072734131757</c:v>
                </c:pt>
                <c:pt idx="76">
                  <c:v>689.2612104349696</c:v>
                </c:pt>
                <c:pt idx="77">
                  <c:v>774.26368268112697</c:v>
                </c:pt>
                <c:pt idx="78">
                  <c:v>869.74900261778339</c:v>
                </c:pt>
                <c:pt idx="79">
                  <c:v>977.00995729922568</c:v>
                </c:pt>
                <c:pt idx="80">
                  <c:v>1097.4987654930569</c:v>
                </c:pt>
                <c:pt idx="81">
                  <c:v>1232.8467394420659</c:v>
                </c:pt>
                <c:pt idx="82">
                  <c:v>1384.8863713938717</c:v>
                </c:pt>
                <c:pt idx="83">
                  <c:v>1555.6761439304723</c:v>
                </c:pt>
                <c:pt idx="84">
                  <c:v>1747.5284000076829</c:v>
                </c:pt>
                <c:pt idx="85">
                  <c:v>1963.0406500402723</c:v>
                </c:pt>
                <c:pt idx="86">
                  <c:v>2205.1307399030457</c:v>
                </c:pt>
                <c:pt idx="87">
                  <c:v>2477.0763559917086</c:v>
                </c:pt>
                <c:pt idx="88">
                  <c:v>2782.5594022071259</c:v>
                </c:pt>
                <c:pt idx="89">
                  <c:v>3125.7158496882353</c:v>
                </c:pt>
                <c:pt idx="90">
                  <c:v>3511.1917342151346</c:v>
                </c:pt>
                <c:pt idx="91">
                  <c:v>3944.2060594376562</c:v>
                </c:pt>
                <c:pt idx="92">
                  <c:v>4430.6214575838776</c:v>
                </c:pt>
                <c:pt idx="93">
                  <c:v>4977.0235643321139</c:v>
                </c:pt>
                <c:pt idx="94">
                  <c:v>5590.8101825122221</c:v>
                </c:pt>
                <c:pt idx="95">
                  <c:v>6280.2914418342461</c:v>
                </c:pt>
                <c:pt idx="96">
                  <c:v>7054.8023107186455</c:v>
                </c:pt>
                <c:pt idx="97">
                  <c:v>7924.8289835391697</c:v>
                </c:pt>
                <c:pt idx="98">
                  <c:v>8902.1508544503922</c:v>
                </c:pt>
                <c:pt idx="99">
                  <c:v>10000</c:v>
                </c:pt>
              </c:numCache>
            </c:numRef>
          </c:xVal>
          <c:yVal>
            <c:numRef>
              <c:f>Sheet1!$F$5:$F$104</c:f>
              <c:numCache>
                <c:formatCode>General</c:formatCode>
                <c:ptCount val="100"/>
                <c:pt idx="0">
                  <c:v>0</c:v>
                </c:pt>
                <c:pt idx="1">
                  <c:v>0</c:v>
                </c:pt>
                <c:pt idx="2">
                  <c:v>0</c:v>
                </c:pt>
                <c:pt idx="3">
                  <c:v>0</c:v>
                </c:pt>
                <c:pt idx="4">
                  <c:v>0</c:v>
                </c:pt>
                <c:pt idx="5">
                  <c:v>0</c:v>
                </c:pt>
                <c:pt idx="6">
                  <c:v>0</c:v>
                </c:pt>
                <c:pt idx="7">
                  <c:v>0</c:v>
                </c:pt>
                <c:pt idx="8">
                  <c:v>0</c:v>
                </c:pt>
                <c:pt idx="9">
                  <c:v>1.8689410713797921E-4</c:v>
                </c:pt>
                <c:pt idx="10">
                  <c:v>4.9396511611110399E-4</c:v>
                </c:pt>
                <c:pt idx="11">
                  <c:v>9.1291498938550757E-4</c:v>
                </c:pt>
                <c:pt idx="12">
                  <c:v>1.4505841589707439E-3</c:v>
                </c:pt>
                <c:pt idx="13">
                  <c:v>2.1058379176464976E-3</c:v>
                </c:pt>
                <c:pt idx="14">
                  <c:v>2.8676646539611324E-3</c:v>
                </c:pt>
                <c:pt idx="15">
                  <c:v>3.7136917045428792E-3</c:v>
                </c:pt>
                <c:pt idx="16">
                  <c:v>4.6093589431168008E-3</c:v>
                </c:pt>
                <c:pt idx="17">
                  <c:v>5.5080166286915165E-3</c:v>
                </c:pt>
                <c:pt idx="18">
                  <c:v>6.3522288502569167E-3</c:v>
                </c:pt>
                <c:pt idx="19">
                  <c:v>7.0765600956276846E-3</c:v>
                </c:pt>
                <c:pt idx="20">
                  <c:v>7.6120926673356034E-3</c:v>
                </c:pt>
                <c:pt idx="21">
                  <c:v>7.8928597792414512E-3</c:v>
                </c:pt>
                <c:pt idx="22">
                  <c:v>7.8642771743264797E-3</c:v>
                </c:pt>
                <c:pt idx="23">
                  <c:v>7.4935110314831516E-3</c:v>
                </c:pt>
                <c:pt idx="24">
                  <c:v>6.7815309768174733E-3</c:v>
                </c:pt>
                <c:pt idx="25">
                  <c:v>5.7763677730364787E-3</c:v>
                </c:pt>
                <c:pt idx="26">
                  <c:v>4.586834888278768E-3</c:v>
                </c:pt>
                <c:pt idx="27">
                  <c:v>3.3956973496015231E-3</c:v>
                </c:pt>
                <c:pt idx="28">
                  <c:v>2.4710028879681286E-3</c:v>
                </c:pt>
                <c:pt idx="29">
                  <c:v>2.1740592434927328E-3</c:v>
                </c:pt>
                <c:pt idx="30">
                  <c:v>2.9623835656991354E-3</c:v>
                </c:pt>
                <c:pt idx="31">
                  <c:v>5.3859050804697314E-3</c:v>
                </c:pt>
                <c:pt idx="32">
                  <c:v>1.0074811288314552E-2</c:v>
                </c:pt>
                <c:pt idx="33">
                  <c:v>1.7717727730990215E-2</c:v>
                </c:pt>
                <c:pt idx="34">
                  <c:v>2.9029439058574618E-2</c:v>
                </c:pt>
                <c:pt idx="35">
                  <c:v>4.4708105909577529E-2</c:v>
                </c:pt>
                <c:pt idx="36">
                  <c:v>6.538289638075695E-2</c:v>
                </c:pt>
                <c:pt idx="37">
                  <c:v>9.1554092234236772E-2</c:v>
                </c:pt>
                <c:pt idx="38">
                  <c:v>0.12352897505165608</c:v>
                </c:pt>
                <c:pt idx="39">
                  <c:v>0.16135803854047986</c:v>
                </c:pt>
                <c:pt idx="40">
                  <c:v>0.20477717089983885</c:v>
                </c:pt>
                <c:pt idx="41">
                  <c:v>0.25316224294050788</c:v>
                </c:pt>
                <c:pt idx="42">
                  <c:v>0.30550285138514638</c:v>
                </c:pt>
                <c:pt idx="43">
                  <c:v>0.36040164038738098</c:v>
                </c:pt>
                <c:pt idx="44">
                  <c:v>0.41610453013971699</c:v>
                </c:pt>
                <c:pt idx="45">
                  <c:v>0.47056525319929682</c:v>
                </c:pt>
                <c:pt idx="46">
                  <c:v>0.52154485833388764</c:v>
                </c:pt>
                <c:pt idx="47">
                  <c:v>0.56674341919259785</c:v>
                </c:pt>
                <c:pt idx="48">
                  <c:v>0.6039573333474807</c:v>
                </c:pt>
                <c:pt idx="49">
                  <c:v>0.63125168779779484</c:v>
                </c:pt>
                <c:pt idx="50">
                  <c:v>0.64713366982554787</c:v>
                </c:pt>
                <c:pt idx="51">
                  <c:v>0.65071044405555722</c:v>
                </c:pt>
                <c:pt idx="52">
                  <c:v>0.64181382011148669</c:v>
                </c:pt>
                <c:pt idx="53">
                  <c:v>0.62107484089414489</c:v>
                </c:pt>
                <c:pt idx="54">
                  <c:v>0.58993440281769449</c:v>
                </c:pt>
                <c:pt idx="55">
                  <c:v>0.55058120219783735</c:v>
                </c:pt>
                <c:pt idx="56">
                  <c:v>0.50581540290442395</c:v>
                </c:pt>
                <c:pt idx="57">
                  <c:v>0.45884481962991208</c:v>
                </c:pt>
                <c:pt idx="58">
                  <c:v>0.41302917447451987</c:v>
                </c:pt>
                <c:pt idx="59">
                  <c:v>0.37159594267480384</c:v>
                </c:pt>
                <c:pt idx="60">
                  <c:v>0.33735718939879467</c:v>
                </c:pt>
                <c:pt idx="61">
                  <c:v>0.31245943530909498</c:v>
                </c:pt>
                <c:pt idx="62">
                  <c:v>0.29819709685805956</c:v>
                </c:pt>
                <c:pt idx="63">
                  <c:v>0.29491405854261021</c:v>
                </c:pt>
                <c:pt idx="64">
                  <c:v>0.30200774777831391</c:v>
                </c:pt>
                <c:pt idx="65">
                  <c:v>0.31803674091262829</c:v>
                </c:pt>
                <c:pt idx="66">
                  <c:v>0.34091817068972674</c:v>
                </c:pt>
                <c:pt idx="67">
                  <c:v>0.36818728387409955</c:v>
                </c:pt>
                <c:pt idx="68">
                  <c:v>0.397280861954945</c:v>
                </c:pt>
                <c:pt idx="69">
                  <c:v>0.42580109847517184</c:v>
                </c:pt>
                <c:pt idx="70">
                  <c:v>0.45171848366897344</c:v>
                </c:pt>
                <c:pt idx="71">
                  <c:v>0.47348176496018174</c:v>
                </c:pt>
                <c:pt idx="72">
                  <c:v>0.49001927090822267</c:v>
                </c:pt>
                <c:pt idx="73">
                  <c:v>0.50063655356644232</c:v>
                </c:pt>
                <c:pt idx="74">
                  <c:v>0.50483699167249452</c:v>
                </c:pt>
                <c:pt idx="75">
                  <c:v>0.50211058024094968</c:v>
                </c:pt>
                <c:pt idx="76">
                  <c:v>0.4917474538327562</c:v>
                </c:pt>
                <c:pt idx="77">
                  <c:v>0.47273327860245218</c:v>
                </c:pt>
                <c:pt idx="78">
                  <c:v>0.44377140449911939</c:v>
                </c:pt>
                <c:pt idx="79">
                  <c:v>0.40345162431257642</c:v>
                </c:pt>
                <c:pt idx="80">
                  <c:v>0.35055065504498939</c:v>
                </c:pt>
                <c:pt idx="81">
                  <c:v>0.28441205548879694</c:v>
                </c:pt>
                <c:pt idx="82">
                  <c:v>0.20532366478197711</c:v>
                </c:pt>
                <c:pt idx="83">
                  <c:v>0.11479973023083032</c:v>
                </c:pt>
                <c:pt idx="84">
                  <c:v>1.5689229379589713E-2</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5.5415228999816916E-5</c:v>
                </c:pt>
              </c:numCache>
            </c:numRef>
          </c:yVal>
          <c:smooth val="1"/>
          <c:extLst>
            <c:ext xmlns:c16="http://schemas.microsoft.com/office/drawing/2014/chart" uri="{C3380CC4-5D6E-409C-BE32-E72D297353CC}">
              <c16:uniqueId val="{00000000-1872-4A28-96D9-03F463DA5DDD}"/>
            </c:ext>
          </c:extLst>
        </c:ser>
        <c:ser>
          <c:idx val="5"/>
          <c:order val="1"/>
          <c:tx>
            <c:strRef>
              <c:f>Sheet1!$G$3</c:f>
              <c:strCache>
                <c:ptCount val="1"/>
                <c:pt idx="0">
                  <c:v>IL 2</c:v>
                </c:pt>
              </c:strCache>
            </c:strRef>
          </c:tx>
          <c:spPr>
            <a:ln w="19050" cap="rnd">
              <a:solidFill>
                <a:schemeClr val="accent6"/>
              </a:solidFill>
              <a:round/>
            </a:ln>
            <a:effectLst/>
          </c:spPr>
          <c:marker>
            <c:symbol val="none"/>
          </c:marker>
          <c:xVal>
            <c:numRef>
              <c:f>Sheet1!$A$5:$A$104</c:f>
              <c:numCache>
                <c:formatCode>General</c:formatCode>
                <c:ptCount val="100"/>
                <c:pt idx="0">
                  <c:v>0.1</c:v>
                </c:pt>
                <c:pt idx="1">
                  <c:v>0.11233240329780277</c:v>
                </c:pt>
                <c:pt idx="2">
                  <c:v>0.1261856883066021</c:v>
                </c:pt>
                <c:pt idx="3">
                  <c:v>0.14174741629268048</c:v>
                </c:pt>
                <c:pt idx="4">
                  <c:v>0.15922827933410924</c:v>
                </c:pt>
                <c:pt idx="5">
                  <c:v>0.1788649529057435</c:v>
                </c:pt>
                <c:pt idx="6">
                  <c:v>0.20092330025650479</c:v>
                </c:pt>
                <c:pt idx="7">
                  <c:v>0.2257019719633919</c:v>
                </c:pt>
                <c:pt idx="8">
                  <c:v>0.25353644939701114</c:v>
                </c:pt>
                <c:pt idx="9">
                  <c:v>0.28480358684358015</c:v>
                </c:pt>
                <c:pt idx="10">
                  <c:v>0.31992671377973841</c:v>
                </c:pt>
                <c:pt idx="11">
                  <c:v>0.35938136638046259</c:v>
                </c:pt>
                <c:pt idx="12">
                  <c:v>0.40370172585965536</c:v>
                </c:pt>
                <c:pt idx="13">
                  <c:v>0.45348785081285825</c:v>
                </c:pt>
                <c:pt idx="14">
                  <c:v>0.50941380148163806</c:v>
                </c:pt>
                <c:pt idx="15">
                  <c:v>0.57223676593502204</c:v>
                </c:pt>
                <c:pt idx="16">
                  <c:v>0.64280731172843197</c:v>
                </c:pt>
                <c:pt idx="17">
                  <c:v>0.72208090183854634</c:v>
                </c:pt>
                <c:pt idx="18">
                  <c:v>0.81113083078968717</c:v>
                </c:pt>
                <c:pt idx="19">
                  <c:v>0.91116275611548869</c:v>
                </c:pt>
                <c:pt idx="20">
                  <c:v>1.023531021899027</c:v>
                </c:pt>
                <c:pt idx="21">
                  <c:v>1.1497569953977356</c:v>
                </c:pt>
                <c:pt idx="22">
                  <c:v>1.2915496650148841</c:v>
                </c:pt>
                <c:pt idx="23">
                  <c:v>1.4508287784959402</c:v>
                </c:pt>
                <c:pt idx="24">
                  <c:v>1.6297508346206435</c:v>
                </c:pt>
                <c:pt idx="25">
                  <c:v>1.8307382802953678</c:v>
                </c:pt>
                <c:pt idx="26">
                  <c:v>2.0565123083486516</c:v>
                </c:pt>
                <c:pt idx="27">
                  <c:v>2.310129700083158</c:v>
                </c:pt>
                <c:pt idx="28">
                  <c:v>2.5950242113997373</c:v>
                </c:pt>
                <c:pt idx="29">
                  <c:v>2.9150530628251756</c:v>
                </c:pt>
                <c:pt idx="30">
                  <c:v>3.2745491628777286</c:v>
                </c:pt>
                <c:pt idx="31">
                  <c:v>3.6783797718286344</c:v>
                </c:pt>
                <c:pt idx="32">
                  <c:v>4.1320124001153342</c:v>
                </c:pt>
                <c:pt idx="33">
                  <c:v>4.6415888336127828</c:v>
                </c:pt>
                <c:pt idx="34">
                  <c:v>5.2140082879996843</c:v>
                </c:pt>
                <c:pt idx="35">
                  <c:v>5.8570208180566672</c:v>
                </c:pt>
                <c:pt idx="36">
                  <c:v>6.5793322465756816</c:v>
                </c:pt>
                <c:pt idx="37">
                  <c:v>7.3907220335257744</c:v>
                </c:pt>
                <c:pt idx="38">
                  <c:v>8.3021756813197438</c:v>
                </c:pt>
                <c:pt idx="39">
                  <c:v>9.3260334688322004</c:v>
                </c:pt>
                <c:pt idx="40">
                  <c:v>10.476157527896651</c:v>
                </c:pt>
                <c:pt idx="41">
                  <c:v>11.768119524349979</c:v>
                </c:pt>
                <c:pt idx="42">
                  <c:v>13.219411484660288</c:v>
                </c:pt>
                <c:pt idx="43">
                  <c:v>14.84968262254465</c:v>
                </c:pt>
                <c:pt idx="44">
                  <c:v>16.681005372000591</c:v>
                </c:pt>
                <c:pt idx="45">
                  <c:v>18.738174228603846</c:v>
                </c:pt>
                <c:pt idx="46">
                  <c:v>21.049041445120196</c:v>
                </c:pt>
                <c:pt idx="47">
                  <c:v>23.644894126454073</c:v>
                </c:pt>
                <c:pt idx="48">
                  <c:v>26.560877829466868</c:v>
                </c:pt>
                <c:pt idx="49">
                  <c:v>29.836472402833401</c:v>
                </c:pt>
                <c:pt idx="50">
                  <c:v>33.516026509388411</c:v>
                </c:pt>
                <c:pt idx="51">
                  <c:v>37.649358067924673</c:v>
                </c:pt>
                <c:pt idx="52">
                  <c:v>42.292428743894988</c:v>
                </c:pt>
                <c:pt idx="53">
                  <c:v>47.508101621027983</c:v>
                </c:pt>
                <c:pt idx="54">
                  <c:v>53.366992312063068</c:v>
                </c:pt>
                <c:pt idx="55">
                  <c:v>59.948425031894082</c:v>
                </c:pt>
                <c:pt idx="56">
                  <c:v>67.341506577508213</c:v>
                </c:pt>
                <c:pt idx="57">
                  <c:v>75.646332755462907</c:v>
                </c:pt>
                <c:pt idx="58">
                  <c:v>84.975343590864483</c:v>
                </c:pt>
                <c:pt idx="59">
                  <c:v>95.454845666183374</c:v>
                </c:pt>
                <c:pt idx="60">
                  <c:v>107.22672220103232</c:v>
                </c:pt>
                <c:pt idx="61">
                  <c:v>120.45035402587824</c:v>
                </c:pt>
                <c:pt idx="62">
                  <c:v>135.30477745798075</c:v>
                </c:pt>
                <c:pt idx="63">
                  <c:v>151.99110829529332</c:v>
                </c:pt>
                <c:pt idx="64">
                  <c:v>170.73526474706904</c:v>
                </c:pt>
                <c:pt idx="65">
                  <c:v>191.79102616724884</c:v>
                </c:pt>
                <c:pt idx="66">
                  <c:v>215.44346900318845</c:v>
                </c:pt>
                <c:pt idx="67">
                  <c:v>242.01282647943808</c:v>
                </c:pt>
                <c:pt idx="68">
                  <c:v>271.85882427329398</c:v>
                </c:pt>
                <c:pt idx="69">
                  <c:v>305.38555088334158</c:v>
                </c:pt>
                <c:pt idx="70">
                  <c:v>343.04692863149188</c:v>
                </c:pt>
                <c:pt idx="71">
                  <c:v>385.35285937105311</c:v>
                </c:pt>
                <c:pt idx="72">
                  <c:v>432.87612810830575</c:v>
                </c:pt>
                <c:pt idx="73">
                  <c:v>486.26015800653533</c:v>
                </c:pt>
                <c:pt idx="74">
                  <c:v>546.22772176843421</c:v>
                </c:pt>
                <c:pt idx="75">
                  <c:v>613.59072734131757</c:v>
                </c:pt>
                <c:pt idx="76">
                  <c:v>689.2612104349696</c:v>
                </c:pt>
                <c:pt idx="77">
                  <c:v>774.26368268112697</c:v>
                </c:pt>
                <c:pt idx="78">
                  <c:v>869.74900261778339</c:v>
                </c:pt>
                <c:pt idx="79">
                  <c:v>977.00995729922568</c:v>
                </c:pt>
                <c:pt idx="80">
                  <c:v>1097.4987654930569</c:v>
                </c:pt>
                <c:pt idx="81">
                  <c:v>1232.8467394420659</c:v>
                </c:pt>
                <c:pt idx="82">
                  <c:v>1384.8863713938717</c:v>
                </c:pt>
                <c:pt idx="83">
                  <c:v>1555.6761439304723</c:v>
                </c:pt>
                <c:pt idx="84">
                  <c:v>1747.5284000076829</c:v>
                </c:pt>
                <c:pt idx="85">
                  <c:v>1963.0406500402723</c:v>
                </c:pt>
                <c:pt idx="86">
                  <c:v>2205.1307399030457</c:v>
                </c:pt>
                <c:pt idx="87">
                  <c:v>2477.0763559917086</c:v>
                </c:pt>
                <c:pt idx="88">
                  <c:v>2782.5594022071259</c:v>
                </c:pt>
                <c:pt idx="89">
                  <c:v>3125.7158496882353</c:v>
                </c:pt>
                <c:pt idx="90">
                  <c:v>3511.1917342151346</c:v>
                </c:pt>
                <c:pt idx="91">
                  <c:v>3944.2060594376562</c:v>
                </c:pt>
                <c:pt idx="92">
                  <c:v>4430.6214575838776</c:v>
                </c:pt>
                <c:pt idx="93">
                  <c:v>4977.0235643321139</c:v>
                </c:pt>
                <c:pt idx="94">
                  <c:v>5590.8101825122221</c:v>
                </c:pt>
                <c:pt idx="95">
                  <c:v>6280.2914418342461</c:v>
                </c:pt>
                <c:pt idx="96">
                  <c:v>7054.8023107186455</c:v>
                </c:pt>
                <c:pt idx="97">
                  <c:v>7924.8289835391697</c:v>
                </c:pt>
                <c:pt idx="98">
                  <c:v>8902.1508544503922</c:v>
                </c:pt>
                <c:pt idx="99">
                  <c:v>10000</c:v>
                </c:pt>
              </c:numCache>
            </c:numRef>
          </c:xVal>
          <c:yVal>
            <c:numRef>
              <c:f>Sheet1!$G$5:$G$104</c:f>
              <c:numCache>
                <c:formatCode>General</c:formatCode>
                <c:ptCount val="100"/>
                <c:pt idx="0">
                  <c:v>1.9596762482819614E-4</c:v>
                </c:pt>
                <c:pt idx="1">
                  <c:v>3.0724957768816911E-4</c:v>
                </c:pt>
                <c:pt idx="2">
                  <c:v>4.6079443449075749E-4</c:v>
                </c:pt>
                <c:pt idx="3">
                  <c:v>6.6492108359968041E-4</c:v>
                </c:pt>
                <c:pt idx="4">
                  <c:v>9.2791880608940358E-4</c:v>
                </c:pt>
                <c:pt idx="5">
                  <c:v>1.2579484660095218E-3</c:v>
                </c:pt>
                <c:pt idx="6">
                  <c:v>1.6629799887651522E-3</c:v>
                </c:pt>
                <c:pt idx="7">
                  <c:v>2.1507075871587296E-3</c:v>
                </c:pt>
                <c:pt idx="8">
                  <c:v>2.7283788947579687E-3</c:v>
                </c:pt>
                <c:pt idx="9">
                  <c:v>3.4024775868689602E-3</c:v>
                </c:pt>
                <c:pt idx="10">
                  <c:v>4.17820825863046E-3</c:v>
                </c:pt>
                <c:pt idx="11">
                  <c:v>5.0587462229467048E-3</c:v>
                </c:pt>
                <c:pt idx="12">
                  <c:v>6.0442340563732107E-3</c:v>
                </c:pt>
                <c:pt idx="13">
                  <c:v>7.1305325966621183E-3</c:v>
                </c:pt>
                <c:pt idx="14">
                  <c:v>8.3077682066733573E-3</c:v>
                </c:pt>
                <c:pt idx="15">
                  <c:v>9.5587614258848125E-3</c:v>
                </c:pt>
                <c:pt idx="16">
                  <c:v>1.0857474495554392E-2</c:v>
                </c:pt>
                <c:pt idx="17">
                  <c:v>1.2167674974921208E-2</c:v>
                </c:pt>
                <c:pt idx="18">
                  <c:v>1.3442076123601782E-2</c:v>
                </c:pt>
                <c:pt idx="19">
                  <c:v>1.4622276019697053E-2</c:v>
                </c:pt>
                <c:pt idx="20">
                  <c:v>1.5639868229996124E-2</c:v>
                </c:pt>
                <c:pt idx="21">
                  <c:v>1.6419126670244064E-2</c:v>
                </c:pt>
                <c:pt idx="22">
                  <c:v>1.6881663661189525E-2</c:v>
                </c:pt>
                <c:pt idx="23">
                  <c:v>1.695340969642397E-2</c:v>
                </c:pt>
                <c:pt idx="24">
                  <c:v>1.6574153087124996E-2</c:v>
                </c:pt>
                <c:pt idx="25">
                  <c:v>1.5709696724343018E-2</c:v>
                </c:pt>
                <c:pt idx="26">
                  <c:v>1.4366431637061913E-2</c:v>
                </c:pt>
                <c:pt idx="27">
                  <c:v>1.2607794081899033E-2</c:v>
                </c:pt>
                <c:pt idx="28">
                  <c:v>1.057167589287931E-2</c:v>
                </c:pt>
                <c:pt idx="29">
                  <c:v>8.4874205362678121E-3</c:v>
                </c:pt>
                <c:pt idx="30">
                  <c:v>6.6905976325297234E-3</c:v>
                </c:pt>
                <c:pt idx="31">
                  <c:v>5.63335883404718E-3</c:v>
                </c:pt>
                <c:pt idx="32">
                  <c:v>5.8879027173396993E-3</c:v>
                </c:pt>
                <c:pt idx="33">
                  <c:v>8.1404890493304675E-3</c:v>
                </c:pt>
                <c:pt idx="34">
                  <c:v>1.3173618188432922E-2</c:v>
                </c:pt>
                <c:pt idx="35">
                  <c:v>2.1834495953983481E-2</c:v>
                </c:pt>
                <c:pt idx="36">
                  <c:v>3.4988784046839805E-2</c:v>
                </c:pt>
                <c:pt idx="37">
                  <c:v>5.3459903003227366E-2</c:v>
                </c:pt>
                <c:pt idx="38">
                  <c:v>7.7955773282002538E-2</c:v>
                </c:pt>
                <c:pt idx="39">
                  <c:v>0.1089867565794372</c:v>
                </c:pt>
                <c:pt idx="40">
                  <c:v>0.14678053554255177</c:v>
                </c:pt>
                <c:pt idx="41">
                  <c:v>0.19120152464400697</c:v>
                </c:pt>
                <c:pt idx="42">
                  <c:v>0.24168386609742706</c:v>
                </c:pt>
                <c:pt idx="43">
                  <c:v>0.29718783307286745</c:v>
                </c:pt>
                <c:pt idx="44">
                  <c:v>0.35618924724441009</c:v>
                </c:pt>
                <c:pt idx="45">
                  <c:v>0.4167100822086533</c:v>
                </c:pt>
                <c:pt idx="46">
                  <c:v>0.47639563788355055</c:v>
                </c:pt>
                <c:pt idx="47">
                  <c:v>0.53263955989455303</c:v>
                </c:pt>
                <c:pt idx="48">
                  <c:v>0.58275276655707464</c:v>
                </c:pt>
                <c:pt idx="49">
                  <c:v>0.62416647806937953</c:v>
                </c:pt>
                <c:pt idx="50">
                  <c:v>0.6546536721886379</c:v>
                </c:pt>
                <c:pt idx="51">
                  <c:v>0.67254823624552573</c:v>
                </c:pt>
                <c:pt idx="52">
                  <c:v>0.67693774154796948</c:v>
                </c:pt>
                <c:pt idx="53">
                  <c:v>0.66780497880128131</c:v>
                </c:pt>
                <c:pt idx="54">
                  <c:v>0.64609580747620043</c:v>
                </c:pt>
                <c:pt idx="55">
                  <c:v>0.61369677553948809</c:v>
                </c:pt>
                <c:pt idx="56">
                  <c:v>0.57331515233312436</c:v>
                </c:pt>
                <c:pt idx="57">
                  <c:v>0.52826570411554274</c:v>
                </c:pt>
                <c:pt idx="58">
                  <c:v>0.48218137156584795</c:v>
                </c:pt>
                <c:pt idx="59">
                  <c:v>0.43867715757725595</c:v>
                </c:pt>
                <c:pt idx="60">
                  <c:v>0.40100593426765196</c:v>
                </c:pt>
                <c:pt idx="61">
                  <c:v>0.37174954226325435</c:v>
                </c:pt>
                <c:pt idx="62">
                  <c:v>0.35258696017280539</c:v>
                </c:pt>
                <c:pt idx="63">
                  <c:v>0.34417279559295727</c:v>
                </c:pt>
                <c:pt idx="64">
                  <c:v>0.34614437488201633</c:v>
                </c:pt>
                <c:pt idx="65">
                  <c:v>0.35725606885658151</c:v>
                </c:pt>
                <c:pt idx="66">
                  <c:v>0.3756181716261115</c:v>
                </c:pt>
                <c:pt idx="67">
                  <c:v>0.39899847543238443</c:v>
                </c:pt>
                <c:pt idx="68">
                  <c:v>0.42513169634127695</c:v>
                </c:pt>
                <c:pt idx="69">
                  <c:v>0.45197855234113032</c:v>
                </c:pt>
                <c:pt idx="70">
                  <c:v>0.47788457772835219</c:v>
                </c:pt>
                <c:pt idx="71">
                  <c:v>0.50160850724465922</c:v>
                </c:pt>
                <c:pt idx="72">
                  <c:v>0.52221854894912201</c:v>
                </c:pt>
                <c:pt idx="73">
                  <c:v>0.53888689195115436</c:v>
                </c:pt>
                <c:pt idx="74">
                  <c:v>0.55064139176882798</c:v>
                </c:pt>
                <c:pt idx="75">
                  <c:v>0.55615104781103319</c:v>
                </c:pt>
                <c:pt idx="76">
                  <c:v>0.55362231967637676</c:v>
                </c:pt>
                <c:pt idx="77">
                  <c:v>0.54086331967431578</c:v>
                </c:pt>
                <c:pt idx="78">
                  <c:v>0.51553419921578258</c:v>
                </c:pt>
                <c:pt idx="79">
                  <c:v>0.47555235926840794</c:v>
                </c:pt>
                <c:pt idx="80">
                  <c:v>0.41957355191091639</c:v>
                </c:pt>
                <c:pt idx="81">
                  <c:v>0.34743964581275433</c:v>
                </c:pt>
                <c:pt idx="82">
                  <c:v>0.26048242024090634</c:v>
                </c:pt>
                <c:pt idx="83">
                  <c:v>0.16160279308932934</c:v>
                </c:pt>
                <c:pt idx="84">
                  <c:v>5.5097736394545398E-2</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1.0479291384916348E-3</c:v>
                </c:pt>
              </c:numCache>
            </c:numRef>
          </c:yVal>
          <c:smooth val="1"/>
          <c:extLst>
            <c:ext xmlns:c16="http://schemas.microsoft.com/office/drawing/2014/chart" uri="{C3380CC4-5D6E-409C-BE32-E72D297353CC}">
              <c16:uniqueId val="{00000001-1872-4A28-96D9-03F463DA5DDD}"/>
            </c:ext>
          </c:extLst>
        </c:ser>
        <c:ser>
          <c:idx val="6"/>
          <c:order val="2"/>
          <c:tx>
            <c:strRef>
              <c:f>Sheet1!$H$3</c:f>
              <c:strCache>
                <c:ptCount val="1"/>
                <c:pt idx="0">
                  <c:v>IL1</c:v>
                </c:pt>
              </c:strCache>
            </c:strRef>
          </c:tx>
          <c:spPr>
            <a:ln w="19050" cap="rnd">
              <a:solidFill>
                <a:schemeClr val="accent1">
                  <a:lumMod val="60000"/>
                </a:schemeClr>
              </a:solidFill>
              <a:round/>
            </a:ln>
            <a:effectLst/>
          </c:spPr>
          <c:marker>
            <c:symbol val="none"/>
          </c:marker>
          <c:xVal>
            <c:numRef>
              <c:f>Sheet1!$A$5:$A$104</c:f>
              <c:numCache>
                <c:formatCode>General</c:formatCode>
                <c:ptCount val="100"/>
                <c:pt idx="0">
                  <c:v>0.1</c:v>
                </c:pt>
                <c:pt idx="1">
                  <c:v>0.11233240329780277</c:v>
                </c:pt>
                <c:pt idx="2">
                  <c:v>0.1261856883066021</c:v>
                </c:pt>
                <c:pt idx="3">
                  <c:v>0.14174741629268048</c:v>
                </c:pt>
                <c:pt idx="4">
                  <c:v>0.15922827933410924</c:v>
                </c:pt>
                <c:pt idx="5">
                  <c:v>0.1788649529057435</c:v>
                </c:pt>
                <c:pt idx="6">
                  <c:v>0.20092330025650479</c:v>
                </c:pt>
                <c:pt idx="7">
                  <c:v>0.2257019719633919</c:v>
                </c:pt>
                <c:pt idx="8">
                  <c:v>0.25353644939701114</c:v>
                </c:pt>
                <c:pt idx="9">
                  <c:v>0.28480358684358015</c:v>
                </c:pt>
                <c:pt idx="10">
                  <c:v>0.31992671377973841</c:v>
                </c:pt>
                <c:pt idx="11">
                  <c:v>0.35938136638046259</c:v>
                </c:pt>
                <c:pt idx="12">
                  <c:v>0.40370172585965536</c:v>
                </c:pt>
                <c:pt idx="13">
                  <c:v>0.45348785081285825</c:v>
                </c:pt>
                <c:pt idx="14">
                  <c:v>0.50941380148163806</c:v>
                </c:pt>
                <c:pt idx="15">
                  <c:v>0.57223676593502204</c:v>
                </c:pt>
                <c:pt idx="16">
                  <c:v>0.64280731172843197</c:v>
                </c:pt>
                <c:pt idx="17">
                  <c:v>0.72208090183854634</c:v>
                </c:pt>
                <c:pt idx="18">
                  <c:v>0.81113083078968717</c:v>
                </c:pt>
                <c:pt idx="19">
                  <c:v>0.91116275611548869</c:v>
                </c:pt>
                <c:pt idx="20">
                  <c:v>1.023531021899027</c:v>
                </c:pt>
                <c:pt idx="21">
                  <c:v>1.1497569953977356</c:v>
                </c:pt>
                <c:pt idx="22">
                  <c:v>1.2915496650148841</c:v>
                </c:pt>
                <c:pt idx="23">
                  <c:v>1.4508287784959402</c:v>
                </c:pt>
                <c:pt idx="24">
                  <c:v>1.6297508346206435</c:v>
                </c:pt>
                <c:pt idx="25">
                  <c:v>1.8307382802953678</c:v>
                </c:pt>
                <c:pt idx="26">
                  <c:v>2.0565123083486516</c:v>
                </c:pt>
                <c:pt idx="27">
                  <c:v>2.310129700083158</c:v>
                </c:pt>
                <c:pt idx="28">
                  <c:v>2.5950242113997373</c:v>
                </c:pt>
                <c:pt idx="29">
                  <c:v>2.9150530628251756</c:v>
                </c:pt>
                <c:pt idx="30">
                  <c:v>3.2745491628777286</c:v>
                </c:pt>
                <c:pt idx="31">
                  <c:v>3.6783797718286344</c:v>
                </c:pt>
                <c:pt idx="32">
                  <c:v>4.1320124001153342</c:v>
                </c:pt>
                <c:pt idx="33">
                  <c:v>4.6415888336127828</c:v>
                </c:pt>
                <c:pt idx="34">
                  <c:v>5.2140082879996843</c:v>
                </c:pt>
                <c:pt idx="35">
                  <c:v>5.8570208180566672</c:v>
                </c:pt>
                <c:pt idx="36">
                  <c:v>6.5793322465756816</c:v>
                </c:pt>
                <c:pt idx="37">
                  <c:v>7.3907220335257744</c:v>
                </c:pt>
                <c:pt idx="38">
                  <c:v>8.3021756813197438</c:v>
                </c:pt>
                <c:pt idx="39">
                  <c:v>9.3260334688322004</c:v>
                </c:pt>
                <c:pt idx="40">
                  <c:v>10.476157527896651</c:v>
                </c:pt>
                <c:pt idx="41">
                  <c:v>11.768119524349979</c:v>
                </c:pt>
                <c:pt idx="42">
                  <c:v>13.219411484660288</c:v>
                </c:pt>
                <c:pt idx="43">
                  <c:v>14.84968262254465</c:v>
                </c:pt>
                <c:pt idx="44">
                  <c:v>16.681005372000591</c:v>
                </c:pt>
                <c:pt idx="45">
                  <c:v>18.738174228603846</c:v>
                </c:pt>
                <c:pt idx="46">
                  <c:v>21.049041445120196</c:v>
                </c:pt>
                <c:pt idx="47">
                  <c:v>23.644894126454073</c:v>
                </c:pt>
                <c:pt idx="48">
                  <c:v>26.560877829466868</c:v>
                </c:pt>
                <c:pt idx="49">
                  <c:v>29.836472402833401</c:v>
                </c:pt>
                <c:pt idx="50">
                  <c:v>33.516026509388411</c:v>
                </c:pt>
                <c:pt idx="51">
                  <c:v>37.649358067924673</c:v>
                </c:pt>
                <c:pt idx="52">
                  <c:v>42.292428743894988</c:v>
                </c:pt>
                <c:pt idx="53">
                  <c:v>47.508101621027983</c:v>
                </c:pt>
                <c:pt idx="54">
                  <c:v>53.366992312063068</c:v>
                </c:pt>
                <c:pt idx="55">
                  <c:v>59.948425031894082</c:v>
                </c:pt>
                <c:pt idx="56">
                  <c:v>67.341506577508213</c:v>
                </c:pt>
                <c:pt idx="57">
                  <c:v>75.646332755462907</c:v>
                </c:pt>
                <c:pt idx="58">
                  <c:v>84.975343590864483</c:v>
                </c:pt>
                <c:pt idx="59">
                  <c:v>95.454845666183374</c:v>
                </c:pt>
                <c:pt idx="60">
                  <c:v>107.22672220103232</c:v>
                </c:pt>
                <c:pt idx="61">
                  <c:v>120.45035402587824</c:v>
                </c:pt>
                <c:pt idx="62">
                  <c:v>135.30477745798075</c:v>
                </c:pt>
                <c:pt idx="63">
                  <c:v>151.99110829529332</c:v>
                </c:pt>
                <c:pt idx="64">
                  <c:v>170.73526474706904</c:v>
                </c:pt>
                <c:pt idx="65">
                  <c:v>191.79102616724884</c:v>
                </c:pt>
                <c:pt idx="66">
                  <c:v>215.44346900318845</c:v>
                </c:pt>
                <c:pt idx="67">
                  <c:v>242.01282647943808</c:v>
                </c:pt>
                <c:pt idx="68">
                  <c:v>271.85882427329398</c:v>
                </c:pt>
                <c:pt idx="69">
                  <c:v>305.38555088334158</c:v>
                </c:pt>
                <c:pt idx="70">
                  <c:v>343.04692863149188</c:v>
                </c:pt>
                <c:pt idx="71">
                  <c:v>385.35285937105311</c:v>
                </c:pt>
                <c:pt idx="72">
                  <c:v>432.87612810830575</c:v>
                </c:pt>
                <c:pt idx="73">
                  <c:v>486.26015800653533</c:v>
                </c:pt>
                <c:pt idx="74">
                  <c:v>546.22772176843421</c:v>
                </c:pt>
                <c:pt idx="75">
                  <c:v>613.59072734131757</c:v>
                </c:pt>
                <c:pt idx="76">
                  <c:v>689.2612104349696</c:v>
                </c:pt>
                <c:pt idx="77">
                  <c:v>774.26368268112697</c:v>
                </c:pt>
                <c:pt idx="78">
                  <c:v>869.74900261778339</c:v>
                </c:pt>
                <c:pt idx="79">
                  <c:v>977.00995729922568</c:v>
                </c:pt>
                <c:pt idx="80">
                  <c:v>1097.4987654930569</c:v>
                </c:pt>
                <c:pt idx="81">
                  <c:v>1232.8467394420659</c:v>
                </c:pt>
                <c:pt idx="82">
                  <c:v>1384.8863713938717</c:v>
                </c:pt>
                <c:pt idx="83">
                  <c:v>1555.6761439304723</c:v>
                </c:pt>
                <c:pt idx="84">
                  <c:v>1747.5284000076829</c:v>
                </c:pt>
                <c:pt idx="85">
                  <c:v>1963.0406500402723</c:v>
                </c:pt>
                <c:pt idx="86">
                  <c:v>2205.1307399030457</c:v>
                </c:pt>
                <c:pt idx="87">
                  <c:v>2477.0763559917086</c:v>
                </c:pt>
                <c:pt idx="88">
                  <c:v>2782.5594022071259</c:v>
                </c:pt>
                <c:pt idx="89">
                  <c:v>3125.7158496882353</c:v>
                </c:pt>
                <c:pt idx="90">
                  <c:v>3511.1917342151346</c:v>
                </c:pt>
                <c:pt idx="91">
                  <c:v>3944.2060594376562</c:v>
                </c:pt>
                <c:pt idx="92">
                  <c:v>4430.6214575838776</c:v>
                </c:pt>
                <c:pt idx="93">
                  <c:v>4977.0235643321139</c:v>
                </c:pt>
                <c:pt idx="94">
                  <c:v>5590.8101825122221</c:v>
                </c:pt>
                <c:pt idx="95">
                  <c:v>6280.2914418342461</c:v>
                </c:pt>
                <c:pt idx="96">
                  <c:v>7054.8023107186455</c:v>
                </c:pt>
                <c:pt idx="97">
                  <c:v>7924.8289835391697</c:v>
                </c:pt>
                <c:pt idx="98">
                  <c:v>8902.1508544503922</c:v>
                </c:pt>
                <c:pt idx="99">
                  <c:v>10000</c:v>
                </c:pt>
              </c:numCache>
            </c:numRef>
          </c:xVal>
          <c:yVal>
            <c:numRef>
              <c:f>Sheet1!$H$5:$H$104</c:f>
              <c:numCache>
                <c:formatCode>General</c:formatCode>
                <c:ptCount val="1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1.447416637993196E-3</c:v>
                </c:pt>
                <c:pt idx="15">
                  <c:v>3.4961227114872393E-3</c:v>
                </c:pt>
                <c:pt idx="16">
                  <c:v>5.9174396794431962E-3</c:v>
                </c:pt>
                <c:pt idx="17">
                  <c:v>8.6487022597633873E-3</c:v>
                </c:pt>
                <c:pt idx="18">
                  <c:v>1.1594432850537793E-2</c:v>
                </c:pt>
                <c:pt idx="19">
                  <c:v>1.4626785159862975E-2</c:v>
                </c:pt>
                <c:pt idx="20">
                  <c:v>1.7588588988127884E-2</c:v>
                </c:pt>
                <c:pt idx="21">
                  <c:v>2.0299438575046617E-2</c:v>
                </c:pt>
                <c:pt idx="22">
                  <c:v>2.2565153529295875E-2</c:v>
                </c:pt>
                <c:pt idx="23">
                  <c:v>2.4190763348601832E-2</c:v>
                </c:pt>
                <c:pt idx="24">
                  <c:v>2.4996920598612703E-2</c:v>
                </c:pt>
                <c:pt idx="25">
                  <c:v>2.4839336635283725E-2</c:v>
                </c:pt>
                <c:pt idx="26">
                  <c:v>2.3630467663303577E-2</c:v>
                </c:pt>
                <c:pt idx="27">
                  <c:v>2.136227728048553E-2</c:v>
                </c:pt>
                <c:pt idx="28">
                  <c:v>1.8128493657068642E-2</c:v>
                </c:pt>
                <c:pt idx="29">
                  <c:v>1.4144404098795249E-2</c:v>
                </c:pt>
                <c:pt idx="30">
                  <c:v>9.761934411632053E-3</c:v>
                </c:pt>
                <c:pt idx="31">
                  <c:v>5.4775984811879889E-3</c:v>
                </c:pt>
                <c:pt idx="32">
                  <c:v>1.9309294992088122E-3</c:v>
                </c:pt>
                <c:pt idx="33">
                  <c:v>0</c:v>
                </c:pt>
                <c:pt idx="34">
                  <c:v>2.313262835089371E-4</c:v>
                </c:pt>
                <c:pt idx="35">
                  <c:v>3.8867706490949032E-3</c:v>
                </c:pt>
                <c:pt idx="36">
                  <c:v>1.1802208434595597E-2</c:v>
                </c:pt>
                <c:pt idx="37">
                  <c:v>2.486529044509107E-2</c:v>
                </c:pt>
                <c:pt idx="38">
                  <c:v>4.3832173198993657E-2</c:v>
                </c:pt>
                <c:pt idx="39">
                  <c:v>6.9249101494652368E-2</c:v>
                </c:pt>
                <c:pt idx="40">
                  <c:v>0.10137626103317088</c:v>
                </c:pt>
                <c:pt idx="41">
                  <c:v>0.14012109970151324</c:v>
                </c:pt>
                <c:pt idx="42">
                  <c:v>0.18498882854185536</c:v>
                </c:pt>
                <c:pt idx="43">
                  <c:v>0.23505760379167251</c:v>
                </c:pt>
                <c:pt idx="44">
                  <c:v>0.28898481932862846</c:v>
                </c:pt>
                <c:pt idx="45">
                  <c:v>0.34504893991949448</c:v>
                </c:pt>
                <c:pt idx="46">
                  <c:v>0.40122842006120807</c:v>
                </c:pt>
                <c:pt idx="47">
                  <c:v>0.45531564717667961</c:v>
                </c:pt>
                <c:pt idx="48">
                  <c:v>0.50505982211653921</c:v>
                </c:pt>
                <c:pt idx="49">
                  <c:v>0.5483286693883197</c:v>
                </c:pt>
                <c:pt idx="50">
                  <c:v>0.58327537193847578</c:v>
                </c:pt>
                <c:pt idx="51">
                  <c:v>0.60849470607262346</c:v>
                </c:pt>
                <c:pt idx="52">
                  <c:v>0.62315152933790274</c:v>
                </c:pt>
                <c:pt idx="53">
                  <c:v>0.62706594052030595</c:v>
                </c:pt>
                <c:pt idx="54">
                  <c:v>0.62074276372541004</c:v>
                </c:pt>
                <c:pt idx="55">
                  <c:v>0.60533839413938251</c:v>
                </c:pt>
                <c:pt idx="56">
                  <c:v>0.58256503203550314</c:v>
                </c:pt>
                <c:pt idx="57">
                  <c:v>0.55454014139476815</c:v>
                </c:pt>
                <c:pt idx="58">
                  <c:v>0.52359654681673728</c:v>
                </c:pt>
                <c:pt idx="59">
                  <c:v>0.49207472842047489</c:v>
                </c:pt>
                <c:pt idx="60">
                  <c:v>0.4621224257089222</c:v>
                </c:pt>
                <c:pt idx="61">
                  <c:v>0.43552670486680034</c:v>
                </c:pt>
                <c:pt idx="62">
                  <c:v>0.4135997326405968</c:v>
                </c:pt>
                <c:pt idx="63">
                  <c:v>0.3971318254345178</c:v>
                </c:pt>
                <c:pt idx="64">
                  <c:v>0.38641481864578614</c:v>
                </c:pt>
                <c:pt idx="65">
                  <c:v>0.38132702065913215</c:v>
                </c:pt>
                <c:pt idx="66">
                  <c:v>0.38146005361122182</c:v>
                </c:pt>
                <c:pt idx="67">
                  <c:v>0.38625995751680925</c:v>
                </c:pt>
                <c:pt idx="68">
                  <c:v>0.39515196123818974</c:v>
                </c:pt>
                <c:pt idx="69">
                  <c:v>0.40762143706194959</c:v>
                </c:pt>
                <c:pt idx="70">
                  <c:v>0.42323269656284868</c:v>
                </c:pt>
                <c:pt idx="71">
                  <c:v>0.44158097005834862</c:v>
                </c:pt>
                <c:pt idx="72">
                  <c:v>0.46218827595646694</c:v>
                </c:pt>
                <c:pt idx="73">
                  <c:v>0.48436706733612167</c:v>
                </c:pt>
                <c:pt idx="74">
                  <c:v>0.50708240727597431</c:v>
                </c:pt>
                <c:pt idx="75">
                  <c:v>0.52884060493978147</c:v>
                </c:pt>
                <c:pt idx="76">
                  <c:v>0.54761847458282809</c:v>
                </c:pt>
                <c:pt idx="77">
                  <c:v>0.56082508386082741</c:v>
                </c:pt>
                <c:pt idx="78">
                  <c:v>0.56526454610746613</c:v>
                </c:pt>
                <c:pt idx="79">
                  <c:v>0.55705634983303287</c:v>
                </c:pt>
                <c:pt idx="80">
                  <c:v>0.53148164431233669</c:v>
                </c:pt>
                <c:pt idx="81">
                  <c:v>0.48276453385602724</c:v>
                </c:pt>
                <c:pt idx="82">
                  <c:v>0.40385552534569535</c:v>
                </c:pt>
                <c:pt idx="83">
                  <c:v>0.28633308837136956</c:v>
                </c:pt>
                <c:pt idx="84">
                  <c:v>0.12054909601646256</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numCache>
            </c:numRef>
          </c:yVal>
          <c:smooth val="1"/>
          <c:extLst>
            <c:ext xmlns:c16="http://schemas.microsoft.com/office/drawing/2014/chart" uri="{C3380CC4-5D6E-409C-BE32-E72D297353CC}">
              <c16:uniqueId val="{00000002-1872-4A28-96D9-03F463DA5DDD}"/>
            </c:ext>
          </c:extLst>
        </c:ser>
        <c:dLbls>
          <c:showLegendKey val="0"/>
          <c:showVal val="0"/>
          <c:showCatName val="0"/>
          <c:showSerName val="0"/>
          <c:showPercent val="0"/>
          <c:showBubbleSize val="0"/>
        </c:dLbls>
        <c:axId val="805071504"/>
        <c:axId val="748206616"/>
      </c:scatterChart>
      <c:valAx>
        <c:axId val="805071504"/>
        <c:scaling>
          <c:logBase val="10"/>
          <c:orientation val="minMax"/>
          <c:max val="10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206616"/>
        <c:crosses val="autoZero"/>
        <c:crossBetween val="midCat"/>
      </c:valAx>
      <c:valAx>
        <c:axId val="7482066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0715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47DF4-73B6-420D-ADB3-6434DC9B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792</Words>
  <Characters>5261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Arshad Raza Afsar Rizvi</cp:lastModifiedBy>
  <cp:revision>3</cp:revision>
  <dcterms:created xsi:type="dcterms:W3CDTF">2013-12-23T23:15:00Z</dcterms:created>
  <dcterms:modified xsi:type="dcterms:W3CDTF">2025-11-17T21:40:00Z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d7a125ec-4d65-4610-b55e-732f44b86854</vt:lpwstr>
  </property>
</Properties>
</file>