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B6BAC" w14:textId="77777777" w:rsidR="007412E0" w:rsidRPr="00DD0988" w:rsidRDefault="007412E0" w:rsidP="00DD0988">
      <w:pPr>
        <w:jc w:val="both"/>
        <w:rPr>
          <w:rFonts w:ascii="Arial" w:hAnsi="Arial" w:cs="Arial"/>
          <w:b/>
          <w:bCs/>
        </w:rPr>
      </w:pPr>
      <w:r w:rsidRPr="00DD0988">
        <w:rPr>
          <w:rFonts w:ascii="Arial" w:hAnsi="Arial" w:cs="Arial"/>
          <w:b/>
          <w:bCs/>
        </w:rPr>
        <w:t>Artificial Intelligence for CO</w:t>
      </w:r>
      <w:r w:rsidRPr="00DD0988">
        <w:rPr>
          <w:rFonts w:ascii="Cambria Math" w:hAnsi="Cambria Math" w:cs="Cambria Math"/>
          <w:b/>
          <w:bCs/>
        </w:rPr>
        <w:t>₂</w:t>
      </w:r>
      <w:r w:rsidRPr="00DD0988">
        <w:rPr>
          <w:rFonts w:ascii="Arial" w:hAnsi="Arial" w:cs="Arial"/>
          <w:b/>
          <w:bCs/>
        </w:rPr>
        <w:t xml:space="preserve"> Injectivity, Well Performance, and Pressure Management</w:t>
      </w:r>
    </w:p>
    <w:p w14:paraId="424B7EDF" w14:textId="77777777" w:rsidR="00DD0988" w:rsidRPr="00DD0988" w:rsidRDefault="00DD0988" w:rsidP="00DD0988">
      <w:pPr>
        <w:jc w:val="both"/>
        <w:rPr>
          <w:rFonts w:ascii="Arial" w:hAnsi="Arial" w:cs="Arial"/>
          <w:b/>
          <w:bCs/>
        </w:rPr>
      </w:pPr>
    </w:p>
    <w:p w14:paraId="43EB7DC5" w14:textId="52EBDA8E" w:rsidR="007412E0" w:rsidRPr="00DD0988" w:rsidRDefault="007412E0" w:rsidP="00DD0988">
      <w:pPr>
        <w:jc w:val="both"/>
        <w:rPr>
          <w:rFonts w:ascii="Arial" w:hAnsi="Arial" w:cs="Arial"/>
        </w:rPr>
      </w:pPr>
      <w:r w:rsidRPr="00DD0988">
        <w:rPr>
          <w:rFonts w:ascii="Arial" w:hAnsi="Arial" w:cs="Arial"/>
        </w:rPr>
        <w:t xml:space="preserve">Extended Abstract </w:t>
      </w:r>
    </w:p>
    <w:p w14:paraId="3C44B706" w14:textId="77777777" w:rsidR="007412E0" w:rsidRPr="00DD0988" w:rsidRDefault="007412E0" w:rsidP="00DD0988">
      <w:pPr>
        <w:jc w:val="both"/>
        <w:rPr>
          <w:rFonts w:ascii="Arial" w:hAnsi="Arial" w:cs="Arial"/>
        </w:rPr>
      </w:pPr>
      <w:r w:rsidRPr="00DD0988">
        <w:rPr>
          <w:rFonts w:ascii="Arial" w:hAnsi="Arial" w:cs="Arial"/>
        </w:rPr>
        <w:t>1. Introduction</w:t>
      </w:r>
    </w:p>
    <w:p w14:paraId="332E2D75" w14:textId="77777777" w:rsidR="007412E0" w:rsidRPr="00DD0988" w:rsidRDefault="007412E0" w:rsidP="00DD0988">
      <w:pPr>
        <w:jc w:val="both"/>
        <w:rPr>
          <w:rFonts w:ascii="Arial" w:hAnsi="Arial" w:cs="Arial"/>
        </w:rPr>
      </w:pPr>
      <w:r w:rsidRPr="00DD0988">
        <w:rPr>
          <w:rFonts w:ascii="Arial" w:hAnsi="Arial" w:cs="Arial"/>
        </w:rPr>
        <w:t>The technical success of carbon dioxide (CO</w:t>
      </w:r>
      <w:r w:rsidRPr="00DD0988">
        <w:rPr>
          <w:rFonts w:ascii="Cambria Math" w:hAnsi="Cambria Math" w:cs="Cambria Math"/>
        </w:rPr>
        <w:t>₂</w:t>
      </w:r>
      <w:r w:rsidRPr="00DD0988">
        <w:rPr>
          <w:rFonts w:ascii="Arial" w:hAnsi="Arial" w:cs="Arial"/>
        </w:rPr>
        <w:t>) geological storage projects depends on two essential elements which are injectivity and pressure management systems. The storage capacity becomes limited when injectivity fails to operate correctly because uncontrolled pressure increase endangers the caprock structure which could lead to fault movements and seismic events. The application of artificial intelligence (AI) and machine learning (ML) techniques has become more prevalent during the last few years for studying injectivity behavior and well performance and pressure changes in CO</w:t>
      </w:r>
      <w:r w:rsidRPr="00DD0988">
        <w:rPr>
          <w:rFonts w:ascii="Cambria Math" w:hAnsi="Cambria Math" w:cs="Cambria Math"/>
        </w:rPr>
        <w:t>₂</w:t>
      </w:r>
      <w:r w:rsidRPr="00DD0988">
        <w:rPr>
          <w:rFonts w:ascii="Arial" w:hAnsi="Arial" w:cs="Arial"/>
        </w:rPr>
        <w:t xml:space="preserve"> storage and CCUS operations. The extended abstract reviews existing AI research which has been completed and published for these specific fields to show how data-based methods enhance traditional reservoir engineering and </w:t>
      </w:r>
      <w:proofErr w:type="spellStart"/>
      <w:r w:rsidRPr="00DD0988">
        <w:rPr>
          <w:rFonts w:ascii="Arial" w:hAnsi="Arial" w:cs="Arial"/>
        </w:rPr>
        <w:t>geomechanical</w:t>
      </w:r>
      <w:proofErr w:type="spellEnd"/>
      <w:r w:rsidRPr="00DD0988">
        <w:rPr>
          <w:rFonts w:ascii="Arial" w:hAnsi="Arial" w:cs="Arial"/>
        </w:rPr>
        <w:t xml:space="preserve"> methods.</w:t>
      </w:r>
    </w:p>
    <w:p w14:paraId="0D92B7E6" w14:textId="77777777" w:rsidR="007412E0" w:rsidRPr="00DD0988" w:rsidRDefault="007412E0" w:rsidP="00DD0988">
      <w:pPr>
        <w:jc w:val="both"/>
        <w:rPr>
          <w:rFonts w:ascii="Arial" w:hAnsi="Arial" w:cs="Arial"/>
        </w:rPr>
      </w:pPr>
      <w:r w:rsidRPr="00DD0988">
        <w:rPr>
          <w:rFonts w:ascii="Arial" w:hAnsi="Arial" w:cs="Arial"/>
        </w:rPr>
        <w:t>2. AI Applications in Injectivity Analysis</w:t>
      </w:r>
    </w:p>
    <w:p w14:paraId="50A5B697" w14:textId="77777777" w:rsidR="007412E0" w:rsidRPr="00DD0988" w:rsidRDefault="007412E0" w:rsidP="00DD0988">
      <w:pPr>
        <w:jc w:val="both"/>
        <w:rPr>
          <w:rFonts w:ascii="Arial" w:hAnsi="Arial" w:cs="Arial"/>
        </w:rPr>
      </w:pPr>
      <w:r w:rsidRPr="00DD0988">
        <w:rPr>
          <w:rFonts w:ascii="Arial" w:hAnsi="Arial" w:cs="Arial"/>
        </w:rPr>
        <w:t>The studied research shows how AI systems analyze injection data through time series analysis of pressure and rate and temperature measurements to detect injectivity patterns and identify operational changes. Machine learning models have been used to detect patterns which cause injectivity decline because of salt precipitation and fines migration and near-wellbore geochemical effects and situations where injectivity remains stable or improves. These applications function as diagnostic tools which help engineers analyze big data sets but they do not replace physical well models.</w:t>
      </w:r>
    </w:p>
    <w:p w14:paraId="005A9600" w14:textId="77777777" w:rsidR="007412E0" w:rsidRPr="00DD0988" w:rsidRDefault="007412E0" w:rsidP="00DD0988">
      <w:pPr>
        <w:jc w:val="both"/>
        <w:rPr>
          <w:rFonts w:ascii="Arial" w:hAnsi="Arial" w:cs="Arial"/>
        </w:rPr>
      </w:pPr>
      <w:r w:rsidRPr="00DD0988">
        <w:rPr>
          <w:rFonts w:ascii="Arial" w:hAnsi="Arial" w:cs="Arial"/>
        </w:rPr>
        <w:t>3. Well Performance Monitoring and Interpretation</w:t>
      </w:r>
    </w:p>
    <w:p w14:paraId="2E393AFE" w14:textId="77777777" w:rsidR="007412E0" w:rsidRPr="00DD0988" w:rsidRDefault="007412E0" w:rsidP="00DD0988">
      <w:pPr>
        <w:jc w:val="both"/>
        <w:rPr>
          <w:rFonts w:ascii="Arial" w:hAnsi="Arial" w:cs="Arial"/>
        </w:rPr>
      </w:pPr>
      <w:r w:rsidRPr="00DD0988">
        <w:rPr>
          <w:rFonts w:ascii="Arial" w:hAnsi="Arial" w:cs="Arial"/>
        </w:rPr>
        <w:t>The system uses AI to monitor CO</w:t>
      </w:r>
      <w:r w:rsidRPr="00DD0988">
        <w:rPr>
          <w:rFonts w:ascii="Cambria Math" w:hAnsi="Cambria Math" w:cs="Cambria Math"/>
        </w:rPr>
        <w:t>₂</w:t>
      </w:r>
      <w:r w:rsidRPr="00DD0988">
        <w:rPr>
          <w:rFonts w:ascii="Arial" w:hAnsi="Arial" w:cs="Arial"/>
        </w:rPr>
        <w:t xml:space="preserve"> injection well performance by conducting time-based assessments of the wells. Research publications demonstrate how ML methods detect anomalies and identify operational well types and assess their actual performance against simulated reservoir behavior. AI-based clustering and pattern recognition tools in multi-well storage projects help operators detect patterns between wells which enables them to make better operational choices and determine which wells need thorough evaluation.</w:t>
      </w:r>
    </w:p>
    <w:p w14:paraId="6498F691" w14:textId="77777777" w:rsidR="007412E0" w:rsidRPr="00DD0988" w:rsidRDefault="007412E0" w:rsidP="00DD0988">
      <w:pPr>
        <w:jc w:val="both"/>
        <w:rPr>
          <w:rFonts w:ascii="Arial" w:hAnsi="Arial" w:cs="Arial"/>
        </w:rPr>
      </w:pPr>
      <w:r w:rsidRPr="00DD0988">
        <w:rPr>
          <w:rFonts w:ascii="Arial" w:hAnsi="Arial" w:cs="Arial"/>
        </w:rPr>
        <w:t>4. Pressure Management and Risk Considerations</w:t>
      </w:r>
    </w:p>
    <w:p w14:paraId="5B380E29" w14:textId="77777777" w:rsidR="007412E0" w:rsidRPr="00DD0988" w:rsidRDefault="007412E0" w:rsidP="00DD0988">
      <w:pPr>
        <w:jc w:val="both"/>
        <w:rPr>
          <w:rFonts w:ascii="Arial" w:hAnsi="Arial" w:cs="Arial"/>
        </w:rPr>
      </w:pPr>
      <w:r w:rsidRPr="00DD0988">
        <w:rPr>
          <w:rFonts w:ascii="Arial" w:hAnsi="Arial" w:cs="Arial"/>
        </w:rPr>
        <w:t xml:space="preserve">The storage capacity and structural integrity of the system depend on how pressure levels change throughout time. Research studies have shown that AI systems analyze pressure propagation patterns and generate approximate simulation results and support pressure buildup uncertainty analysis. AI-based surrogate models function as evaluation tools </w:t>
      </w:r>
      <w:r w:rsidRPr="00DD0988">
        <w:rPr>
          <w:rFonts w:ascii="Arial" w:hAnsi="Arial" w:cs="Arial"/>
        </w:rPr>
        <w:lastRenderedPageBreak/>
        <w:t>which enable researchers to conduct quick scenario assessments and sensitivity tests for injection strategy and pressure management system evaluations. The methods operate as individual components which form part of complete physics-based systems which help users achieve both understandable results and official approval.</w:t>
      </w:r>
    </w:p>
    <w:p w14:paraId="108433E8" w14:textId="77777777" w:rsidR="007412E0" w:rsidRPr="00DD0988" w:rsidRDefault="007412E0" w:rsidP="00DD0988">
      <w:pPr>
        <w:jc w:val="both"/>
        <w:rPr>
          <w:rFonts w:ascii="Arial" w:hAnsi="Arial" w:cs="Arial"/>
        </w:rPr>
      </w:pPr>
      <w:r w:rsidRPr="00DD0988">
        <w:rPr>
          <w:rFonts w:ascii="Arial" w:hAnsi="Arial" w:cs="Arial"/>
        </w:rPr>
        <w:t>5. Limitations and Practical Challenges</w:t>
      </w:r>
    </w:p>
    <w:p w14:paraId="3AC80C2B" w14:textId="77777777" w:rsidR="007412E0" w:rsidRPr="00DD0988" w:rsidRDefault="007412E0" w:rsidP="00DD0988">
      <w:pPr>
        <w:jc w:val="both"/>
        <w:rPr>
          <w:rFonts w:ascii="Arial" w:hAnsi="Arial" w:cs="Arial"/>
        </w:rPr>
      </w:pPr>
      <w:r w:rsidRPr="00DD0988">
        <w:rPr>
          <w:rFonts w:ascii="Arial" w:hAnsi="Arial" w:cs="Arial"/>
        </w:rPr>
        <w:t>The existing research shows that three main problems persist in the field which include the scarcity of good training data and the need to adapt models for specific sites and the challenge of making AI results understandable to operators and regulators. The research studies show that validation transparency together with uncertainty disclosure and governance structures form the core elements for validation.</w:t>
      </w:r>
    </w:p>
    <w:p w14:paraId="2787B300" w14:textId="77777777" w:rsidR="007412E0" w:rsidRPr="00DD0988" w:rsidRDefault="007412E0" w:rsidP="00DD0988">
      <w:pPr>
        <w:jc w:val="both"/>
        <w:rPr>
          <w:rFonts w:ascii="Arial" w:hAnsi="Arial" w:cs="Arial"/>
        </w:rPr>
      </w:pPr>
      <w:r w:rsidRPr="00DD0988">
        <w:rPr>
          <w:rFonts w:ascii="Arial" w:hAnsi="Arial" w:cs="Arial"/>
        </w:rPr>
        <w:t>6. Conclusions</w:t>
      </w:r>
    </w:p>
    <w:p w14:paraId="1BEAD7A0" w14:textId="77777777" w:rsidR="007412E0" w:rsidRPr="00DD0988" w:rsidRDefault="007412E0" w:rsidP="00DD0988">
      <w:pPr>
        <w:jc w:val="both"/>
        <w:rPr>
          <w:rFonts w:ascii="Arial" w:hAnsi="Arial" w:cs="Arial"/>
        </w:rPr>
      </w:pPr>
      <w:r w:rsidRPr="00DD0988">
        <w:rPr>
          <w:rFonts w:ascii="Arial" w:hAnsi="Arial" w:cs="Arial"/>
        </w:rPr>
        <w:t>The review demonstrates that AI technology now supports three main applications for CO</w:t>
      </w:r>
      <w:r w:rsidRPr="00DD0988">
        <w:rPr>
          <w:rFonts w:ascii="Cambria Math" w:hAnsi="Cambria Math" w:cs="Cambria Math"/>
        </w:rPr>
        <w:t>₂</w:t>
      </w:r>
      <w:r w:rsidRPr="00DD0988">
        <w:rPr>
          <w:rFonts w:ascii="Arial" w:hAnsi="Arial" w:cs="Arial"/>
        </w:rPr>
        <w:t xml:space="preserve"> storage projects which include injectivity analysis and well performance monitoring and pressure management. The system delivers its main value through data consolidation and pattern identification and fast processing operations but storage system performance evaluation still depends on traditional engineering and </w:t>
      </w:r>
      <w:proofErr w:type="spellStart"/>
      <w:r w:rsidRPr="00DD0988">
        <w:rPr>
          <w:rFonts w:ascii="Arial" w:hAnsi="Arial" w:cs="Arial"/>
        </w:rPr>
        <w:t>geomechanical</w:t>
      </w:r>
      <w:proofErr w:type="spellEnd"/>
      <w:r w:rsidRPr="00DD0988">
        <w:rPr>
          <w:rFonts w:ascii="Arial" w:hAnsi="Arial" w:cs="Arial"/>
        </w:rPr>
        <w:t xml:space="preserve"> methods.</w:t>
      </w:r>
    </w:p>
    <w:p w14:paraId="09DC782A" w14:textId="77777777" w:rsidR="007412E0" w:rsidRPr="00DD0988" w:rsidRDefault="007412E0" w:rsidP="00DD0988">
      <w:pPr>
        <w:jc w:val="both"/>
        <w:rPr>
          <w:rFonts w:ascii="Arial" w:hAnsi="Arial" w:cs="Arial"/>
        </w:rPr>
      </w:pPr>
    </w:p>
    <w:p w14:paraId="4E69D0FA" w14:textId="77777777" w:rsidR="007412E0" w:rsidRPr="00DD0988" w:rsidRDefault="007412E0" w:rsidP="00DD0988">
      <w:pPr>
        <w:jc w:val="both"/>
        <w:rPr>
          <w:rFonts w:ascii="Arial" w:hAnsi="Arial" w:cs="Arial"/>
        </w:rPr>
      </w:pPr>
    </w:p>
    <w:p w14:paraId="531FAE82" w14:textId="207E7BDA" w:rsidR="007412E0" w:rsidRPr="00DD0988" w:rsidRDefault="00DD0988" w:rsidP="00DD0988">
      <w:pPr>
        <w:jc w:val="both"/>
        <w:rPr>
          <w:rFonts w:ascii="Arial" w:hAnsi="Arial" w:cs="Arial"/>
        </w:rPr>
      </w:pPr>
      <w:r w:rsidRPr="00DD0988">
        <w:rPr>
          <w:rFonts w:ascii="Arial" w:hAnsi="Arial" w:cs="Arial"/>
          <w:noProof/>
        </w:rPr>
        <w:drawing>
          <wp:inline distT="0" distB="0" distL="0" distR="0" wp14:anchorId="2F620FB2" wp14:editId="289F2D80">
            <wp:extent cx="5943600" cy="2259330"/>
            <wp:effectExtent l="0" t="0" r="0" b="1270"/>
            <wp:docPr id="511591755"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91755" name="Picture 1" descr="A map of the worl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259330"/>
                    </a:xfrm>
                    <a:prstGeom prst="rect">
                      <a:avLst/>
                    </a:prstGeom>
                  </pic:spPr>
                </pic:pic>
              </a:graphicData>
            </a:graphic>
          </wp:inline>
        </w:drawing>
      </w:r>
    </w:p>
    <w:p w14:paraId="38A92A79" w14:textId="77777777" w:rsidR="00DD0988" w:rsidRPr="00DD0988" w:rsidRDefault="00DD0988" w:rsidP="00DD0988">
      <w:pPr>
        <w:pStyle w:val="p1"/>
        <w:rPr>
          <w:rFonts w:ascii="Arial" w:hAnsi="Arial" w:cs="Arial"/>
          <w:sz w:val="24"/>
          <w:szCs w:val="24"/>
        </w:rPr>
      </w:pPr>
      <w:r w:rsidRPr="00DD0988">
        <w:rPr>
          <w:rFonts w:ascii="Arial" w:hAnsi="Arial" w:cs="Arial"/>
          <w:sz w:val="24"/>
          <w:szCs w:val="24"/>
        </w:rPr>
        <w:t xml:space="preserve">Figure - </w:t>
      </w:r>
      <w:r w:rsidRPr="00DD0988">
        <w:rPr>
          <w:rFonts w:ascii="Arial" w:hAnsi="Arial" w:cs="Arial"/>
          <w:sz w:val="24"/>
          <w:szCs w:val="24"/>
        </w:rPr>
        <w:t>Map showing projects injecting or having injected CO</w:t>
      </w:r>
      <w:r w:rsidRPr="00DD0988">
        <w:rPr>
          <w:rStyle w:val="s1"/>
          <w:rFonts w:ascii="Arial" w:eastAsiaTheme="majorEastAsia" w:hAnsi="Arial" w:cs="Arial"/>
          <w:sz w:val="24"/>
          <w:szCs w:val="24"/>
        </w:rPr>
        <w:t xml:space="preserve">2 </w:t>
      </w:r>
      <w:r w:rsidRPr="00DD0988">
        <w:rPr>
          <w:rFonts w:ascii="Arial" w:hAnsi="Arial" w:cs="Arial"/>
          <w:sz w:val="24"/>
          <w:szCs w:val="24"/>
        </w:rPr>
        <w:t>into deep saline aquifers. Also shown are projects in an advanced planning stage (see text for details) as well as</w:t>
      </w:r>
    </w:p>
    <w:p w14:paraId="4CCF3CD2" w14:textId="77777777" w:rsidR="00DD0988" w:rsidRPr="00DD0988" w:rsidRDefault="00DD0988" w:rsidP="00DD0988">
      <w:pPr>
        <w:pStyle w:val="p1"/>
        <w:rPr>
          <w:rFonts w:ascii="Arial" w:hAnsi="Arial" w:cs="Arial"/>
          <w:sz w:val="24"/>
          <w:szCs w:val="24"/>
        </w:rPr>
      </w:pPr>
      <w:r w:rsidRPr="00DD0988">
        <w:rPr>
          <w:rFonts w:ascii="Arial" w:hAnsi="Arial" w:cs="Arial"/>
          <w:sz w:val="24"/>
          <w:szCs w:val="24"/>
        </w:rPr>
        <w:t>the Weyburn (EOR), Otway and K12B (depleted gas reservoirs) pilot projects. Otway Phase 2, starting in 2010, will include small-scale injection into a saline aquifer.</w:t>
      </w:r>
    </w:p>
    <w:p w14:paraId="4BDA9D70" w14:textId="5BC298E1" w:rsidR="00DD0988" w:rsidRPr="00DD0988" w:rsidRDefault="00DD0988" w:rsidP="00DD0988">
      <w:pPr>
        <w:jc w:val="both"/>
        <w:rPr>
          <w:rFonts w:ascii="Arial" w:hAnsi="Arial" w:cs="Arial"/>
        </w:rPr>
      </w:pPr>
      <w:r w:rsidRPr="00DD0988">
        <w:rPr>
          <w:rFonts w:ascii="Arial" w:hAnsi="Arial" w:cs="Arial"/>
          <w:noProof/>
        </w:rPr>
        <w:lastRenderedPageBreak/>
        <w:drawing>
          <wp:inline distT="0" distB="0" distL="0" distR="0" wp14:anchorId="536FDC9C" wp14:editId="74F65170">
            <wp:extent cx="5943600" cy="5398770"/>
            <wp:effectExtent l="0" t="0" r="0" b="0"/>
            <wp:docPr id="1891345354" name="Picture 2"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45354" name="Picture 2" descr="A diagram of a structur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398770"/>
                    </a:xfrm>
                    <a:prstGeom prst="rect">
                      <a:avLst/>
                    </a:prstGeom>
                  </pic:spPr>
                </pic:pic>
              </a:graphicData>
            </a:graphic>
          </wp:inline>
        </w:drawing>
      </w:r>
    </w:p>
    <w:p w14:paraId="22E03038" w14:textId="77777777" w:rsidR="00DD0988" w:rsidRPr="00DD0988" w:rsidRDefault="00DD0988" w:rsidP="00DD0988">
      <w:pPr>
        <w:pStyle w:val="p1"/>
        <w:rPr>
          <w:rFonts w:ascii="Arial" w:hAnsi="Arial" w:cs="Arial"/>
          <w:sz w:val="24"/>
          <w:szCs w:val="24"/>
        </w:rPr>
      </w:pPr>
      <w:r w:rsidRPr="00DD0988">
        <w:rPr>
          <w:rFonts w:ascii="Arial" w:hAnsi="Arial" w:cs="Arial"/>
          <w:sz w:val="24"/>
          <w:szCs w:val="24"/>
        </w:rPr>
        <w:t xml:space="preserve">Figure - </w:t>
      </w:r>
      <w:r w:rsidRPr="00DD0988">
        <w:rPr>
          <w:rFonts w:ascii="Arial" w:hAnsi="Arial" w:cs="Arial"/>
          <w:sz w:val="24"/>
          <w:szCs w:val="24"/>
        </w:rPr>
        <w:t>EP PVF well network and monitoring diagram</w:t>
      </w:r>
    </w:p>
    <w:p w14:paraId="6E009EEE" w14:textId="0DA6A63E" w:rsidR="00DD0988" w:rsidRPr="00DD0988" w:rsidRDefault="00DD0988" w:rsidP="00DD0988">
      <w:pPr>
        <w:jc w:val="both"/>
        <w:rPr>
          <w:rFonts w:ascii="Arial" w:hAnsi="Arial" w:cs="Arial"/>
        </w:rPr>
      </w:pPr>
    </w:p>
    <w:p w14:paraId="3AC7C81A" w14:textId="38A601C0" w:rsidR="007412E0" w:rsidRPr="00DD0988" w:rsidRDefault="007412E0" w:rsidP="00DD0988">
      <w:pPr>
        <w:jc w:val="both"/>
        <w:rPr>
          <w:rFonts w:ascii="Arial" w:hAnsi="Arial" w:cs="Arial"/>
        </w:rPr>
      </w:pPr>
      <w:r w:rsidRPr="00DD0988">
        <w:rPr>
          <w:rFonts w:ascii="Arial" w:hAnsi="Arial" w:cs="Arial"/>
        </w:rPr>
        <w:t>References:</w:t>
      </w:r>
    </w:p>
    <w:p w14:paraId="6D12D3FE" w14:textId="4BCF34ED" w:rsidR="007412E0" w:rsidRPr="00DD0988" w:rsidRDefault="007412E0" w:rsidP="00DD0988">
      <w:pPr>
        <w:jc w:val="both"/>
        <w:rPr>
          <w:rFonts w:ascii="Arial" w:hAnsi="Arial" w:cs="Arial"/>
        </w:rPr>
      </w:pPr>
      <w:r w:rsidRPr="00DD0988">
        <w:rPr>
          <w:rFonts w:ascii="Arial" w:hAnsi="Arial" w:cs="Arial"/>
          <w:color w:val="000000"/>
        </w:rPr>
        <w:t>Valluri, M., Mishra, S., &amp; Ravi Ganesh, P. (2021). Injectivity index: A powerful tool for characterizing CO</w:t>
      </w:r>
      <w:r w:rsidRPr="00DD0988">
        <w:rPr>
          <w:rFonts w:ascii="Cambria Math" w:hAnsi="Cambria Math" w:cs="Cambria Math"/>
          <w:color w:val="000000"/>
        </w:rPr>
        <w:t>₂</w:t>
      </w:r>
      <w:r w:rsidRPr="00DD0988">
        <w:rPr>
          <w:rFonts w:ascii="Arial" w:hAnsi="Arial" w:cs="Arial"/>
          <w:color w:val="000000"/>
        </w:rPr>
        <w:t xml:space="preserve"> storage reservoirs—A technical note.</w:t>
      </w:r>
      <w:r w:rsidRPr="00DD0988">
        <w:rPr>
          <w:rStyle w:val="apple-converted-space"/>
          <w:rFonts w:ascii="Arial" w:hAnsi="Arial" w:cs="Arial"/>
          <w:color w:val="000000"/>
        </w:rPr>
        <w:t> </w:t>
      </w:r>
      <w:r w:rsidRPr="00DD0988">
        <w:rPr>
          <w:rStyle w:val="Emphasis"/>
          <w:rFonts w:ascii="Arial" w:hAnsi="Arial" w:cs="Arial"/>
          <w:color w:val="000000"/>
        </w:rPr>
        <w:t>Greenhouse Gases: Science and Technology</w:t>
      </w:r>
      <w:r w:rsidRPr="00DD0988">
        <w:rPr>
          <w:rFonts w:ascii="Arial" w:hAnsi="Arial" w:cs="Arial"/>
          <w:color w:val="000000"/>
        </w:rPr>
        <w:t>,</w:t>
      </w:r>
      <w:r w:rsidRPr="00DD0988">
        <w:rPr>
          <w:rStyle w:val="apple-converted-space"/>
          <w:rFonts w:ascii="Arial" w:hAnsi="Arial" w:cs="Arial"/>
          <w:color w:val="000000"/>
        </w:rPr>
        <w:t> </w:t>
      </w:r>
      <w:r w:rsidRPr="00DD0988">
        <w:rPr>
          <w:rStyle w:val="Strong"/>
          <w:rFonts w:ascii="Arial" w:hAnsi="Arial" w:cs="Arial"/>
          <w:color w:val="000000"/>
        </w:rPr>
        <w:t>11</w:t>
      </w:r>
      <w:r w:rsidRPr="00DD0988">
        <w:rPr>
          <w:rFonts w:ascii="Arial" w:hAnsi="Arial" w:cs="Arial"/>
          <w:color w:val="000000"/>
        </w:rPr>
        <w:t>(2), 251–265.</w:t>
      </w:r>
      <w:r w:rsidRPr="00DD0988">
        <w:rPr>
          <w:rFonts w:ascii="Arial" w:hAnsi="Arial" w:cs="Arial"/>
          <w:color w:val="000000"/>
        </w:rPr>
        <w:br/>
      </w:r>
      <w:hyperlink r:id="rId6" w:tgtFrame="_new" w:history="1">
        <w:r w:rsidRPr="00DD0988">
          <w:rPr>
            <w:rStyle w:val="Hyperlink"/>
            <w:rFonts w:ascii="Arial" w:hAnsi="Arial" w:cs="Arial"/>
          </w:rPr>
          <w:t>https://doi.org/10.1002/ghg.2046</w:t>
        </w:r>
      </w:hyperlink>
    </w:p>
    <w:p w14:paraId="6FEFAD0C" w14:textId="7D4F6F71" w:rsidR="007412E0" w:rsidRPr="00DD0988" w:rsidRDefault="007412E0" w:rsidP="00DD0988">
      <w:pPr>
        <w:jc w:val="both"/>
        <w:rPr>
          <w:rFonts w:ascii="Arial" w:hAnsi="Arial" w:cs="Arial"/>
          <w:color w:val="1C1D1E"/>
          <w:shd w:val="clear" w:color="auto" w:fill="FFFFFF"/>
        </w:rPr>
      </w:pPr>
      <w:r w:rsidRPr="00DD0988">
        <w:rPr>
          <w:rStyle w:val="author"/>
          <w:rFonts w:ascii="Arial" w:hAnsi="Arial" w:cs="Arial"/>
          <w:color w:val="1C1D1E"/>
        </w:rPr>
        <w:t>Liebscher A</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Möller F</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Bannach A</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Köhler 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proofErr w:type="spellStart"/>
      <w:r w:rsidRPr="00DD0988">
        <w:rPr>
          <w:rStyle w:val="author"/>
          <w:rFonts w:ascii="Arial" w:hAnsi="Arial" w:cs="Arial"/>
          <w:color w:val="1C1D1E"/>
        </w:rPr>
        <w:t>Wiebach</w:t>
      </w:r>
      <w:proofErr w:type="spellEnd"/>
      <w:r w:rsidRPr="00DD0988">
        <w:rPr>
          <w:rStyle w:val="author"/>
          <w:rFonts w:ascii="Arial" w:hAnsi="Arial" w:cs="Arial"/>
          <w:color w:val="1C1D1E"/>
        </w:rPr>
        <w:t xml:space="preserve"> J</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Schmidt-</w:t>
      </w:r>
      <w:proofErr w:type="spellStart"/>
      <w:r w:rsidRPr="00DD0988">
        <w:rPr>
          <w:rStyle w:val="author"/>
          <w:rFonts w:ascii="Arial" w:hAnsi="Arial" w:cs="Arial"/>
          <w:color w:val="1C1D1E"/>
        </w:rPr>
        <w:t>Hattenberger</w:t>
      </w:r>
      <w:proofErr w:type="spellEnd"/>
      <w:r w:rsidRPr="00DD0988">
        <w:rPr>
          <w:rStyle w:val="author"/>
          <w:rFonts w:ascii="Arial" w:hAnsi="Arial" w:cs="Arial"/>
          <w:color w:val="1C1D1E"/>
        </w:rPr>
        <w:t xml:space="preserve"> C</w:t>
      </w:r>
      <w:r w:rsidRPr="00DD0988">
        <w:rPr>
          <w:rStyle w:val="apple-converted-space"/>
          <w:rFonts w:ascii="Arial" w:hAnsi="Arial" w:cs="Arial"/>
          <w:color w:val="1C1D1E"/>
          <w:shd w:val="clear" w:color="auto" w:fill="FFFFFF"/>
        </w:rPr>
        <w:t> </w:t>
      </w:r>
      <w:r w:rsidRPr="00DD0988">
        <w:rPr>
          <w:rFonts w:ascii="Arial" w:hAnsi="Arial" w:cs="Arial"/>
          <w:i/>
          <w:iCs/>
          <w:color w:val="1C1D1E"/>
        </w:rPr>
        <w:t>et al</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rticletitle"/>
          <w:rFonts w:ascii="Arial" w:hAnsi="Arial" w:cs="Arial"/>
          <w:color w:val="1C1D1E"/>
        </w:rPr>
        <w:t>Injection operation and operational pressure-temperature monitoring at the CO</w:t>
      </w:r>
      <w:r w:rsidRPr="00DD0988">
        <w:rPr>
          <w:rStyle w:val="articletitle"/>
          <w:rFonts w:ascii="Arial" w:hAnsi="Arial" w:cs="Arial"/>
          <w:color w:val="1C1D1E"/>
          <w:vertAlign w:val="subscript"/>
        </w:rPr>
        <w:t>2</w:t>
      </w:r>
      <w:r w:rsidRPr="00DD0988">
        <w:rPr>
          <w:rStyle w:val="apple-converted-space"/>
          <w:rFonts w:ascii="Arial" w:hAnsi="Arial" w:cs="Arial"/>
          <w:color w:val="1C1D1E"/>
        </w:rPr>
        <w:t> </w:t>
      </w:r>
      <w:r w:rsidRPr="00DD0988">
        <w:rPr>
          <w:rStyle w:val="articletitle"/>
          <w:rFonts w:ascii="Arial" w:hAnsi="Arial" w:cs="Arial"/>
          <w:color w:val="1C1D1E"/>
        </w:rPr>
        <w:t xml:space="preserve">storage pilot site, </w:t>
      </w:r>
      <w:proofErr w:type="spellStart"/>
      <w:r w:rsidRPr="00DD0988">
        <w:rPr>
          <w:rStyle w:val="articletitle"/>
          <w:rFonts w:ascii="Arial" w:hAnsi="Arial" w:cs="Arial"/>
          <w:color w:val="1C1D1E"/>
        </w:rPr>
        <w:t>Ketzin</w:t>
      </w:r>
      <w:proofErr w:type="spellEnd"/>
      <w:r w:rsidRPr="00DD0988">
        <w:rPr>
          <w:rStyle w:val="articletitle"/>
          <w:rFonts w:ascii="Arial" w:hAnsi="Arial" w:cs="Arial"/>
          <w:color w:val="1C1D1E"/>
        </w:rPr>
        <w:t>, Germany: design, results, and recommendations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Fonts w:ascii="Arial" w:hAnsi="Arial" w:cs="Arial"/>
          <w:i/>
          <w:iCs/>
          <w:color w:val="1C1D1E"/>
        </w:rPr>
        <w:t>Int J Greenhouse Gas Control</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vol"/>
          <w:rFonts w:ascii="Arial" w:hAnsi="Arial" w:cs="Arial"/>
          <w:b/>
          <w:bCs/>
          <w:color w:val="1C1D1E"/>
        </w:rPr>
        <w:t>15</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pagefirst"/>
          <w:rFonts w:ascii="Arial" w:hAnsi="Arial" w:cs="Arial"/>
          <w:color w:val="1C1D1E"/>
        </w:rPr>
        <w:t>163</w:t>
      </w:r>
      <w:r w:rsidRPr="00DD0988">
        <w:rPr>
          <w:rFonts w:ascii="Arial" w:hAnsi="Arial" w:cs="Arial"/>
          <w:color w:val="1C1D1E"/>
          <w:shd w:val="clear" w:color="auto" w:fill="FFFFFF"/>
        </w:rPr>
        <w:t>–</w:t>
      </w:r>
      <w:r w:rsidRPr="00DD0988">
        <w:rPr>
          <w:rStyle w:val="pagelast"/>
          <w:rFonts w:ascii="Arial" w:hAnsi="Arial" w:cs="Arial"/>
          <w:color w:val="1C1D1E"/>
        </w:rPr>
        <w:t>173</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w:t>
      </w:r>
      <w:r w:rsidRPr="00DD0988">
        <w:rPr>
          <w:rStyle w:val="pubyear"/>
          <w:rFonts w:ascii="Arial" w:hAnsi="Arial" w:cs="Arial"/>
          <w:color w:val="1C1D1E"/>
        </w:rPr>
        <w:t>2013</w:t>
      </w:r>
      <w:r w:rsidRPr="00DD0988">
        <w:rPr>
          <w:rFonts w:ascii="Arial" w:hAnsi="Arial" w:cs="Arial"/>
          <w:color w:val="1C1D1E"/>
          <w:shd w:val="clear" w:color="auto" w:fill="FFFFFF"/>
        </w:rPr>
        <w:t>).</w:t>
      </w:r>
    </w:p>
    <w:p w14:paraId="12613AFC" w14:textId="492E0B39" w:rsidR="007412E0" w:rsidRPr="00DD0988" w:rsidRDefault="007412E0" w:rsidP="00DD0988">
      <w:pPr>
        <w:jc w:val="both"/>
        <w:rPr>
          <w:rFonts w:ascii="Arial" w:hAnsi="Arial" w:cs="Arial"/>
          <w:color w:val="1C1D1E"/>
          <w:shd w:val="clear" w:color="auto" w:fill="FFFFFF"/>
        </w:rPr>
      </w:pPr>
      <w:proofErr w:type="spellStart"/>
      <w:r w:rsidRPr="00DD0988">
        <w:rPr>
          <w:rStyle w:val="author"/>
          <w:rFonts w:ascii="Arial" w:hAnsi="Arial" w:cs="Arial"/>
          <w:color w:val="1C1D1E"/>
        </w:rPr>
        <w:lastRenderedPageBreak/>
        <w:t>Streibel</w:t>
      </w:r>
      <w:proofErr w:type="spellEnd"/>
      <w:r w:rsidRPr="00DD0988">
        <w:rPr>
          <w:rStyle w:val="author"/>
          <w:rFonts w:ascii="Arial" w:hAnsi="Arial" w:cs="Arial"/>
          <w:color w:val="1C1D1E"/>
        </w:rPr>
        <w:t xml:space="preserve"> M</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Finley RJ</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Martens 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Greenberg 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Möller F</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and</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Liebscher A</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rticletitle"/>
          <w:rFonts w:ascii="Arial" w:hAnsi="Arial" w:cs="Arial"/>
          <w:color w:val="1C1D1E"/>
        </w:rPr>
        <w:t xml:space="preserve">From pilot to demo scale: comparing </w:t>
      </w:r>
      <w:proofErr w:type="spellStart"/>
      <w:r w:rsidRPr="00DD0988">
        <w:rPr>
          <w:rStyle w:val="articletitle"/>
          <w:rFonts w:ascii="Arial" w:hAnsi="Arial" w:cs="Arial"/>
          <w:color w:val="1C1D1E"/>
        </w:rPr>
        <w:t>Ketzin</w:t>
      </w:r>
      <w:proofErr w:type="spellEnd"/>
      <w:r w:rsidRPr="00DD0988">
        <w:rPr>
          <w:rStyle w:val="articletitle"/>
          <w:rFonts w:ascii="Arial" w:hAnsi="Arial" w:cs="Arial"/>
          <w:color w:val="1C1D1E"/>
        </w:rPr>
        <w:t xml:space="preserve"> results with the Illinois basin Decatur project</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Fonts w:ascii="Arial" w:hAnsi="Arial" w:cs="Arial"/>
          <w:i/>
          <w:iCs/>
          <w:color w:val="1C1D1E"/>
        </w:rPr>
        <w:t>Energy Procedia</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vol"/>
          <w:rFonts w:ascii="Arial" w:hAnsi="Arial" w:cs="Arial"/>
          <w:b/>
          <w:bCs/>
          <w:color w:val="1C1D1E"/>
        </w:rPr>
        <w:t>63</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pagefirst"/>
          <w:rFonts w:ascii="Arial" w:hAnsi="Arial" w:cs="Arial"/>
          <w:color w:val="1C1D1E"/>
        </w:rPr>
        <w:t>6323</w:t>
      </w:r>
      <w:r w:rsidRPr="00DD0988">
        <w:rPr>
          <w:rFonts w:ascii="Arial" w:hAnsi="Arial" w:cs="Arial"/>
          <w:color w:val="1C1D1E"/>
          <w:shd w:val="clear" w:color="auto" w:fill="FFFFFF"/>
        </w:rPr>
        <w:t>-</w:t>
      </w:r>
      <w:r w:rsidRPr="00DD0988">
        <w:rPr>
          <w:rStyle w:val="pagelast"/>
          <w:rFonts w:ascii="Arial" w:hAnsi="Arial" w:cs="Arial"/>
          <w:color w:val="1C1D1E"/>
        </w:rPr>
        <w:t>6334</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w:t>
      </w:r>
      <w:r w:rsidRPr="00DD0988">
        <w:rPr>
          <w:rStyle w:val="pubyear"/>
          <w:rFonts w:ascii="Arial" w:hAnsi="Arial" w:cs="Arial"/>
          <w:color w:val="1C1D1E"/>
        </w:rPr>
        <w:t>2014</w:t>
      </w:r>
      <w:r w:rsidRPr="00DD0988">
        <w:rPr>
          <w:rFonts w:ascii="Arial" w:hAnsi="Arial" w:cs="Arial"/>
          <w:color w:val="1C1D1E"/>
          <w:shd w:val="clear" w:color="auto" w:fill="FFFFFF"/>
        </w:rPr>
        <w:t>).</w:t>
      </w:r>
    </w:p>
    <w:p w14:paraId="1A825481" w14:textId="086D6441" w:rsidR="007412E0" w:rsidRPr="00DD0988" w:rsidRDefault="007412E0" w:rsidP="00DD0988">
      <w:pPr>
        <w:jc w:val="both"/>
        <w:rPr>
          <w:rFonts w:ascii="Arial" w:hAnsi="Arial" w:cs="Arial"/>
          <w:color w:val="1C1D1E"/>
          <w:shd w:val="clear" w:color="auto" w:fill="FFFFFF"/>
        </w:rPr>
      </w:pPr>
      <w:r w:rsidRPr="00DD0988">
        <w:rPr>
          <w:rStyle w:val="author"/>
          <w:rFonts w:ascii="Arial" w:hAnsi="Arial" w:cs="Arial"/>
          <w:color w:val="1C1D1E"/>
        </w:rPr>
        <w:t>Hansen O</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Gilding D</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Nazarian B</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proofErr w:type="spellStart"/>
      <w:r w:rsidRPr="00DD0988">
        <w:rPr>
          <w:rStyle w:val="author"/>
          <w:rFonts w:ascii="Arial" w:hAnsi="Arial" w:cs="Arial"/>
          <w:color w:val="1C1D1E"/>
        </w:rPr>
        <w:t>Osdal</w:t>
      </w:r>
      <w:proofErr w:type="spellEnd"/>
      <w:r w:rsidRPr="00DD0988">
        <w:rPr>
          <w:rStyle w:val="author"/>
          <w:rFonts w:ascii="Arial" w:hAnsi="Arial" w:cs="Arial"/>
          <w:color w:val="1C1D1E"/>
        </w:rPr>
        <w:t xml:space="preserve"> B</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Ringrose P</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Kristoffersen J-B</w:t>
      </w:r>
      <w:r w:rsidRPr="00DD0988">
        <w:rPr>
          <w:rStyle w:val="apple-converted-space"/>
          <w:rFonts w:ascii="Arial" w:hAnsi="Arial" w:cs="Arial"/>
          <w:color w:val="1C1D1E"/>
          <w:shd w:val="clear" w:color="auto" w:fill="FFFFFF"/>
        </w:rPr>
        <w:t> </w:t>
      </w:r>
      <w:r w:rsidRPr="00DD0988">
        <w:rPr>
          <w:rFonts w:ascii="Arial" w:hAnsi="Arial" w:cs="Arial"/>
          <w:i/>
          <w:iCs/>
          <w:color w:val="1C1D1E"/>
        </w:rPr>
        <w:t>et al.</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proofErr w:type="spellStart"/>
      <w:r w:rsidRPr="00DD0988">
        <w:rPr>
          <w:rStyle w:val="articletitle"/>
          <w:rFonts w:ascii="Arial" w:hAnsi="Arial" w:cs="Arial"/>
          <w:color w:val="1C1D1E"/>
        </w:rPr>
        <w:t>Snøhvit</w:t>
      </w:r>
      <w:proofErr w:type="spellEnd"/>
      <w:r w:rsidRPr="00DD0988">
        <w:rPr>
          <w:rStyle w:val="articletitle"/>
          <w:rFonts w:ascii="Arial" w:hAnsi="Arial" w:cs="Arial"/>
          <w:color w:val="1C1D1E"/>
        </w:rPr>
        <w:t>: The history of injecting and storing 1 Mt CO</w:t>
      </w:r>
      <w:r w:rsidRPr="00DD0988">
        <w:rPr>
          <w:rStyle w:val="articletitle"/>
          <w:rFonts w:ascii="Arial" w:hAnsi="Arial" w:cs="Arial"/>
          <w:color w:val="1C1D1E"/>
          <w:vertAlign w:val="subscript"/>
        </w:rPr>
        <w:t>2</w:t>
      </w:r>
      <w:r w:rsidRPr="00DD0988">
        <w:rPr>
          <w:rStyle w:val="apple-converted-space"/>
          <w:rFonts w:ascii="Arial" w:hAnsi="Arial" w:cs="Arial"/>
          <w:color w:val="1C1D1E"/>
        </w:rPr>
        <w:t> </w:t>
      </w:r>
      <w:r w:rsidRPr="00DD0988">
        <w:rPr>
          <w:rStyle w:val="articletitle"/>
          <w:rFonts w:ascii="Arial" w:hAnsi="Arial" w:cs="Arial"/>
          <w:color w:val="1C1D1E"/>
        </w:rPr>
        <w:t xml:space="preserve">in the fluvial </w:t>
      </w:r>
      <w:proofErr w:type="spellStart"/>
      <w:r w:rsidRPr="00DD0988">
        <w:rPr>
          <w:rStyle w:val="articletitle"/>
          <w:rFonts w:ascii="Arial" w:hAnsi="Arial" w:cs="Arial"/>
          <w:color w:val="1C1D1E"/>
        </w:rPr>
        <w:t>Tubåen</w:t>
      </w:r>
      <w:proofErr w:type="spellEnd"/>
      <w:r w:rsidRPr="00DD0988">
        <w:rPr>
          <w:rStyle w:val="articletitle"/>
          <w:rFonts w:ascii="Arial" w:hAnsi="Arial" w:cs="Arial"/>
          <w:color w:val="1C1D1E"/>
        </w:rPr>
        <w:t xml:space="preserve"> Fm</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Fonts w:ascii="Arial" w:hAnsi="Arial" w:cs="Arial"/>
          <w:i/>
          <w:iCs/>
          <w:color w:val="1C1D1E"/>
        </w:rPr>
        <w:t>Energy Procedia</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vol"/>
          <w:rFonts w:ascii="Arial" w:hAnsi="Arial" w:cs="Arial"/>
          <w:b/>
          <w:bCs/>
          <w:color w:val="1C1D1E"/>
        </w:rPr>
        <w:t>37</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pagefirst"/>
          <w:rFonts w:ascii="Arial" w:hAnsi="Arial" w:cs="Arial"/>
          <w:color w:val="1C1D1E"/>
        </w:rPr>
        <w:t>3565</w:t>
      </w:r>
      <w:r w:rsidRPr="00DD0988">
        <w:rPr>
          <w:rFonts w:ascii="Arial" w:hAnsi="Arial" w:cs="Arial"/>
          <w:color w:val="1C1D1E"/>
          <w:shd w:val="clear" w:color="auto" w:fill="FFFFFF"/>
        </w:rPr>
        <w:t>–</w:t>
      </w:r>
      <w:r w:rsidRPr="00DD0988">
        <w:rPr>
          <w:rStyle w:val="pagelast"/>
          <w:rFonts w:ascii="Arial" w:hAnsi="Arial" w:cs="Arial"/>
          <w:color w:val="1C1D1E"/>
        </w:rPr>
        <w:t>3573</w:t>
      </w:r>
      <w:r w:rsidRPr="00DD0988">
        <w:rPr>
          <w:rFonts w:ascii="Arial" w:hAnsi="Arial" w:cs="Arial"/>
          <w:color w:val="1C1D1E"/>
          <w:shd w:val="clear" w:color="auto" w:fill="FFFFFF"/>
        </w:rPr>
        <w:t>(</w:t>
      </w:r>
      <w:r w:rsidRPr="00DD0988">
        <w:rPr>
          <w:rStyle w:val="pubyear"/>
          <w:rFonts w:ascii="Arial" w:hAnsi="Arial" w:cs="Arial"/>
          <w:color w:val="1C1D1E"/>
        </w:rPr>
        <w:t>2013</w:t>
      </w:r>
      <w:r w:rsidRPr="00DD0988">
        <w:rPr>
          <w:rFonts w:ascii="Arial" w:hAnsi="Arial" w:cs="Arial"/>
          <w:color w:val="1C1D1E"/>
          <w:shd w:val="clear" w:color="auto" w:fill="FFFFFF"/>
        </w:rPr>
        <w:t>).</w:t>
      </w:r>
    </w:p>
    <w:p w14:paraId="05386BF7" w14:textId="3894A5DA" w:rsidR="007412E0" w:rsidRPr="00DD0988" w:rsidRDefault="007412E0" w:rsidP="00DD0988">
      <w:pPr>
        <w:jc w:val="both"/>
        <w:rPr>
          <w:rFonts w:ascii="Arial" w:hAnsi="Arial" w:cs="Arial"/>
          <w:color w:val="1C1D1E"/>
          <w:shd w:val="clear" w:color="auto" w:fill="FFFFFF"/>
        </w:rPr>
      </w:pPr>
      <w:r w:rsidRPr="00DD0988">
        <w:rPr>
          <w:rStyle w:val="author"/>
          <w:rFonts w:ascii="Arial" w:hAnsi="Arial" w:cs="Arial"/>
          <w:color w:val="1C1D1E"/>
        </w:rPr>
        <w:t>Grude 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Landrø M</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and</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Dvorkin J</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rticletitle"/>
          <w:rFonts w:ascii="Arial" w:hAnsi="Arial" w:cs="Arial"/>
          <w:color w:val="1C1D1E"/>
        </w:rPr>
        <w:t>Pressure effects caused by CO</w:t>
      </w:r>
      <w:r w:rsidRPr="00DD0988">
        <w:rPr>
          <w:rStyle w:val="articletitle"/>
          <w:rFonts w:ascii="Arial" w:hAnsi="Arial" w:cs="Arial"/>
          <w:color w:val="1C1D1E"/>
          <w:vertAlign w:val="subscript"/>
        </w:rPr>
        <w:t>2</w:t>
      </w:r>
      <w:r w:rsidRPr="00DD0988">
        <w:rPr>
          <w:rStyle w:val="apple-converted-space"/>
          <w:rFonts w:ascii="Arial" w:hAnsi="Arial" w:cs="Arial"/>
          <w:color w:val="1C1D1E"/>
        </w:rPr>
        <w:t> </w:t>
      </w:r>
      <w:r w:rsidRPr="00DD0988">
        <w:rPr>
          <w:rStyle w:val="articletitle"/>
          <w:rFonts w:ascii="Arial" w:hAnsi="Arial" w:cs="Arial"/>
          <w:color w:val="1C1D1E"/>
        </w:rPr>
        <w:t xml:space="preserve">injection in the </w:t>
      </w:r>
      <w:proofErr w:type="spellStart"/>
      <w:r w:rsidRPr="00DD0988">
        <w:rPr>
          <w:rStyle w:val="articletitle"/>
          <w:rFonts w:ascii="Arial" w:hAnsi="Arial" w:cs="Arial"/>
          <w:color w:val="1C1D1E"/>
        </w:rPr>
        <w:t>Tubåen</w:t>
      </w:r>
      <w:proofErr w:type="spellEnd"/>
      <w:r w:rsidRPr="00DD0988">
        <w:rPr>
          <w:rStyle w:val="articletitle"/>
          <w:rFonts w:ascii="Arial" w:hAnsi="Arial" w:cs="Arial"/>
          <w:color w:val="1C1D1E"/>
        </w:rPr>
        <w:t xml:space="preserve"> Fm., the </w:t>
      </w:r>
      <w:proofErr w:type="spellStart"/>
      <w:r w:rsidRPr="00DD0988">
        <w:rPr>
          <w:rStyle w:val="articletitle"/>
          <w:rFonts w:ascii="Arial" w:hAnsi="Arial" w:cs="Arial"/>
          <w:color w:val="1C1D1E"/>
        </w:rPr>
        <w:t>Snøhvit</w:t>
      </w:r>
      <w:proofErr w:type="spellEnd"/>
      <w:r w:rsidRPr="00DD0988">
        <w:rPr>
          <w:rStyle w:val="articletitle"/>
          <w:rFonts w:ascii="Arial" w:hAnsi="Arial" w:cs="Arial"/>
          <w:color w:val="1C1D1E"/>
        </w:rPr>
        <w:t xml:space="preserve"> field</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Fonts w:ascii="Arial" w:hAnsi="Arial" w:cs="Arial"/>
          <w:i/>
          <w:iCs/>
          <w:color w:val="1C1D1E"/>
        </w:rPr>
        <w:t>Int J Greenhouse Gas Control</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vol"/>
          <w:rFonts w:ascii="Arial" w:hAnsi="Arial" w:cs="Arial"/>
          <w:b/>
          <w:bCs/>
          <w:color w:val="1C1D1E"/>
        </w:rPr>
        <w:t>27</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pagefirst"/>
          <w:rFonts w:ascii="Arial" w:hAnsi="Arial" w:cs="Arial"/>
          <w:color w:val="1C1D1E"/>
        </w:rPr>
        <w:t>178</w:t>
      </w:r>
      <w:r w:rsidRPr="00DD0988">
        <w:rPr>
          <w:rFonts w:ascii="Arial" w:hAnsi="Arial" w:cs="Arial"/>
          <w:color w:val="1C1D1E"/>
          <w:shd w:val="clear" w:color="auto" w:fill="FFFFFF"/>
        </w:rPr>
        <w:t>–</w:t>
      </w:r>
      <w:r w:rsidRPr="00DD0988">
        <w:rPr>
          <w:rStyle w:val="pagelast"/>
          <w:rFonts w:ascii="Arial" w:hAnsi="Arial" w:cs="Arial"/>
          <w:color w:val="1C1D1E"/>
        </w:rPr>
        <w:t>187</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w:t>
      </w:r>
      <w:r w:rsidRPr="00DD0988">
        <w:rPr>
          <w:rStyle w:val="pubyear"/>
          <w:rFonts w:ascii="Arial" w:hAnsi="Arial" w:cs="Arial"/>
          <w:color w:val="1C1D1E"/>
        </w:rPr>
        <w:t>2014</w:t>
      </w:r>
      <w:r w:rsidRPr="00DD0988">
        <w:rPr>
          <w:rFonts w:ascii="Arial" w:hAnsi="Arial" w:cs="Arial"/>
          <w:color w:val="1C1D1E"/>
          <w:shd w:val="clear" w:color="auto" w:fill="FFFFFF"/>
        </w:rPr>
        <w:t>).</w:t>
      </w:r>
    </w:p>
    <w:p w14:paraId="564F61E4" w14:textId="38C906B5" w:rsidR="007412E0" w:rsidRPr="00DD0988" w:rsidRDefault="007412E0" w:rsidP="00DD0988">
      <w:pPr>
        <w:jc w:val="both"/>
        <w:rPr>
          <w:rFonts w:ascii="Arial" w:hAnsi="Arial" w:cs="Arial"/>
          <w:color w:val="1C1D1E"/>
          <w:shd w:val="clear" w:color="auto" w:fill="FFFFFF"/>
        </w:rPr>
      </w:pPr>
      <w:r w:rsidRPr="00DD0988">
        <w:rPr>
          <w:rStyle w:val="author"/>
          <w:rFonts w:ascii="Arial" w:hAnsi="Arial" w:cs="Arial"/>
          <w:color w:val="1C1D1E"/>
        </w:rPr>
        <w:t>Michael K</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Golab A</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proofErr w:type="spellStart"/>
      <w:r w:rsidRPr="00DD0988">
        <w:rPr>
          <w:rStyle w:val="author"/>
          <w:rFonts w:ascii="Arial" w:hAnsi="Arial" w:cs="Arial"/>
          <w:color w:val="1C1D1E"/>
        </w:rPr>
        <w:t>Shulakova</w:t>
      </w:r>
      <w:proofErr w:type="spellEnd"/>
      <w:r w:rsidRPr="00DD0988">
        <w:rPr>
          <w:rStyle w:val="author"/>
          <w:rFonts w:ascii="Arial" w:hAnsi="Arial" w:cs="Arial"/>
          <w:color w:val="1C1D1E"/>
        </w:rPr>
        <w:t xml:space="preserve"> V</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Ennis-King J</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Allinson G</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Sharma S</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and</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Aiken T</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articletitle"/>
          <w:rFonts w:ascii="Arial" w:hAnsi="Arial" w:cs="Arial"/>
          <w:color w:val="1C1D1E"/>
        </w:rPr>
        <w:t>Geological storage of CO</w:t>
      </w:r>
      <w:r w:rsidRPr="00DD0988">
        <w:rPr>
          <w:rStyle w:val="articletitle"/>
          <w:rFonts w:ascii="Arial" w:hAnsi="Arial" w:cs="Arial"/>
          <w:color w:val="1C1D1E"/>
          <w:vertAlign w:val="subscript"/>
        </w:rPr>
        <w:t>2</w:t>
      </w:r>
      <w:r w:rsidRPr="00DD0988">
        <w:rPr>
          <w:rStyle w:val="apple-converted-space"/>
          <w:rFonts w:ascii="Arial" w:hAnsi="Arial" w:cs="Arial"/>
          <w:color w:val="1C1D1E"/>
        </w:rPr>
        <w:t> </w:t>
      </w:r>
      <w:r w:rsidRPr="00DD0988">
        <w:rPr>
          <w:rStyle w:val="articletitle"/>
          <w:rFonts w:ascii="Arial" w:hAnsi="Arial" w:cs="Arial"/>
          <w:color w:val="1C1D1E"/>
        </w:rPr>
        <w:t>in saline aquifers: a review of the experience from existing storage operations</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Fonts w:ascii="Arial" w:hAnsi="Arial" w:cs="Arial"/>
          <w:i/>
          <w:iCs/>
          <w:color w:val="1C1D1E"/>
        </w:rPr>
        <w:t>Int J Greenhouse Gas Control</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vol"/>
          <w:rFonts w:ascii="Arial" w:hAnsi="Arial" w:cs="Arial"/>
          <w:b/>
          <w:bCs/>
          <w:color w:val="1C1D1E"/>
        </w:rPr>
        <w:t>4</w:t>
      </w:r>
      <w:r w:rsidRPr="00DD0988">
        <w:rPr>
          <w:rFonts w:ascii="Arial" w:hAnsi="Arial" w:cs="Arial"/>
          <w:color w:val="1C1D1E"/>
          <w:shd w:val="clear" w:color="auto" w:fill="FFFFFF"/>
        </w:rPr>
        <w:t>:</w:t>
      </w:r>
      <w:r w:rsidRPr="00DD0988">
        <w:rPr>
          <w:rStyle w:val="apple-converted-space"/>
          <w:rFonts w:ascii="Arial" w:hAnsi="Arial" w:cs="Arial"/>
          <w:color w:val="1C1D1E"/>
          <w:shd w:val="clear" w:color="auto" w:fill="FFFFFF"/>
        </w:rPr>
        <w:t> </w:t>
      </w:r>
      <w:r w:rsidRPr="00DD0988">
        <w:rPr>
          <w:rStyle w:val="pagefirst"/>
          <w:rFonts w:ascii="Arial" w:hAnsi="Arial" w:cs="Arial"/>
          <w:color w:val="1C1D1E"/>
        </w:rPr>
        <w:t>659</w:t>
      </w:r>
      <w:r w:rsidRPr="00DD0988">
        <w:rPr>
          <w:rFonts w:ascii="Arial" w:hAnsi="Arial" w:cs="Arial"/>
          <w:color w:val="1C1D1E"/>
          <w:shd w:val="clear" w:color="auto" w:fill="FFFFFF"/>
        </w:rPr>
        <w:t>–</w:t>
      </w:r>
      <w:r w:rsidRPr="00DD0988">
        <w:rPr>
          <w:rStyle w:val="pagelast"/>
          <w:rFonts w:ascii="Arial" w:hAnsi="Arial" w:cs="Arial"/>
          <w:color w:val="1C1D1E"/>
        </w:rPr>
        <w:t>667</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w:t>
      </w:r>
      <w:r w:rsidRPr="00DD0988">
        <w:rPr>
          <w:rStyle w:val="pubyear"/>
          <w:rFonts w:ascii="Arial" w:hAnsi="Arial" w:cs="Arial"/>
          <w:color w:val="1C1D1E"/>
        </w:rPr>
        <w:t>2010</w:t>
      </w:r>
      <w:r w:rsidRPr="00DD0988">
        <w:rPr>
          <w:rFonts w:ascii="Arial" w:hAnsi="Arial" w:cs="Arial"/>
          <w:color w:val="1C1D1E"/>
          <w:shd w:val="clear" w:color="auto" w:fill="FFFFFF"/>
        </w:rPr>
        <w:t>).</w:t>
      </w:r>
    </w:p>
    <w:p w14:paraId="60E8F6B7" w14:textId="03D69C18" w:rsidR="007412E0" w:rsidRPr="00DD0988" w:rsidRDefault="007412E0" w:rsidP="00DD0988">
      <w:pPr>
        <w:jc w:val="both"/>
        <w:rPr>
          <w:rFonts w:ascii="Arial" w:hAnsi="Arial" w:cs="Arial"/>
        </w:rPr>
      </w:pPr>
      <w:r w:rsidRPr="00DD0988">
        <w:rPr>
          <w:rStyle w:val="author"/>
          <w:rFonts w:ascii="Arial" w:hAnsi="Arial" w:cs="Arial"/>
          <w:color w:val="1C1D1E"/>
        </w:rPr>
        <w:t>Meckel TA</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and</w:t>
      </w:r>
      <w:r w:rsidRPr="00DD0988">
        <w:rPr>
          <w:rStyle w:val="apple-converted-space"/>
          <w:rFonts w:ascii="Arial" w:hAnsi="Arial" w:cs="Arial"/>
          <w:color w:val="1C1D1E"/>
          <w:shd w:val="clear" w:color="auto" w:fill="FFFFFF"/>
        </w:rPr>
        <w:t> </w:t>
      </w:r>
      <w:r w:rsidRPr="00DD0988">
        <w:rPr>
          <w:rStyle w:val="author"/>
          <w:rFonts w:ascii="Arial" w:hAnsi="Arial" w:cs="Arial"/>
          <w:color w:val="1C1D1E"/>
        </w:rPr>
        <w:t>Hovorka SD,</w:t>
      </w:r>
      <w:r w:rsidRPr="00DD0988">
        <w:rPr>
          <w:rStyle w:val="apple-converted-space"/>
          <w:rFonts w:ascii="Arial" w:hAnsi="Arial" w:cs="Arial"/>
          <w:color w:val="1C1D1E"/>
          <w:shd w:val="clear" w:color="auto" w:fill="FFFFFF"/>
        </w:rPr>
        <w:t> </w:t>
      </w:r>
      <w:r w:rsidRPr="00DD0988">
        <w:rPr>
          <w:rFonts w:ascii="Arial" w:hAnsi="Arial" w:cs="Arial"/>
          <w:color w:val="1C1D1E"/>
          <w:shd w:val="clear" w:color="auto" w:fill="FFFFFF"/>
        </w:rPr>
        <w:t xml:space="preserve"> </w:t>
      </w:r>
      <w:r w:rsidRPr="00DD0988">
        <w:rPr>
          <w:rStyle w:val="othertitle"/>
          <w:rFonts w:ascii="Arial" w:hAnsi="Arial" w:cs="Arial"/>
          <w:color w:val="1C1D1E"/>
        </w:rPr>
        <w:t>Results from continuous downhole monitoring (PDG) at a field-scale CO</w:t>
      </w:r>
      <w:r w:rsidRPr="00DD0988">
        <w:rPr>
          <w:rStyle w:val="othertitle"/>
          <w:rFonts w:ascii="Arial" w:hAnsi="Arial" w:cs="Arial"/>
          <w:color w:val="1C1D1E"/>
          <w:vertAlign w:val="subscript"/>
        </w:rPr>
        <w:t>2</w:t>
      </w:r>
      <w:r w:rsidRPr="00DD0988">
        <w:rPr>
          <w:rStyle w:val="apple-converted-space"/>
          <w:rFonts w:ascii="Arial" w:hAnsi="Arial" w:cs="Arial"/>
          <w:color w:val="1C1D1E"/>
        </w:rPr>
        <w:t> </w:t>
      </w:r>
      <w:r w:rsidRPr="00DD0988">
        <w:rPr>
          <w:rStyle w:val="othertitle"/>
          <w:rFonts w:ascii="Arial" w:hAnsi="Arial" w:cs="Arial"/>
          <w:color w:val="1C1D1E"/>
        </w:rPr>
        <w:t>demonstration project, Cranfield, MS</w:t>
      </w:r>
      <w:r w:rsidRPr="00DD0988">
        <w:rPr>
          <w:rFonts w:ascii="Arial" w:hAnsi="Arial" w:cs="Arial"/>
          <w:color w:val="1C1D1E"/>
          <w:shd w:val="clear" w:color="auto" w:fill="FFFFFF"/>
        </w:rPr>
        <w:t>. Paper SPE 127087 presented at the 2009 SPE International Conference on CO2 Capture, Storage, and Utilization held at San Diego, CA, November 2–4.</w:t>
      </w:r>
    </w:p>
    <w:p w14:paraId="463704C1" w14:textId="77777777" w:rsidR="007412E0" w:rsidRPr="00DD0988" w:rsidRDefault="007412E0" w:rsidP="00DD0988">
      <w:pPr>
        <w:jc w:val="both"/>
        <w:rPr>
          <w:rFonts w:ascii="Arial" w:hAnsi="Arial" w:cs="Arial"/>
        </w:rPr>
      </w:pPr>
    </w:p>
    <w:p w14:paraId="6A1DBC27" w14:textId="77777777" w:rsidR="007412E0" w:rsidRPr="00DD0988" w:rsidRDefault="007412E0" w:rsidP="00DD0988">
      <w:pPr>
        <w:jc w:val="both"/>
        <w:rPr>
          <w:rFonts w:ascii="Arial" w:hAnsi="Arial" w:cs="Arial"/>
        </w:rPr>
      </w:pPr>
    </w:p>
    <w:p w14:paraId="42E0C7F2" w14:textId="77777777" w:rsidR="007412E0" w:rsidRPr="00DD0988" w:rsidRDefault="007412E0" w:rsidP="00DD0988">
      <w:pPr>
        <w:jc w:val="both"/>
        <w:rPr>
          <w:rFonts w:ascii="Arial" w:hAnsi="Arial" w:cs="Arial"/>
        </w:rPr>
      </w:pPr>
    </w:p>
    <w:p w14:paraId="36C1AE40" w14:textId="77777777" w:rsidR="007412E0" w:rsidRPr="00DD0988" w:rsidRDefault="007412E0" w:rsidP="00DD0988">
      <w:pPr>
        <w:jc w:val="both"/>
        <w:rPr>
          <w:rFonts w:ascii="Arial" w:hAnsi="Arial" w:cs="Arial"/>
        </w:rPr>
      </w:pPr>
    </w:p>
    <w:p w14:paraId="11491447" w14:textId="77777777" w:rsidR="007412E0" w:rsidRPr="00DD0988" w:rsidRDefault="007412E0" w:rsidP="00DD0988">
      <w:pPr>
        <w:jc w:val="both"/>
        <w:rPr>
          <w:rFonts w:ascii="Arial" w:hAnsi="Arial" w:cs="Arial"/>
        </w:rPr>
      </w:pPr>
    </w:p>
    <w:p w14:paraId="5B333CA7" w14:textId="77777777" w:rsidR="007412E0" w:rsidRPr="00DD0988" w:rsidRDefault="007412E0" w:rsidP="00DD0988">
      <w:pPr>
        <w:jc w:val="both"/>
        <w:rPr>
          <w:rFonts w:ascii="Arial" w:hAnsi="Arial" w:cs="Arial"/>
        </w:rPr>
      </w:pPr>
    </w:p>
    <w:p w14:paraId="4A10443E" w14:textId="77777777" w:rsidR="007412E0" w:rsidRPr="00DD0988" w:rsidRDefault="007412E0" w:rsidP="00DD0988">
      <w:pPr>
        <w:jc w:val="both"/>
        <w:rPr>
          <w:rFonts w:ascii="Arial" w:hAnsi="Arial" w:cs="Arial"/>
        </w:rPr>
      </w:pPr>
    </w:p>
    <w:p w14:paraId="21297171" w14:textId="77777777" w:rsidR="007412E0" w:rsidRPr="00DD0988" w:rsidRDefault="007412E0" w:rsidP="00DD0988">
      <w:pPr>
        <w:jc w:val="both"/>
        <w:rPr>
          <w:rFonts w:ascii="Arial" w:hAnsi="Arial" w:cs="Arial"/>
        </w:rPr>
      </w:pPr>
    </w:p>
    <w:p w14:paraId="4DCA89FD" w14:textId="77777777" w:rsidR="007412E0" w:rsidRPr="00DD0988" w:rsidRDefault="007412E0" w:rsidP="00DD0988">
      <w:pPr>
        <w:jc w:val="both"/>
        <w:rPr>
          <w:rFonts w:ascii="Arial" w:hAnsi="Arial" w:cs="Arial"/>
        </w:rPr>
      </w:pPr>
    </w:p>
    <w:p w14:paraId="1B5ED9B0" w14:textId="4DF1BC1D" w:rsidR="007412E0" w:rsidRPr="00DD0988" w:rsidRDefault="007412E0" w:rsidP="00DD0988">
      <w:pPr>
        <w:jc w:val="both"/>
        <w:rPr>
          <w:rFonts w:ascii="Arial" w:hAnsi="Arial" w:cs="Arial"/>
        </w:rPr>
      </w:pPr>
      <w:r w:rsidRPr="00DD0988">
        <w:rPr>
          <w:rFonts w:ascii="Arial" w:hAnsi="Arial" w:cs="Arial"/>
        </w:rPr>
        <w:t>Summary of the Extended Abstract</w:t>
      </w:r>
    </w:p>
    <w:p w14:paraId="3D6C1A7E" w14:textId="20D1F022" w:rsidR="007412E0" w:rsidRPr="00DD0988" w:rsidRDefault="007412E0" w:rsidP="00DD0988">
      <w:pPr>
        <w:jc w:val="both"/>
        <w:rPr>
          <w:rFonts w:ascii="Arial" w:hAnsi="Arial" w:cs="Arial"/>
        </w:rPr>
      </w:pPr>
      <w:r w:rsidRPr="00DD0988">
        <w:rPr>
          <w:rFonts w:ascii="Arial" w:hAnsi="Arial" w:cs="Arial"/>
        </w:rPr>
        <w:t>The research assesses current studies which employ artificial intelligence and machine learning to study CO</w:t>
      </w:r>
      <w:r w:rsidRPr="00DD0988">
        <w:rPr>
          <w:rFonts w:ascii="Cambria Math" w:hAnsi="Cambria Math" w:cs="Cambria Math"/>
        </w:rPr>
        <w:t>₂</w:t>
      </w:r>
      <w:r w:rsidRPr="00DD0988">
        <w:rPr>
          <w:rFonts w:ascii="Arial" w:hAnsi="Arial" w:cs="Arial"/>
        </w:rPr>
        <w:t xml:space="preserve"> injectivity and track well performance and maintain pressure control in geological storage systems. The research investigates AI system performance for pattern injection detection and injection data anomaly detection under conditions of pressure-related uncertainty. The review demonstrates AI functions as a screening tool which improves reservoir engineering and </w:t>
      </w:r>
      <w:proofErr w:type="spellStart"/>
      <w:r w:rsidRPr="00DD0988">
        <w:rPr>
          <w:rFonts w:ascii="Arial" w:hAnsi="Arial" w:cs="Arial"/>
        </w:rPr>
        <w:t>geomechanical</w:t>
      </w:r>
      <w:proofErr w:type="spellEnd"/>
      <w:r w:rsidRPr="00DD0988">
        <w:rPr>
          <w:rFonts w:ascii="Arial" w:hAnsi="Arial" w:cs="Arial"/>
        </w:rPr>
        <w:t xml:space="preserve"> modeling to aid decision-making but does not substitute these systems. AI systems in multi-well storage environments use their ability to process big data to detect patterns which help them </w:t>
      </w:r>
      <w:r w:rsidRPr="00DD0988">
        <w:rPr>
          <w:rFonts w:ascii="Arial" w:hAnsi="Arial" w:cs="Arial"/>
        </w:rPr>
        <w:lastRenderedPageBreak/>
        <w:t>understand well operation behavior. The research document shows common research problems which affect both data precision and researchers' ability to interpret findings and maintain data consistency between different studies. The review shows AI systems help CCUS operations through analytical support for pressure control and injectivity management yet operators need to maintain their physical knowledge and professional skills.</w:t>
      </w:r>
    </w:p>
    <w:sectPr w:rsidR="007412E0" w:rsidRPr="00DD0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E0"/>
    <w:rsid w:val="00363D79"/>
    <w:rsid w:val="007412E0"/>
    <w:rsid w:val="00DD0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319813"/>
  <w15:chartTrackingRefBased/>
  <w15:docId w15:val="{360B41EC-7E8A-F14E-8BB1-73D5D8A6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2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2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2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2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2E0"/>
    <w:rPr>
      <w:rFonts w:eastAsiaTheme="majorEastAsia" w:cstheme="majorBidi"/>
      <w:color w:val="272727" w:themeColor="text1" w:themeTint="D8"/>
    </w:rPr>
  </w:style>
  <w:style w:type="paragraph" w:styleId="Title">
    <w:name w:val="Title"/>
    <w:basedOn w:val="Normal"/>
    <w:next w:val="Normal"/>
    <w:link w:val="TitleChar"/>
    <w:uiPriority w:val="10"/>
    <w:qFormat/>
    <w:rsid w:val="00741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2E0"/>
    <w:pPr>
      <w:spacing w:before="160"/>
      <w:jc w:val="center"/>
    </w:pPr>
    <w:rPr>
      <w:i/>
      <w:iCs/>
      <w:color w:val="404040" w:themeColor="text1" w:themeTint="BF"/>
    </w:rPr>
  </w:style>
  <w:style w:type="character" w:customStyle="1" w:styleId="QuoteChar">
    <w:name w:val="Quote Char"/>
    <w:basedOn w:val="DefaultParagraphFont"/>
    <w:link w:val="Quote"/>
    <w:uiPriority w:val="29"/>
    <w:rsid w:val="007412E0"/>
    <w:rPr>
      <w:i/>
      <w:iCs/>
      <w:color w:val="404040" w:themeColor="text1" w:themeTint="BF"/>
    </w:rPr>
  </w:style>
  <w:style w:type="paragraph" w:styleId="ListParagraph">
    <w:name w:val="List Paragraph"/>
    <w:basedOn w:val="Normal"/>
    <w:uiPriority w:val="34"/>
    <w:qFormat/>
    <w:rsid w:val="007412E0"/>
    <w:pPr>
      <w:ind w:left="720"/>
      <w:contextualSpacing/>
    </w:pPr>
  </w:style>
  <w:style w:type="character" w:styleId="IntenseEmphasis">
    <w:name w:val="Intense Emphasis"/>
    <w:basedOn w:val="DefaultParagraphFont"/>
    <w:uiPriority w:val="21"/>
    <w:qFormat/>
    <w:rsid w:val="007412E0"/>
    <w:rPr>
      <w:i/>
      <w:iCs/>
      <w:color w:val="0F4761" w:themeColor="accent1" w:themeShade="BF"/>
    </w:rPr>
  </w:style>
  <w:style w:type="paragraph" w:styleId="IntenseQuote">
    <w:name w:val="Intense Quote"/>
    <w:basedOn w:val="Normal"/>
    <w:next w:val="Normal"/>
    <w:link w:val="IntenseQuoteChar"/>
    <w:uiPriority w:val="30"/>
    <w:qFormat/>
    <w:rsid w:val="00741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2E0"/>
    <w:rPr>
      <w:i/>
      <w:iCs/>
      <w:color w:val="0F4761" w:themeColor="accent1" w:themeShade="BF"/>
    </w:rPr>
  </w:style>
  <w:style w:type="character" w:styleId="IntenseReference">
    <w:name w:val="Intense Reference"/>
    <w:basedOn w:val="DefaultParagraphFont"/>
    <w:uiPriority w:val="32"/>
    <w:qFormat/>
    <w:rsid w:val="007412E0"/>
    <w:rPr>
      <w:b/>
      <w:bCs/>
      <w:smallCaps/>
      <w:color w:val="0F4761" w:themeColor="accent1" w:themeShade="BF"/>
      <w:spacing w:val="5"/>
    </w:rPr>
  </w:style>
  <w:style w:type="character" w:customStyle="1" w:styleId="apple-converted-space">
    <w:name w:val="apple-converted-space"/>
    <w:basedOn w:val="DefaultParagraphFont"/>
    <w:rsid w:val="007412E0"/>
  </w:style>
  <w:style w:type="character" w:styleId="Emphasis">
    <w:name w:val="Emphasis"/>
    <w:basedOn w:val="DefaultParagraphFont"/>
    <w:uiPriority w:val="20"/>
    <w:qFormat/>
    <w:rsid w:val="007412E0"/>
    <w:rPr>
      <w:i/>
      <w:iCs/>
    </w:rPr>
  </w:style>
  <w:style w:type="character" w:styleId="Strong">
    <w:name w:val="Strong"/>
    <w:basedOn w:val="DefaultParagraphFont"/>
    <w:uiPriority w:val="22"/>
    <w:qFormat/>
    <w:rsid w:val="007412E0"/>
    <w:rPr>
      <w:b/>
      <w:bCs/>
    </w:rPr>
  </w:style>
  <w:style w:type="character" w:styleId="Hyperlink">
    <w:name w:val="Hyperlink"/>
    <w:basedOn w:val="DefaultParagraphFont"/>
    <w:uiPriority w:val="99"/>
    <w:semiHidden/>
    <w:unhideWhenUsed/>
    <w:rsid w:val="007412E0"/>
    <w:rPr>
      <w:color w:val="0000FF"/>
      <w:u w:val="single"/>
    </w:rPr>
  </w:style>
  <w:style w:type="character" w:customStyle="1" w:styleId="author">
    <w:name w:val="author"/>
    <w:basedOn w:val="DefaultParagraphFont"/>
    <w:rsid w:val="007412E0"/>
  </w:style>
  <w:style w:type="character" w:customStyle="1" w:styleId="articletitle">
    <w:name w:val="articletitle"/>
    <w:basedOn w:val="DefaultParagraphFont"/>
    <w:rsid w:val="007412E0"/>
  </w:style>
  <w:style w:type="character" w:customStyle="1" w:styleId="vol">
    <w:name w:val="vol"/>
    <w:basedOn w:val="DefaultParagraphFont"/>
    <w:rsid w:val="007412E0"/>
  </w:style>
  <w:style w:type="character" w:customStyle="1" w:styleId="pagefirst">
    <w:name w:val="pagefirst"/>
    <w:basedOn w:val="DefaultParagraphFont"/>
    <w:rsid w:val="007412E0"/>
  </w:style>
  <w:style w:type="character" w:customStyle="1" w:styleId="pagelast">
    <w:name w:val="pagelast"/>
    <w:basedOn w:val="DefaultParagraphFont"/>
    <w:rsid w:val="007412E0"/>
  </w:style>
  <w:style w:type="character" w:customStyle="1" w:styleId="pubyear">
    <w:name w:val="pubyear"/>
    <w:basedOn w:val="DefaultParagraphFont"/>
    <w:rsid w:val="007412E0"/>
  </w:style>
  <w:style w:type="character" w:customStyle="1" w:styleId="othertitle">
    <w:name w:val="othertitle"/>
    <w:basedOn w:val="DefaultParagraphFont"/>
    <w:rsid w:val="007412E0"/>
  </w:style>
  <w:style w:type="paragraph" w:customStyle="1" w:styleId="p1">
    <w:name w:val="p1"/>
    <w:basedOn w:val="Normal"/>
    <w:rsid w:val="00DD0988"/>
    <w:pPr>
      <w:spacing w:after="0" w:line="240" w:lineRule="auto"/>
    </w:pPr>
    <w:rPr>
      <w:rFonts w:ascii="Helvetica" w:eastAsia="Times New Roman" w:hAnsi="Helvetica" w:cs="Times New Roman"/>
      <w:color w:val="000000"/>
      <w:kern w:val="0"/>
      <w:sz w:val="10"/>
      <w:szCs w:val="10"/>
      <w14:ligatures w14:val="none"/>
    </w:rPr>
  </w:style>
  <w:style w:type="character" w:customStyle="1" w:styleId="s1">
    <w:name w:val="s1"/>
    <w:basedOn w:val="DefaultParagraphFont"/>
    <w:rsid w:val="00DD0988"/>
    <w:rPr>
      <w:rFonts w:ascii="Helvetica" w:hAnsi="Helvetica" w:hint="default"/>
      <w:sz w:val="7"/>
      <w:szCs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2/ghg.2046"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920</Words>
  <Characters>6082</Characters>
  <Application>Microsoft Office Word</Application>
  <DocSecurity>0</DocSecurity>
  <Lines>253</Lines>
  <Paragraphs>189</Paragraphs>
  <ScaleCrop>false</ScaleCrop>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Temizel, Cenk</dc:creator>
  <cp:keywords/>
  <dc:description/>
  <cp:lastModifiedBy>Temizel, Cenk</cp:lastModifiedBy>
  <cp:revision>2</cp:revision>
  <dcterms:created xsi:type="dcterms:W3CDTF">2025-12-26T20:12:00Z</dcterms:created>
  <dcterms:modified xsi:type="dcterms:W3CDTF">2025-12-26T20:19:00Z</dcterms:modified>
</cp:coreProperties>
</file>