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A3EE2" w14:textId="223010A7" w:rsidR="00B022E6" w:rsidRDefault="007A456E">
      <w:pPr>
        <w:tabs>
          <w:tab w:val="left" w:pos="504"/>
        </w:tabs>
        <w:ind w:left="0" w:hanging="2"/>
        <w:rPr>
          <w:b/>
          <w:sz w:val="22"/>
          <w:szCs w:val="22"/>
        </w:rPr>
      </w:pPr>
      <w:r w:rsidRPr="007A456E">
        <w:rPr>
          <w:b/>
          <w:sz w:val="22"/>
          <w:szCs w:val="22"/>
        </w:rPr>
        <w:t>From Laboratory Screening to Mini-Pilot Validation of Water</w:t>
      </w:r>
      <w:r>
        <w:rPr>
          <w:b/>
          <w:sz w:val="22"/>
          <w:szCs w:val="22"/>
        </w:rPr>
        <w:t>-</w:t>
      </w:r>
      <w:r w:rsidRPr="007A456E">
        <w:rPr>
          <w:b/>
          <w:sz w:val="22"/>
          <w:szCs w:val="22"/>
        </w:rPr>
        <w:t>Lean CO</w:t>
      </w:r>
      <w:r w:rsidRPr="007A456E">
        <w:rPr>
          <w:b/>
          <w:sz w:val="22"/>
          <w:szCs w:val="22"/>
          <w:vertAlign w:val="subscript"/>
        </w:rPr>
        <w:t>2</w:t>
      </w:r>
      <w:r w:rsidRPr="007A456E">
        <w:rPr>
          <w:b/>
          <w:sz w:val="22"/>
          <w:szCs w:val="22"/>
        </w:rPr>
        <w:t xml:space="preserve"> Capture Solvents</w:t>
      </w:r>
    </w:p>
    <w:p w14:paraId="295B4B21" w14:textId="77777777" w:rsidR="00B022E6" w:rsidRDefault="00B022E6">
      <w:pPr>
        <w:pBdr>
          <w:top w:val="nil"/>
          <w:left w:val="nil"/>
          <w:bottom w:val="nil"/>
          <w:right w:val="nil"/>
          <w:between w:val="nil"/>
        </w:pBdr>
        <w:tabs>
          <w:tab w:val="left" w:pos="504"/>
        </w:tabs>
        <w:spacing w:line="240" w:lineRule="auto"/>
        <w:ind w:left="0" w:hanging="2"/>
        <w:rPr>
          <w:b/>
          <w:sz w:val="22"/>
          <w:szCs w:val="22"/>
        </w:rPr>
      </w:pPr>
    </w:p>
    <w:p w14:paraId="2E5E0176" w14:textId="77777777" w:rsidR="00B022E6" w:rsidRDefault="00815AEE">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Introduction</w:t>
      </w:r>
      <w:bookmarkStart w:id="0" w:name="bookmark=id.gjdgxs" w:colFirst="0" w:colLast="0"/>
      <w:bookmarkEnd w:id="0"/>
    </w:p>
    <w:p w14:paraId="676AE8DA" w14:textId="77777777" w:rsidR="00B022E6" w:rsidRDefault="00B022E6">
      <w:pPr>
        <w:pBdr>
          <w:top w:val="nil"/>
          <w:left w:val="nil"/>
          <w:bottom w:val="nil"/>
          <w:right w:val="nil"/>
          <w:between w:val="nil"/>
        </w:pBdr>
        <w:tabs>
          <w:tab w:val="left" w:pos="504"/>
        </w:tabs>
        <w:spacing w:line="240" w:lineRule="auto"/>
        <w:ind w:left="0" w:hanging="2"/>
        <w:jc w:val="both"/>
        <w:rPr>
          <w:color w:val="000000"/>
          <w:sz w:val="22"/>
          <w:szCs w:val="22"/>
        </w:rPr>
      </w:pPr>
    </w:p>
    <w:p w14:paraId="15245938" w14:textId="77777777" w:rsidR="003E239A" w:rsidRDefault="00F520DB" w:rsidP="003E239A">
      <w:pPr>
        <w:ind w:left="0" w:hanging="2"/>
        <w:jc w:val="both"/>
      </w:pPr>
      <w:r w:rsidRPr="00DA3C34">
        <w:t>The urgent requirement for negativ</w:t>
      </w:r>
      <w:r>
        <w:t xml:space="preserve">e carbon </w:t>
      </w:r>
      <w:r w:rsidRPr="00DA3C34">
        <w:t xml:space="preserve">technologies has positioned Bioenergy with Carbon Capture and Storage (BECCS) as a pivotal strategy for climate mitigation. While chemical absorption using aqueous amines is the most </w:t>
      </w:r>
      <w:r>
        <w:t>mature carbon</w:t>
      </w:r>
      <w:r w:rsidRPr="00DA3C34">
        <w:t xml:space="preserve"> capture pathway, its</w:t>
      </w:r>
      <w:r>
        <w:t xml:space="preserve"> </w:t>
      </w:r>
      <w:r w:rsidRPr="000E284B">
        <w:t>wide</w:t>
      </w:r>
      <w:r w:rsidRPr="00DA3C34">
        <w:t xml:space="preserve"> implementation is often hindered by high parasitic energy demands</w:t>
      </w:r>
      <w:r>
        <w:t xml:space="preserve">. </w:t>
      </w:r>
      <w:r w:rsidRPr="00DA3C34">
        <w:t>Water-lean solvents, which replace a significant portion of the aqueous phase with organic cosolvents, represent a transformative approach to reducing the energy penalty of regeneration</w:t>
      </w:r>
      <w:r>
        <w:fldChar w:fldCharType="begin" w:fldLock="1"/>
      </w:r>
      <w:r>
        <w:instrText>ADDIN CSL_CITATION {"citationItems":[{"id":"ITEM-1","itemData":{"DOI":"10.1021/ACS.IECR.0C00940/ASSET/IMAGES/LARGE/IE0C00940_0005.JPEG","ISSN":"15205045","abstract":"Water-lean solvents are typically defined as mixtures between an organic diluent and an amine. These solvents are thought to deliver potential benefits in CO2 capture systems, such as enhanced mass transfer properties, increased absorption capacities, and lower regeneration heat duties. However, it is yet unclear what properties of the organic diluent one should aim for when developing these solvents. For example, while it is understood that high CO2 physical solubility is desirable if one wants to enhance mass transfer rates, the contributions of viscosity and electrostatic properties (e.g., dielectric permittivity) are still uncertain. Simultaneously, as low vapor pressures are interesting for reducing latent heat duties in the regeneration process, the effects of viscosity and thermal conductivity in the cross-heat exchanger before the reboiler are often neglected or underestimated. This work aims to address such drawbacks by carrying out an explicit analysis, based on rigorous modeling, on the influences of each individual parameter of the organic solvent when mixed with monoethanolamine as a token amine. The contributions of CO2 solubility, viscosity, dielectric permittivity, heat capacity, thermal conductivity, and vapor pressure to the performances in the absorber and the desorber are exhaustively discussed. Finally, an overall assessment on which properties are effectively desirable in a water-lean solvent is performed, as well as some predictions on which kinds of challenges these solvents will have to face upon implementation.","author":[{"dropping-particle":"","family":"Wanderley","given":"Ricardo R.","non-dropping-particle":"","parse-names":false,"suffix":""},{"dropping-particle":"","family":"Knuutila","given":"Hanna K.","non-dropping-particle":"","parse-names":false,"suffix":""}],"container-title":"Industrial and Engineering Chemistry Research","id":"ITEM-1","issue":"25","issued":{"date-parts":[["2020","6","24"]]},"page":"11656-11680","publisher":"American Chemical Society","title":"Mapping Diluents for Water-Lean Solvents: A Parametric Study","type":"article-journal","volume":"59"},"uris":["http://www.mendeley.com/documents/?uuid=9b05d65e-87fb-3ca7-bc60-722665f0c398"]},{"id":"ITEM-2","itemData":{"DOI":"10.1021/acs.chemrev.6b00768","abstract":"This review is designed to foster the discussion regarding the viability of postcombustion CO2 capture by water-lean solvents, by separating fact from fiction for both skeptics and advocates. We highlight the unique physical and thermodynamic properties of notable water-lean solvents, with a discussion of how such properties could translate to efficiency gains compared to aqueous amines. The scope of this review ranges from the purely fundamental molecular-level processes that govern solvent behavior to bench-scale testing, through process engineering and projections of process performance and cost. Key discussions of higher than expected CO2 mass transfer, water tolerance, and compatibility with current infrastructure are presented along with current limitations and suggested areas where further solvent development is needed. We conclude with an outlook of the status of the field and assess the viability of water-lean solvents for postcombustion CO2 capture.","author":[{"dropping-particle":"","family":"J. Heldebrant","given":"David","non-dropping-particle":"","parse-names":false,"suffix":""},{"dropping-particle":"","family":"K. Koech","given":"Phillip","non-dropping-particle":"","parse-names":false,"suffix":""},{"dropping-particle":"","family":"Glezakou","given":"Vassiliki-Alexandra","non-dropping-particle":"","parse-names":false,"suffix":""},{"dropping-particle":"","family":"Rousseau","given":"Roger","non-dropping-particle":"","parse-names":false,"suffix":""},{"dropping-particle":"","family":"Malhotra","given":"Deepika","non-dropping-particle":"","parse-names":false,"suffix":""},{"dropping-particle":"","family":"C. Cantu","given":"David","non-dropping-particle":"","parse-names":false,"suffix":""}],"container-title":"Chemical Reviews","id":"ITEM-2","issue":"14","issued":{"date-parts":[["2017","6","19"]]},"page":"9594-9624","publisher":"American Chemical Society","title":"Water-Lean Solvents for Post-Combustion CO2 Capture: Fundamentals, Uncertainties, Opportunities, and Outlook","type":"article-journal","volume":"117"},"uris":["http://www.mendeley.com/documents/?uuid=08a78461-60f9-38ce-abf7-5cb529dcee59"]}],"mendeley":{"formattedCitation":"&lt;sup&gt;1,2&lt;/sup&gt;","plainTextFormattedCitation":"1,2","previouslyFormattedCitation":"&lt;sup&gt;1,2&lt;/sup&gt;"},"properties":{"noteIndex":0},"schema":"https://github.com/citation-style-language/schema/raw/master/csl-citation.json"}</w:instrText>
      </w:r>
      <w:r>
        <w:fldChar w:fldCharType="separate"/>
      </w:r>
      <w:r w:rsidRPr="00F520DB">
        <w:rPr>
          <w:noProof/>
          <w:vertAlign w:val="superscript"/>
        </w:rPr>
        <w:t>1,2</w:t>
      </w:r>
      <w:r>
        <w:fldChar w:fldCharType="end"/>
      </w:r>
      <w:r w:rsidRPr="00DA3C34">
        <w:t>. By lowering the specific heat capacity and minimizing the latent heat of vaporization, these systems theoretically offer a more efficient alternative to conventional aqueous blends</w:t>
      </w:r>
      <w:r>
        <w:t xml:space="preserve"> in terms </w:t>
      </w:r>
      <w:r>
        <w:t>of</w:t>
      </w:r>
      <w:r>
        <w:t xml:space="preserve"> energy duties</w:t>
      </w:r>
      <w:r w:rsidRPr="00DA3C34">
        <w:t xml:space="preserve">. </w:t>
      </w:r>
      <w:r w:rsidR="003E239A">
        <w:t>However, despite promising laboratory-scale findings, a significant gap remains between fundamental solvent screening and validation under realistic continuous operating conditions. Laboratory measurements often focus on equilibrium capacity, reaction kinetics, and calorimetric data under controlled batch conditions, which do not fully reflect hydrodynamics, heat integration, solvent circulation, foaming behavior, or long-term stability in continuous absorber–stripper systems. Bridging this gap is essential to accelerate solvent development from conceptual design to industrial implementation.</w:t>
      </w:r>
    </w:p>
    <w:p w14:paraId="2E7F6BFF" w14:textId="77777777" w:rsidR="003E239A" w:rsidRDefault="003E239A" w:rsidP="003E239A">
      <w:pPr>
        <w:ind w:left="0" w:hanging="2"/>
      </w:pPr>
    </w:p>
    <w:p w14:paraId="07D695CC" w14:textId="695EE762" w:rsidR="00F520DB" w:rsidRDefault="003E239A" w:rsidP="003E239A">
      <w:pPr>
        <w:ind w:left="0" w:hanging="2"/>
        <w:jc w:val="both"/>
      </w:pPr>
      <w:r>
        <w:t>This study addresses this critical challenge by presenting a comprehensive evaluation framework that connects high-throughput laboratory screening with continuous mini-pilot validation under representative BECCS conditions. The work demonstrates how thermodynamic and kinetic advantages identified at laboratory scale translate into real process energy performance.</w:t>
      </w:r>
    </w:p>
    <w:p w14:paraId="307CF979" w14:textId="77777777" w:rsidR="003E239A" w:rsidRPr="00A33490" w:rsidRDefault="003E239A" w:rsidP="003E239A">
      <w:pPr>
        <w:ind w:left="0" w:hanging="2"/>
        <w:jc w:val="both"/>
      </w:pPr>
    </w:p>
    <w:p w14:paraId="415B4033" w14:textId="77777777" w:rsidR="00B022E6" w:rsidRDefault="00815AEE">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Method and/or Theory</w:t>
      </w:r>
    </w:p>
    <w:p w14:paraId="64BAAE08" w14:textId="77777777" w:rsidR="00B022E6" w:rsidRDefault="00B022E6">
      <w:pPr>
        <w:pBdr>
          <w:top w:val="nil"/>
          <w:left w:val="nil"/>
          <w:bottom w:val="nil"/>
          <w:right w:val="nil"/>
          <w:between w:val="nil"/>
        </w:pBdr>
        <w:tabs>
          <w:tab w:val="left" w:pos="504"/>
        </w:tabs>
        <w:spacing w:line="240" w:lineRule="auto"/>
        <w:ind w:left="0" w:hanging="2"/>
        <w:jc w:val="both"/>
        <w:rPr>
          <w:sz w:val="22"/>
          <w:szCs w:val="22"/>
        </w:rPr>
      </w:pPr>
    </w:p>
    <w:p w14:paraId="36EA6A92" w14:textId="77777777" w:rsidR="003E239A" w:rsidRDefault="003E239A" w:rsidP="003E239A">
      <w:pPr>
        <w:ind w:left="0" w:hanging="2"/>
      </w:pPr>
      <w:r>
        <w:t>The first phase of the study involved systematic high-throughput laboratory screening of a large pool of water-lean solvent formulations. The objective was to deconstruct the relationship between molecular structure, diluent properties, and macroscopic thermodynamic behavior. Candidate systems consisted of selected amines combined with organic diluents exhibiting varied polarity, hydrogen-bond donor/acceptor capacity, and dielectric constants.</w:t>
      </w:r>
    </w:p>
    <w:p w14:paraId="5A07219A" w14:textId="77777777" w:rsidR="003E239A" w:rsidRDefault="003E239A" w:rsidP="003E239A">
      <w:pPr>
        <w:ind w:left="0" w:hanging="2"/>
      </w:pPr>
    </w:p>
    <w:p w14:paraId="5EA1047C" w14:textId="77777777" w:rsidR="003E239A" w:rsidRDefault="003E239A" w:rsidP="003E239A">
      <w:pPr>
        <w:ind w:left="0" w:hanging="2"/>
      </w:pPr>
      <w:r>
        <w:t>Each formulation was characterized in terms of:</w:t>
      </w:r>
    </w:p>
    <w:p w14:paraId="6235E655" w14:textId="77777777" w:rsidR="003E239A" w:rsidRDefault="003E239A" w:rsidP="003E239A">
      <w:pPr>
        <w:ind w:left="0" w:hanging="2"/>
      </w:pPr>
    </w:p>
    <w:p w14:paraId="48D22A30" w14:textId="77777777" w:rsidR="003E239A" w:rsidRDefault="003E239A" w:rsidP="003E239A">
      <w:pPr>
        <w:pStyle w:val="ListParagraph"/>
        <w:numPr>
          <w:ilvl w:val="0"/>
          <w:numId w:val="4"/>
        </w:numPr>
        <w:ind w:leftChars="0" w:firstLineChars="0"/>
      </w:pPr>
      <w:r>
        <w:t>CO₂ absorption capacity (mol CO₂/mol amine)</w:t>
      </w:r>
    </w:p>
    <w:p w14:paraId="41A94F13" w14:textId="77777777" w:rsidR="003E239A" w:rsidRDefault="003E239A" w:rsidP="003E239A">
      <w:pPr>
        <w:ind w:left="0" w:hanging="2"/>
      </w:pPr>
    </w:p>
    <w:p w14:paraId="174B6B5D" w14:textId="77777777" w:rsidR="003E239A" w:rsidRDefault="003E239A" w:rsidP="003E239A">
      <w:pPr>
        <w:pStyle w:val="ListParagraph"/>
        <w:numPr>
          <w:ilvl w:val="0"/>
          <w:numId w:val="4"/>
        </w:numPr>
        <w:ind w:leftChars="0" w:firstLineChars="0"/>
      </w:pPr>
      <w:r>
        <w:t>Initial absorption rate and kinetic constant</w:t>
      </w:r>
    </w:p>
    <w:p w14:paraId="436291FF" w14:textId="77777777" w:rsidR="003E239A" w:rsidRDefault="003E239A" w:rsidP="003E239A">
      <w:pPr>
        <w:ind w:left="0" w:hanging="2"/>
      </w:pPr>
    </w:p>
    <w:p w14:paraId="3787BADB" w14:textId="77777777" w:rsidR="003E239A" w:rsidRDefault="003E239A" w:rsidP="003E239A">
      <w:pPr>
        <w:pStyle w:val="ListParagraph"/>
        <w:numPr>
          <w:ilvl w:val="0"/>
          <w:numId w:val="4"/>
        </w:numPr>
        <w:ind w:leftChars="0" w:firstLineChars="0"/>
      </w:pPr>
      <w:r>
        <w:t>Heat of absorption (via calorimetry)</w:t>
      </w:r>
    </w:p>
    <w:p w14:paraId="6D182784" w14:textId="77777777" w:rsidR="003E239A" w:rsidRDefault="003E239A" w:rsidP="003E239A">
      <w:pPr>
        <w:ind w:left="0" w:hanging="2"/>
      </w:pPr>
    </w:p>
    <w:p w14:paraId="52B0E97D" w14:textId="77777777" w:rsidR="003E239A" w:rsidRDefault="003E239A" w:rsidP="003E239A">
      <w:pPr>
        <w:pStyle w:val="ListParagraph"/>
        <w:numPr>
          <w:ilvl w:val="0"/>
          <w:numId w:val="4"/>
        </w:numPr>
        <w:ind w:leftChars="0" w:firstLineChars="0"/>
      </w:pPr>
      <w:r>
        <w:t>Thermal stability under regeneration temperatures</w:t>
      </w:r>
    </w:p>
    <w:p w14:paraId="67FA4809" w14:textId="77777777" w:rsidR="003E239A" w:rsidRDefault="003E239A" w:rsidP="003E239A">
      <w:pPr>
        <w:ind w:left="0" w:hanging="2"/>
      </w:pPr>
    </w:p>
    <w:p w14:paraId="07AA6321" w14:textId="77777777" w:rsidR="003E239A" w:rsidRDefault="003E239A" w:rsidP="003E239A">
      <w:pPr>
        <w:pStyle w:val="ListParagraph"/>
        <w:numPr>
          <w:ilvl w:val="0"/>
          <w:numId w:val="4"/>
        </w:numPr>
        <w:ind w:leftChars="0" w:firstLineChars="0"/>
      </w:pPr>
      <w:r>
        <w:t>Phase behavior and viscosity</w:t>
      </w:r>
    </w:p>
    <w:p w14:paraId="2EA9A502" w14:textId="77777777" w:rsidR="003E239A" w:rsidRDefault="003E239A" w:rsidP="003E239A">
      <w:pPr>
        <w:ind w:left="0" w:hanging="2"/>
      </w:pPr>
    </w:p>
    <w:p w14:paraId="3D2C0429" w14:textId="77777777" w:rsidR="003E239A" w:rsidRDefault="003E239A" w:rsidP="003E239A">
      <w:pPr>
        <w:ind w:left="0" w:hanging="2"/>
        <w:jc w:val="both"/>
      </w:pPr>
      <w:proofErr w:type="gramStart"/>
      <w:r>
        <w:t>Particular emphasis</w:t>
      </w:r>
      <w:proofErr w:type="gramEnd"/>
      <w:r>
        <w:t xml:space="preserve"> was placed on understanding solute–diluent interactions and hydrogen-bonding disruption mechanisms, which strongly influence CO₂ solvation and carbamate stabilization. Reduced solvent heat capacity and suppressed water evaporation were evaluated as key contributors to potential energy savings.</w:t>
      </w:r>
    </w:p>
    <w:p w14:paraId="5CA868D7" w14:textId="77777777" w:rsidR="003E239A" w:rsidRDefault="003E239A" w:rsidP="003E239A">
      <w:pPr>
        <w:ind w:left="0" w:hanging="2"/>
      </w:pPr>
    </w:p>
    <w:p w14:paraId="43CAF90A" w14:textId="77777777" w:rsidR="003E239A" w:rsidRDefault="003E239A" w:rsidP="003E239A">
      <w:pPr>
        <w:ind w:left="0" w:hanging="2"/>
        <w:jc w:val="both"/>
      </w:pPr>
      <w:r>
        <w:t xml:space="preserve">Based on a multi-criteria decision matrix integrating capacity, kinetics, enthalpy, and stability, five water-lean solvent candidates (denoted WS-1 to WS-5) were selected for pilot validation. These candidates demonstrated superior laboratory performance compared to conventional 30 </w:t>
      </w:r>
      <w:proofErr w:type="spellStart"/>
      <w:r>
        <w:t>wt</w:t>
      </w:r>
      <w:proofErr w:type="spellEnd"/>
      <w:r>
        <w:t>% MEA.</w:t>
      </w:r>
    </w:p>
    <w:p w14:paraId="5CC0D4EA" w14:textId="77777777" w:rsidR="003E239A" w:rsidRDefault="003E239A" w:rsidP="003E239A">
      <w:pPr>
        <w:ind w:left="0" w:hanging="2"/>
      </w:pPr>
    </w:p>
    <w:p w14:paraId="1DB26BC6" w14:textId="6CB4FE81" w:rsidR="00F520DB" w:rsidRDefault="003E239A" w:rsidP="003E239A">
      <w:pPr>
        <w:ind w:left="0" w:hanging="2"/>
        <w:jc w:val="both"/>
      </w:pPr>
      <w:r>
        <w:t>Nevertheless, laboratory-scale measurements inherently neglect critical factors such as mass transfer limitations, solvent circulation stability, entrainment losses, and thermal integration efficiency. Therefore, pilot-scale validation was essential to determine industrial viability.</w:t>
      </w:r>
    </w:p>
    <w:p w14:paraId="0277C653" w14:textId="77777777" w:rsidR="00B022E6" w:rsidRDefault="00B022E6">
      <w:pPr>
        <w:pBdr>
          <w:top w:val="nil"/>
          <w:left w:val="nil"/>
          <w:bottom w:val="nil"/>
          <w:right w:val="nil"/>
          <w:between w:val="nil"/>
        </w:pBdr>
        <w:tabs>
          <w:tab w:val="left" w:pos="504"/>
        </w:tabs>
        <w:spacing w:line="240" w:lineRule="auto"/>
        <w:ind w:left="0" w:hanging="2"/>
        <w:jc w:val="both"/>
        <w:rPr>
          <w:color w:val="000000"/>
          <w:sz w:val="22"/>
          <w:szCs w:val="22"/>
        </w:rPr>
      </w:pPr>
    </w:p>
    <w:p w14:paraId="48000E8E" w14:textId="20BC2480" w:rsidR="00B022E6" w:rsidRDefault="00F520DB">
      <w:pPr>
        <w:pBdr>
          <w:top w:val="nil"/>
          <w:left w:val="nil"/>
          <w:bottom w:val="nil"/>
          <w:right w:val="nil"/>
          <w:between w:val="nil"/>
        </w:pBdr>
        <w:tabs>
          <w:tab w:val="left" w:pos="504"/>
        </w:tabs>
        <w:spacing w:line="240" w:lineRule="auto"/>
        <w:ind w:left="0" w:hanging="2"/>
        <w:jc w:val="center"/>
        <w:rPr>
          <w:color w:val="000000"/>
          <w:sz w:val="22"/>
          <w:szCs w:val="22"/>
        </w:rPr>
      </w:pPr>
      <w:r>
        <w:rPr>
          <w:noProof/>
        </w:rPr>
        <w:drawing>
          <wp:inline distT="0" distB="0" distL="0" distR="0" wp14:anchorId="6CD0FA78" wp14:editId="497FB232">
            <wp:extent cx="3774937" cy="2889250"/>
            <wp:effectExtent l="0" t="0" r="0" b="6350"/>
            <wp:docPr id="1185487547"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487547" name="Picture 1" descr="A graph of different colored line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94096" cy="2903913"/>
                    </a:xfrm>
                    <a:prstGeom prst="rect">
                      <a:avLst/>
                    </a:prstGeom>
                    <a:noFill/>
                  </pic:spPr>
                </pic:pic>
              </a:graphicData>
            </a:graphic>
          </wp:inline>
        </w:drawing>
      </w:r>
    </w:p>
    <w:p w14:paraId="0DBE62C6" w14:textId="105E29FF" w:rsidR="00B022E6" w:rsidRDefault="00815AEE" w:rsidP="00F520DB">
      <w:pPr>
        <w:pBdr>
          <w:top w:val="nil"/>
          <w:left w:val="nil"/>
          <w:bottom w:val="nil"/>
          <w:right w:val="nil"/>
          <w:between w:val="nil"/>
        </w:pBdr>
        <w:tabs>
          <w:tab w:val="left" w:pos="504"/>
        </w:tabs>
        <w:spacing w:line="240" w:lineRule="auto"/>
        <w:ind w:left="0" w:hanging="2"/>
        <w:jc w:val="both"/>
        <w:rPr>
          <w:b/>
          <w:color w:val="000000"/>
          <w:sz w:val="22"/>
          <w:szCs w:val="22"/>
        </w:rPr>
      </w:pPr>
      <w:bookmarkStart w:id="1" w:name="_heading=h.1t3h5sf" w:colFirst="0" w:colLast="0"/>
      <w:bookmarkEnd w:id="1"/>
      <w:r>
        <w:rPr>
          <w:b/>
          <w:i/>
          <w:color w:val="000000"/>
          <w:sz w:val="22"/>
          <w:szCs w:val="22"/>
        </w:rPr>
        <w:t>Figure 1</w:t>
      </w:r>
      <w:r>
        <w:rPr>
          <w:i/>
          <w:color w:val="000000"/>
          <w:sz w:val="22"/>
          <w:szCs w:val="22"/>
        </w:rPr>
        <w:t xml:space="preserve"> </w:t>
      </w:r>
      <w:r w:rsidR="00F520DB" w:rsidRPr="00F520DB">
        <w:rPr>
          <w:i/>
          <w:color w:val="000000"/>
          <w:sz w:val="22"/>
          <w:szCs w:val="22"/>
        </w:rPr>
        <w:t>Figure 1. Specific reboiler duty (SRD) of water-lean solvent (WS) candidates tested at mini-pilot in relation to stripper intensity (SI) compared to 30wt% MEA aqueous solvent.</w:t>
      </w:r>
    </w:p>
    <w:p w14:paraId="7F74093B" w14:textId="77777777" w:rsidR="00F520DB" w:rsidRDefault="00F520DB" w:rsidP="00F520DB">
      <w:pPr>
        <w:pBdr>
          <w:top w:val="nil"/>
          <w:left w:val="nil"/>
          <w:bottom w:val="nil"/>
          <w:right w:val="nil"/>
          <w:between w:val="nil"/>
        </w:pBdr>
        <w:tabs>
          <w:tab w:val="left" w:pos="504"/>
        </w:tabs>
        <w:spacing w:line="240" w:lineRule="auto"/>
        <w:ind w:left="0" w:hanging="2"/>
        <w:jc w:val="both"/>
        <w:rPr>
          <w:b/>
          <w:color w:val="000000"/>
          <w:sz w:val="22"/>
          <w:szCs w:val="22"/>
        </w:rPr>
      </w:pPr>
    </w:p>
    <w:p w14:paraId="2E01D90B" w14:textId="77777777" w:rsidR="00B022E6" w:rsidRDefault="00815AEE">
      <w:pPr>
        <w:pBdr>
          <w:top w:val="nil"/>
          <w:left w:val="nil"/>
          <w:bottom w:val="nil"/>
          <w:right w:val="nil"/>
          <w:between w:val="nil"/>
        </w:pBdr>
        <w:tabs>
          <w:tab w:val="left" w:pos="504"/>
        </w:tabs>
        <w:spacing w:line="240" w:lineRule="auto"/>
        <w:ind w:left="0" w:hanging="2"/>
        <w:rPr>
          <w:b/>
          <w:color w:val="000000"/>
          <w:sz w:val="22"/>
          <w:szCs w:val="22"/>
        </w:rPr>
      </w:pPr>
      <w:bookmarkStart w:id="2" w:name="bookmark=id.4d34og8" w:colFirst="0" w:colLast="0"/>
      <w:bookmarkEnd w:id="2"/>
      <w:r>
        <w:rPr>
          <w:b/>
          <w:color w:val="000000"/>
          <w:sz w:val="22"/>
          <w:szCs w:val="22"/>
        </w:rPr>
        <w:t>Conclusions</w:t>
      </w:r>
      <w:bookmarkStart w:id="3" w:name="bookmark=id.2s8eyo1" w:colFirst="0" w:colLast="0"/>
      <w:bookmarkEnd w:id="3"/>
    </w:p>
    <w:p w14:paraId="17F0548A" w14:textId="77777777" w:rsidR="00B022E6" w:rsidRDefault="00B022E6">
      <w:pPr>
        <w:pBdr>
          <w:top w:val="nil"/>
          <w:left w:val="nil"/>
          <w:bottom w:val="nil"/>
          <w:right w:val="nil"/>
          <w:between w:val="nil"/>
        </w:pBdr>
        <w:tabs>
          <w:tab w:val="left" w:pos="504"/>
        </w:tabs>
        <w:spacing w:line="240" w:lineRule="auto"/>
        <w:ind w:left="0" w:hanging="2"/>
        <w:jc w:val="both"/>
        <w:rPr>
          <w:color w:val="000000"/>
          <w:sz w:val="22"/>
          <w:szCs w:val="22"/>
        </w:rPr>
      </w:pPr>
    </w:p>
    <w:p w14:paraId="2C0BFD58" w14:textId="0F8A4612" w:rsidR="00F520DB" w:rsidRDefault="00F520DB" w:rsidP="003E239A">
      <w:pPr>
        <w:ind w:left="0" w:hanging="2"/>
        <w:jc w:val="both"/>
      </w:pPr>
      <w:r w:rsidRPr="0076644B">
        <w:t xml:space="preserve">These results confirm that </w:t>
      </w:r>
      <w:r>
        <w:t xml:space="preserve">the </w:t>
      </w:r>
      <w:r w:rsidRPr="0076644B">
        <w:t>kinetic and thermodynamic advantages</w:t>
      </w:r>
      <w:r>
        <w:t xml:space="preserve"> from </w:t>
      </w:r>
      <w:r w:rsidRPr="0076644B">
        <w:t>laboratory</w:t>
      </w:r>
      <w:r>
        <w:t xml:space="preserve"> measurements </w:t>
      </w:r>
      <w:r w:rsidRPr="0076644B">
        <w:t xml:space="preserve">can translate into </w:t>
      </w:r>
      <w:r>
        <w:t>CO</w:t>
      </w:r>
      <w:r w:rsidRPr="0076644B">
        <w:rPr>
          <w:vertAlign w:val="subscript"/>
        </w:rPr>
        <w:t>2</w:t>
      </w:r>
      <w:r>
        <w:t xml:space="preserve"> capture performance</w:t>
      </w:r>
      <w:r w:rsidRPr="0076644B">
        <w:t xml:space="preserve"> at pilot scale by appropriate solvent design. The rational development of water</w:t>
      </w:r>
      <w:r>
        <w:t>-</w:t>
      </w:r>
      <w:r w:rsidRPr="0076644B">
        <w:t xml:space="preserve">lean solvents requires a holistic screening methodology that integrates fundamental solvent properties with continuous process performance. By correlating laboratory screening </w:t>
      </w:r>
      <w:r>
        <w:t>results</w:t>
      </w:r>
      <w:r w:rsidRPr="0076644B">
        <w:t xml:space="preserve"> with pilot-scale </w:t>
      </w:r>
      <w:r>
        <w:t>performance</w:t>
      </w:r>
      <w:r w:rsidRPr="0076644B">
        <w:t xml:space="preserve">, this work provides a robust framework for the scale-up of water-lean solvent technologies. The findings offer critical guidance for the deployment of high-efficiency carbon capture </w:t>
      </w:r>
      <w:r>
        <w:t>solvents</w:t>
      </w:r>
      <w:r w:rsidRPr="0076644B">
        <w:t xml:space="preserve"> and support the realization of the theoretical energy</w:t>
      </w:r>
      <w:r>
        <w:t xml:space="preserve"> saving </w:t>
      </w:r>
      <w:r w:rsidRPr="0076644B">
        <w:t xml:space="preserve">of next-generation solvents in practical large-scale and negative-emissions </w:t>
      </w:r>
      <w:r w:rsidRPr="0076644B">
        <w:t>applications</w:t>
      </w:r>
      <w:r w:rsidRPr="0076644B">
        <w:t>.</w:t>
      </w:r>
    </w:p>
    <w:p w14:paraId="50B97F55" w14:textId="77777777" w:rsidR="00B022E6" w:rsidRDefault="00B022E6">
      <w:pPr>
        <w:pBdr>
          <w:top w:val="nil"/>
          <w:left w:val="nil"/>
          <w:bottom w:val="nil"/>
          <w:right w:val="nil"/>
          <w:between w:val="nil"/>
        </w:pBdr>
        <w:tabs>
          <w:tab w:val="left" w:pos="504"/>
        </w:tabs>
        <w:spacing w:line="240" w:lineRule="auto"/>
        <w:ind w:left="0" w:hanging="2"/>
        <w:rPr>
          <w:b/>
          <w:color w:val="000000"/>
          <w:sz w:val="22"/>
          <w:szCs w:val="22"/>
        </w:rPr>
      </w:pPr>
    </w:p>
    <w:p w14:paraId="03F9A58B" w14:textId="77777777" w:rsidR="00706E09" w:rsidRDefault="00706E09">
      <w:pPr>
        <w:pBdr>
          <w:top w:val="nil"/>
          <w:left w:val="nil"/>
          <w:bottom w:val="nil"/>
          <w:right w:val="nil"/>
          <w:between w:val="nil"/>
        </w:pBdr>
        <w:tabs>
          <w:tab w:val="left" w:pos="504"/>
        </w:tabs>
        <w:spacing w:line="240" w:lineRule="auto"/>
        <w:ind w:left="0" w:hanging="2"/>
        <w:rPr>
          <w:b/>
          <w:color w:val="000000"/>
          <w:sz w:val="22"/>
          <w:szCs w:val="22"/>
        </w:rPr>
      </w:pPr>
    </w:p>
    <w:p w14:paraId="7756D30A" w14:textId="014A3A71" w:rsidR="00B022E6" w:rsidRDefault="00815AEE">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A</w:t>
      </w:r>
      <w:r>
        <w:rPr>
          <w:b/>
          <w:color w:val="000000"/>
          <w:sz w:val="22"/>
          <w:szCs w:val="22"/>
        </w:rPr>
        <w:t xml:space="preserve">cknowledgements </w:t>
      </w:r>
    </w:p>
    <w:p w14:paraId="58EB2DCD" w14:textId="77777777" w:rsidR="00B022E6" w:rsidRDefault="00B022E6">
      <w:pPr>
        <w:pBdr>
          <w:top w:val="nil"/>
          <w:left w:val="nil"/>
          <w:bottom w:val="nil"/>
          <w:right w:val="nil"/>
          <w:between w:val="nil"/>
        </w:pBdr>
        <w:tabs>
          <w:tab w:val="left" w:pos="504"/>
        </w:tabs>
        <w:spacing w:line="240" w:lineRule="auto"/>
        <w:ind w:left="0" w:hanging="2"/>
        <w:jc w:val="both"/>
        <w:rPr>
          <w:color w:val="000000"/>
          <w:sz w:val="22"/>
          <w:szCs w:val="22"/>
        </w:rPr>
      </w:pPr>
    </w:p>
    <w:p w14:paraId="51490563" w14:textId="15EAAFBA" w:rsidR="00B022E6" w:rsidRDefault="00815AEE" w:rsidP="00815AEE">
      <w:pPr>
        <w:pBdr>
          <w:top w:val="nil"/>
          <w:left w:val="nil"/>
          <w:bottom w:val="nil"/>
          <w:right w:val="nil"/>
          <w:between w:val="nil"/>
        </w:pBdr>
        <w:tabs>
          <w:tab w:val="left" w:pos="504"/>
        </w:tabs>
        <w:spacing w:line="240" w:lineRule="auto"/>
        <w:ind w:left="0" w:hanging="2"/>
        <w:jc w:val="both"/>
        <w:rPr>
          <w:color w:val="000000"/>
          <w:sz w:val="22"/>
          <w:szCs w:val="22"/>
        </w:rPr>
      </w:pPr>
      <w:bookmarkStart w:id="4" w:name="bookmark=id.3rdcrjn" w:colFirst="0" w:colLast="0"/>
      <w:bookmarkStart w:id="5" w:name="_heading=h.gjdgxs" w:colFirst="0" w:colLast="0"/>
      <w:bookmarkEnd w:id="4"/>
      <w:bookmarkEnd w:id="5"/>
      <w:r w:rsidRPr="00815AEE">
        <w:rPr>
          <w:color w:val="000000"/>
          <w:sz w:val="22"/>
          <w:szCs w:val="22"/>
        </w:rPr>
        <w:t>The authors gratefully acknowledge the financial support from Innovation Fund Denmark (</w:t>
      </w:r>
      <w:proofErr w:type="spellStart"/>
      <w:r w:rsidRPr="00815AEE">
        <w:rPr>
          <w:color w:val="000000"/>
          <w:sz w:val="22"/>
          <w:szCs w:val="22"/>
        </w:rPr>
        <w:t>Innovationsfonden</w:t>
      </w:r>
      <w:proofErr w:type="spellEnd"/>
      <w:r w:rsidRPr="00815AEE">
        <w:rPr>
          <w:color w:val="000000"/>
          <w:sz w:val="22"/>
          <w:szCs w:val="22"/>
        </w:rPr>
        <w:t xml:space="preserve">) </w:t>
      </w:r>
      <w:r>
        <w:rPr>
          <w:color w:val="000000"/>
          <w:sz w:val="22"/>
          <w:szCs w:val="22"/>
        </w:rPr>
        <w:t xml:space="preserve">and </w:t>
      </w:r>
      <w:r w:rsidRPr="00815AEE">
        <w:rPr>
          <w:color w:val="000000"/>
          <w:sz w:val="22"/>
          <w:szCs w:val="22"/>
        </w:rPr>
        <w:t>Technical University of Denmark (DTU)</w:t>
      </w:r>
      <w:r>
        <w:rPr>
          <w:color w:val="000000"/>
          <w:sz w:val="22"/>
          <w:szCs w:val="22"/>
        </w:rPr>
        <w:t>.</w:t>
      </w:r>
    </w:p>
    <w:p w14:paraId="796080BA" w14:textId="77777777" w:rsidR="00B022E6" w:rsidRDefault="00B022E6">
      <w:pPr>
        <w:pBdr>
          <w:top w:val="nil"/>
          <w:left w:val="nil"/>
          <w:bottom w:val="nil"/>
          <w:right w:val="nil"/>
          <w:between w:val="nil"/>
        </w:pBdr>
        <w:tabs>
          <w:tab w:val="left" w:pos="504"/>
        </w:tabs>
        <w:spacing w:line="240" w:lineRule="auto"/>
        <w:ind w:left="0" w:hanging="2"/>
        <w:rPr>
          <w:b/>
          <w:color w:val="000000"/>
          <w:sz w:val="22"/>
          <w:szCs w:val="22"/>
        </w:rPr>
      </w:pPr>
    </w:p>
    <w:p w14:paraId="063750A4" w14:textId="77777777" w:rsidR="00B022E6" w:rsidRDefault="00815AEE">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References</w:t>
      </w:r>
    </w:p>
    <w:p w14:paraId="131D5ACE" w14:textId="77777777" w:rsidR="00B022E6" w:rsidRDefault="00B022E6">
      <w:pPr>
        <w:ind w:left="0" w:hanging="2"/>
        <w:rPr>
          <w:sz w:val="22"/>
          <w:szCs w:val="22"/>
        </w:rPr>
      </w:pPr>
    </w:p>
    <w:p w14:paraId="7CC07F10" w14:textId="6DDD00BC" w:rsidR="00F520DB" w:rsidRPr="00F520DB" w:rsidRDefault="00F520DB" w:rsidP="00F520DB">
      <w:pPr>
        <w:widowControl w:val="0"/>
        <w:autoSpaceDE w:val="0"/>
        <w:autoSpaceDN w:val="0"/>
        <w:adjustRightInd w:val="0"/>
        <w:spacing w:line="240" w:lineRule="atLeast"/>
        <w:ind w:left="0" w:hanging="2"/>
        <w:rPr>
          <w:noProof/>
          <w:sz w:val="22"/>
        </w:rPr>
      </w:pPr>
      <w:r>
        <w:rPr>
          <w:sz w:val="22"/>
          <w:szCs w:val="22"/>
        </w:rPr>
        <w:fldChar w:fldCharType="begin" w:fldLock="1"/>
      </w:r>
      <w:r>
        <w:rPr>
          <w:sz w:val="22"/>
          <w:szCs w:val="22"/>
        </w:rPr>
        <w:instrText xml:space="preserve">ADDIN Mendeley Bibliography CSL_BIBLIOGRAPHY </w:instrText>
      </w:r>
      <w:r>
        <w:rPr>
          <w:sz w:val="22"/>
          <w:szCs w:val="22"/>
        </w:rPr>
        <w:fldChar w:fldCharType="separate"/>
      </w:r>
      <w:r w:rsidRPr="00F520DB">
        <w:rPr>
          <w:noProof/>
          <w:sz w:val="22"/>
        </w:rPr>
        <w:t>1.</w:t>
      </w:r>
      <w:r w:rsidRPr="00F520DB">
        <w:rPr>
          <w:noProof/>
          <w:sz w:val="22"/>
        </w:rPr>
        <w:tab/>
        <w:t xml:space="preserve">Wanderley, R. R. &amp; Knuutila, H. K. Mapping Diluents for Water-Lean Solvents: A </w:t>
      </w:r>
      <w:r w:rsidRPr="00F520DB">
        <w:rPr>
          <w:noProof/>
          <w:sz w:val="22"/>
        </w:rPr>
        <w:lastRenderedPageBreak/>
        <w:t xml:space="preserve">Parametric Study. </w:t>
      </w:r>
      <w:r w:rsidRPr="00F520DB">
        <w:rPr>
          <w:i/>
          <w:iCs/>
          <w:noProof/>
          <w:sz w:val="22"/>
        </w:rPr>
        <w:t>Ind. Eng. Chem. Res.</w:t>
      </w:r>
      <w:r w:rsidRPr="00F520DB">
        <w:rPr>
          <w:noProof/>
          <w:sz w:val="22"/>
        </w:rPr>
        <w:t xml:space="preserve"> </w:t>
      </w:r>
      <w:r w:rsidRPr="00F520DB">
        <w:rPr>
          <w:b/>
          <w:bCs/>
          <w:noProof/>
          <w:sz w:val="22"/>
        </w:rPr>
        <w:t>59</w:t>
      </w:r>
      <w:r w:rsidRPr="00F520DB">
        <w:rPr>
          <w:noProof/>
          <w:sz w:val="22"/>
        </w:rPr>
        <w:t>, 11656–11680 (2020).</w:t>
      </w:r>
    </w:p>
    <w:p w14:paraId="7FD79560" w14:textId="77777777" w:rsidR="00F520DB" w:rsidRPr="00F520DB" w:rsidRDefault="00F520DB" w:rsidP="00F520DB">
      <w:pPr>
        <w:widowControl w:val="0"/>
        <w:autoSpaceDE w:val="0"/>
        <w:autoSpaceDN w:val="0"/>
        <w:adjustRightInd w:val="0"/>
        <w:spacing w:line="240" w:lineRule="atLeast"/>
        <w:ind w:left="0" w:hanging="2"/>
        <w:rPr>
          <w:noProof/>
          <w:sz w:val="22"/>
        </w:rPr>
      </w:pPr>
      <w:r w:rsidRPr="00F520DB">
        <w:rPr>
          <w:noProof/>
          <w:sz w:val="22"/>
        </w:rPr>
        <w:t>2.</w:t>
      </w:r>
      <w:r w:rsidRPr="00F520DB">
        <w:rPr>
          <w:noProof/>
          <w:sz w:val="22"/>
        </w:rPr>
        <w:tab/>
        <w:t xml:space="preserve">J. Heldebrant, D. </w:t>
      </w:r>
      <w:r w:rsidRPr="00F520DB">
        <w:rPr>
          <w:i/>
          <w:iCs/>
          <w:noProof/>
          <w:sz w:val="22"/>
        </w:rPr>
        <w:t>et al.</w:t>
      </w:r>
      <w:r w:rsidRPr="00F520DB">
        <w:rPr>
          <w:noProof/>
          <w:sz w:val="22"/>
        </w:rPr>
        <w:t xml:space="preserve"> Water-Lean Solvents for Post-Combustion CO2 Capture: Fundamentals, Uncertainties, Opportunities, and Outlook. </w:t>
      </w:r>
      <w:r w:rsidRPr="00F520DB">
        <w:rPr>
          <w:i/>
          <w:iCs/>
          <w:noProof/>
          <w:sz w:val="22"/>
        </w:rPr>
        <w:t>Chem. Rev.</w:t>
      </w:r>
      <w:r w:rsidRPr="00F520DB">
        <w:rPr>
          <w:noProof/>
          <w:sz w:val="22"/>
        </w:rPr>
        <w:t xml:space="preserve"> </w:t>
      </w:r>
      <w:r w:rsidRPr="00F520DB">
        <w:rPr>
          <w:b/>
          <w:bCs/>
          <w:noProof/>
          <w:sz w:val="22"/>
        </w:rPr>
        <w:t>117</w:t>
      </w:r>
      <w:r w:rsidRPr="00F520DB">
        <w:rPr>
          <w:noProof/>
          <w:sz w:val="22"/>
        </w:rPr>
        <w:t>, 9594–9624 (2017).</w:t>
      </w:r>
    </w:p>
    <w:p w14:paraId="68313F4A" w14:textId="52722D8C" w:rsidR="00B022E6" w:rsidRDefault="00F520DB">
      <w:pPr>
        <w:ind w:left="0" w:hanging="2"/>
        <w:jc w:val="both"/>
        <w:rPr>
          <w:sz w:val="22"/>
          <w:szCs w:val="22"/>
        </w:rPr>
      </w:pPr>
      <w:r>
        <w:rPr>
          <w:sz w:val="22"/>
          <w:szCs w:val="22"/>
        </w:rPr>
        <w:fldChar w:fldCharType="end"/>
      </w:r>
    </w:p>
    <w:p w14:paraId="4455EB66" w14:textId="685D79E7" w:rsidR="00B022E6" w:rsidRDefault="00B022E6">
      <w:pPr>
        <w:ind w:left="0" w:hanging="2"/>
      </w:pPr>
    </w:p>
    <w:sectPr w:rsidR="00B022E6">
      <w:headerReference w:type="even" r:id="rId10"/>
      <w:headerReference w:type="default" r:id="rId11"/>
      <w:footerReference w:type="even" r:id="rId12"/>
      <w:footerReference w:type="default" r:id="rId13"/>
      <w:headerReference w:type="first" r:id="rId14"/>
      <w:footerReference w:type="first" r:id="rId15"/>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91158" w14:textId="77777777" w:rsidR="002D692D" w:rsidRDefault="002D692D">
      <w:pPr>
        <w:spacing w:line="240" w:lineRule="auto"/>
        <w:ind w:left="0" w:hanging="2"/>
      </w:pPr>
      <w:r>
        <w:separator/>
      </w:r>
    </w:p>
  </w:endnote>
  <w:endnote w:type="continuationSeparator" w:id="0">
    <w:p w14:paraId="5263B418" w14:textId="77777777" w:rsidR="002D692D" w:rsidRDefault="002D692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9126E" w14:textId="77777777" w:rsidR="00B022E6" w:rsidRDefault="00B022E6">
    <w:pPr>
      <w:pBdr>
        <w:top w:val="single" w:sz="6" w:space="1" w:color="000000"/>
        <w:left w:val="nil"/>
        <w:bottom w:val="nil"/>
        <w:right w:val="nil"/>
        <w:between w:val="nil"/>
      </w:pBdr>
      <w:tabs>
        <w:tab w:val="center" w:pos="4703"/>
        <w:tab w:val="right" w:pos="9406"/>
      </w:tabs>
      <w:spacing w:line="240" w:lineRule="auto"/>
      <w:ind w:left="0" w:hanging="2"/>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4BAC" w14:textId="77777777" w:rsidR="007122C7" w:rsidRDefault="007122C7" w:rsidP="007122C7">
    <w:pPr>
      <w:pBdr>
        <w:top w:val="nil"/>
        <w:left w:val="nil"/>
        <w:bottom w:val="single" w:sz="6" w:space="1" w:color="000000"/>
        <w:right w:val="nil"/>
        <w:between w:val="nil"/>
      </w:pBdr>
      <w:tabs>
        <w:tab w:val="center" w:pos="4703"/>
        <w:tab w:val="right" w:pos="9406"/>
      </w:tabs>
      <w:spacing w:line="240" w:lineRule="auto"/>
      <w:ind w:left="0" w:hanging="2"/>
      <w:jc w:val="center"/>
      <w:rPr>
        <w:color w:val="000000"/>
        <w:sz w:val="20"/>
        <w:szCs w:val="20"/>
      </w:rPr>
    </w:pPr>
  </w:p>
  <w:p w14:paraId="0B8355CA" w14:textId="22AEBA68" w:rsidR="00B022E6" w:rsidRPr="007122C7" w:rsidRDefault="00F70A4E" w:rsidP="007122C7">
    <w:pPr>
      <w:pBdr>
        <w:top w:val="nil"/>
        <w:left w:val="nil"/>
        <w:bottom w:val="nil"/>
        <w:right w:val="nil"/>
        <w:between w:val="nil"/>
      </w:pBdr>
      <w:tabs>
        <w:tab w:val="center" w:pos="4703"/>
        <w:tab w:val="right" w:pos="9406"/>
      </w:tabs>
      <w:spacing w:line="240" w:lineRule="auto"/>
      <w:ind w:left="0" w:hanging="2"/>
      <w:jc w:val="center"/>
      <w:rPr>
        <w:sz w:val="20"/>
        <w:szCs w:val="20"/>
      </w:rPr>
    </w:pPr>
    <w:r>
      <w:rPr>
        <w:sz w:val="20"/>
        <w:szCs w:val="20"/>
      </w:rPr>
      <w:t xml:space="preserve">World CCUS Conference </w:t>
    </w:r>
    <w:r w:rsidR="00157344">
      <w:rPr>
        <w:sz w:val="20"/>
        <w:szCs w:val="20"/>
      </w:rPr>
      <w:t>2026</w:t>
    </w:r>
    <w:r w:rsidR="007122C7">
      <w:rPr>
        <w:color w:val="FF0000"/>
        <w:sz w:val="20"/>
        <w:szCs w:val="20"/>
      </w:rPr>
      <w:br/>
    </w:r>
    <w:r w:rsidR="00157344">
      <w:rPr>
        <w:sz w:val="20"/>
        <w:szCs w:val="20"/>
      </w:rPr>
      <w:t>September</w:t>
    </w:r>
    <w:r w:rsidR="00157344" w:rsidRPr="00157344">
      <w:rPr>
        <w:sz w:val="20"/>
        <w:szCs w:val="20"/>
      </w:rPr>
      <w:t xml:space="preserve"> 202</w:t>
    </w:r>
    <w:r w:rsidR="00157344">
      <w:rPr>
        <w:sz w:val="20"/>
        <w:szCs w:val="20"/>
      </w:rPr>
      <w:t>6</w:t>
    </w:r>
    <w:r w:rsidR="00157344" w:rsidRPr="00157344">
      <w:rPr>
        <w:sz w:val="20"/>
        <w:szCs w:val="20"/>
      </w:rPr>
      <w:t>,</w:t>
    </w:r>
    <w:r w:rsidR="0094179F">
      <w:rPr>
        <w:sz w:val="20"/>
        <w:szCs w:val="20"/>
      </w:rPr>
      <w:t xml:space="preserve"> Edinburgh,</w:t>
    </w:r>
    <w:r w:rsidR="00157344" w:rsidRPr="00157344">
      <w:rPr>
        <w:sz w:val="20"/>
        <w:szCs w:val="20"/>
      </w:rPr>
      <w:t xml:space="preserve"> United Kingdom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EB52D" w14:textId="77777777" w:rsidR="00B022E6" w:rsidRDefault="00B022E6">
    <w:pPr>
      <w:pBdr>
        <w:top w:val="nil"/>
        <w:left w:val="nil"/>
        <w:bottom w:val="nil"/>
        <w:right w:val="nil"/>
        <w:between w:val="nil"/>
      </w:pBdr>
      <w:tabs>
        <w:tab w:val="center" w:pos="4703"/>
        <w:tab w:val="right" w:pos="940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F335F" w14:textId="77777777" w:rsidR="002D692D" w:rsidRDefault="002D692D">
      <w:pPr>
        <w:spacing w:line="240" w:lineRule="auto"/>
        <w:ind w:left="0" w:hanging="2"/>
      </w:pPr>
      <w:r>
        <w:separator/>
      </w:r>
    </w:p>
  </w:footnote>
  <w:footnote w:type="continuationSeparator" w:id="0">
    <w:p w14:paraId="0A6D3415" w14:textId="77777777" w:rsidR="002D692D" w:rsidRDefault="002D692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008B3" w14:textId="77777777" w:rsidR="00B022E6" w:rsidRDefault="00815AEE">
    <w:pPr>
      <w:pBdr>
        <w:top w:val="nil"/>
        <w:left w:val="nil"/>
        <w:bottom w:val="nil"/>
        <w:right w:val="nil"/>
        <w:between w:val="nil"/>
      </w:pBdr>
      <w:tabs>
        <w:tab w:val="center" w:pos="4703"/>
        <w:tab w:val="right" w:pos="9406"/>
      </w:tabs>
      <w:spacing w:line="240" w:lineRule="auto"/>
      <w:ind w:left="0" w:hanging="2"/>
      <w:jc w:val="right"/>
      <w:rPr>
        <w:color w:val="000000"/>
        <w:sz w:val="12"/>
        <w:szCs w:val="12"/>
      </w:rPr>
    </w:pPr>
    <w:r>
      <w:rPr>
        <w:noProof/>
      </w:rPr>
      <mc:AlternateContent>
        <mc:Choice Requires="wpg">
          <w:drawing>
            <wp:anchor distT="0" distB="0" distL="114300" distR="114300" simplePos="0" relativeHeight="251659264" behindDoc="0" locked="0" layoutInCell="1" hidden="0" allowOverlap="1" wp14:anchorId="10093CA9" wp14:editId="4D68E873">
              <wp:simplePos x="0" y="0"/>
              <wp:positionH relativeFrom="column">
                <wp:posOffset>38101</wp:posOffset>
              </wp:positionH>
              <wp:positionV relativeFrom="paragraph">
                <wp:posOffset>0</wp:posOffset>
              </wp:positionV>
              <wp:extent cx="1321435" cy="306070"/>
              <wp:effectExtent l="0" t="0" r="0" b="0"/>
              <wp:wrapNone/>
              <wp:docPr id="1036" name="Group 1036"/>
              <wp:cNvGraphicFramePr/>
              <a:graphic xmlns:a="http://schemas.openxmlformats.org/drawingml/2006/main">
                <a:graphicData uri="http://schemas.microsoft.com/office/word/2010/wordprocessingGroup">
                  <wpg:wgp>
                    <wpg:cNvGrpSpPr/>
                    <wpg:grpSpPr>
                      <a:xfrm>
                        <a:off x="0" y="0"/>
                        <a:ext cx="1321435" cy="306070"/>
                        <a:chOff x="4685275" y="3626950"/>
                        <a:chExt cx="1321450" cy="306100"/>
                      </a:xfrm>
                    </wpg:grpSpPr>
                    <wpg:grpSp>
                      <wpg:cNvPr id="1299828191" name="Group 1299828191"/>
                      <wpg:cNvGrpSpPr/>
                      <wpg:grpSpPr>
                        <a:xfrm>
                          <a:off x="4685283" y="3626965"/>
                          <a:ext cx="1321435" cy="306070"/>
                          <a:chOff x="4685283" y="3626965"/>
                          <a:chExt cx="1321435" cy="306070"/>
                        </a:xfrm>
                      </wpg:grpSpPr>
                      <wps:wsp>
                        <wps:cNvPr id="301476027" name="Rectangle 301476027"/>
                        <wps:cNvSpPr/>
                        <wps:spPr>
                          <a:xfrm>
                            <a:off x="4685283" y="3626965"/>
                            <a:ext cx="1321425" cy="306050"/>
                          </a:xfrm>
                          <a:prstGeom prst="rect">
                            <a:avLst/>
                          </a:prstGeom>
                          <a:noFill/>
                          <a:ln>
                            <a:noFill/>
                          </a:ln>
                        </wps:spPr>
                        <wps:txbx>
                          <w:txbxContent>
                            <w:p w14:paraId="67E03682"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1429098456" name="Group 1429098456"/>
                        <wpg:cNvGrpSpPr/>
                        <wpg:grpSpPr>
                          <a:xfrm>
                            <a:off x="4685283" y="3626965"/>
                            <a:ext cx="1321435" cy="306070"/>
                            <a:chOff x="4685283" y="3626965"/>
                            <a:chExt cx="1321435" cy="306070"/>
                          </a:xfrm>
                        </wpg:grpSpPr>
                        <wps:wsp>
                          <wps:cNvPr id="1310071024" name="Rectangle 1310071024"/>
                          <wps:cNvSpPr/>
                          <wps:spPr>
                            <a:xfrm>
                              <a:off x="4685283" y="3626965"/>
                              <a:ext cx="1321425" cy="306050"/>
                            </a:xfrm>
                            <a:prstGeom prst="rect">
                              <a:avLst/>
                            </a:prstGeom>
                            <a:noFill/>
                            <a:ln>
                              <a:noFill/>
                            </a:ln>
                          </wps:spPr>
                          <wps:txbx>
                            <w:txbxContent>
                              <w:p w14:paraId="24BED48E"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447139859" name="Group 447139859"/>
                          <wpg:cNvGrpSpPr/>
                          <wpg:grpSpPr>
                            <a:xfrm>
                              <a:off x="4685283" y="3626965"/>
                              <a:ext cx="1321435" cy="306070"/>
                              <a:chOff x="4685283" y="3625945"/>
                              <a:chExt cx="1322453" cy="307090"/>
                            </a:xfrm>
                          </wpg:grpSpPr>
                          <wps:wsp>
                            <wps:cNvPr id="211898892" name="Rectangle 211898892"/>
                            <wps:cNvSpPr/>
                            <wps:spPr>
                              <a:xfrm>
                                <a:off x="4685283" y="3625945"/>
                                <a:ext cx="1322450" cy="307075"/>
                              </a:xfrm>
                              <a:prstGeom prst="rect">
                                <a:avLst/>
                              </a:prstGeom>
                              <a:noFill/>
                              <a:ln>
                                <a:noFill/>
                              </a:ln>
                            </wps:spPr>
                            <wps:txbx>
                              <w:txbxContent>
                                <w:p w14:paraId="6C9CBC7A"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1930734344" name="Group 1930734344"/>
                            <wpg:cNvGrpSpPr/>
                            <wpg:grpSpPr>
                              <a:xfrm>
                                <a:off x="4685283" y="3625945"/>
                                <a:ext cx="1322453" cy="307090"/>
                                <a:chOff x="0" y="-6"/>
                                <a:chExt cx="7791" cy="1806"/>
                              </a:xfrm>
                            </wpg:grpSpPr>
                            <wps:wsp>
                              <wps:cNvPr id="198755364" name="Rectangle 198755364"/>
                              <wps:cNvSpPr/>
                              <wps:spPr>
                                <a:xfrm>
                                  <a:off x="0" y="0"/>
                                  <a:ext cx="7775" cy="1800"/>
                                </a:xfrm>
                                <a:prstGeom prst="rect">
                                  <a:avLst/>
                                </a:prstGeom>
                                <a:noFill/>
                                <a:ln>
                                  <a:noFill/>
                                </a:ln>
                              </wps:spPr>
                              <wps:txbx>
                                <w:txbxContent>
                                  <w:p w14:paraId="5C6B6607"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440779570" name="Rectangle 440779570"/>
                              <wps:cNvSpPr/>
                              <wps:spPr>
                                <a:xfrm>
                                  <a:off x="0" y="0"/>
                                  <a:ext cx="7785" cy="1800"/>
                                </a:xfrm>
                                <a:prstGeom prst="rect">
                                  <a:avLst/>
                                </a:prstGeom>
                                <a:noFill/>
                                <a:ln>
                                  <a:noFill/>
                                </a:ln>
                              </wps:spPr>
                              <wps:txbx>
                                <w:txbxContent>
                                  <w:p w14:paraId="76E6E300"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683022907" name="Freeform 1683022907"/>
                              <wps:cNvSpPr/>
                              <wps:spPr>
                                <a:xfrm>
                                  <a:off x="0" y="30"/>
                                  <a:ext cx="1791" cy="1735"/>
                                </a:xfrm>
                                <a:custGeom>
                                  <a:avLst/>
                                  <a:gdLst/>
                                  <a:ahLst/>
                                  <a:cxnLst/>
                                  <a:rect l="l" t="t" r="r" b="b"/>
                                  <a:pathLst>
                                    <a:path w="303" h="295" extrusionOk="0">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wps:spPr>
                              <wps:txbx>
                                <w:txbxContent>
                                  <w:p w14:paraId="07EC9767"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143365161" name="Freeform 1143365161"/>
                              <wps:cNvSpPr/>
                              <wps:spPr>
                                <a:xfrm>
                                  <a:off x="1856" y="30"/>
                                  <a:ext cx="1962" cy="1735"/>
                                </a:xfrm>
                                <a:custGeom>
                                  <a:avLst/>
                                  <a:gdLst/>
                                  <a:ahLst/>
                                  <a:cxnLst/>
                                  <a:rect l="l" t="t" r="r" b="b"/>
                                  <a:pathLst>
                                    <a:path w="332" h="295" extrusionOk="0">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wps:spPr>
                              <wps:txbx>
                                <w:txbxContent>
                                  <w:p w14:paraId="2CCB41B9"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668909776" name="Freeform 1668909776"/>
                              <wps:cNvSpPr/>
                              <wps:spPr>
                                <a:xfrm>
                                  <a:off x="3895" y="-6"/>
                                  <a:ext cx="1980" cy="1806"/>
                                </a:xfrm>
                                <a:custGeom>
                                  <a:avLst/>
                                  <a:gdLst/>
                                  <a:ahLst/>
                                  <a:cxnLst/>
                                  <a:rect l="l" t="t" r="r" b="b"/>
                                  <a:pathLst>
                                    <a:path w="335" h="307" extrusionOk="0">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wps:spPr>
                              <wps:txbx>
                                <w:txbxContent>
                                  <w:p w14:paraId="334326CE"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530978552" name="Freeform 530978552"/>
                              <wps:cNvSpPr/>
                              <wps:spPr>
                                <a:xfrm>
                                  <a:off x="6000" y="30"/>
                                  <a:ext cx="1791" cy="1735"/>
                                </a:xfrm>
                                <a:custGeom>
                                  <a:avLst/>
                                  <a:gdLst/>
                                  <a:ahLst/>
                                  <a:cxnLst/>
                                  <a:rect l="l" t="t" r="r" b="b"/>
                                  <a:pathLst>
                                    <a:path w="303" h="295" extrusionOk="0">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wps:spPr>
                              <wps:txbx>
                                <w:txbxContent>
                                  <w:p w14:paraId="24F702D2"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grpSp>
                      </wpg:grpSp>
                    </wpg:grpSp>
                  </wpg:wgp>
                </a:graphicData>
              </a:graphic>
            </wp:anchor>
          </w:drawing>
        </mc:Choice>
        <mc:Fallback>
          <w:pict>
            <v:group w14:anchorId="10093CA9" id="Group 1036" o:spid="_x0000_s1026" style="position:absolute;left:0;text-align:left;margin-left:3pt;margin-top:0;width:104.05pt;height:24.1pt;z-index:251659264" coordorigin="46852,36269" coordsize="13214,3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">
              <v:group id="Group 1299828191" o:spid="_x0000_s1027" style="position:absolute;left:46852;top:36269;width:13215;height:3061" coordorigin="46852,36269" coordsize="13214,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">
                <v:rect id="Rectangle 301476027" o:spid="_x0000_s1028" style="position:absolute;left:46852;top:36269;width:13215;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" filled="f" stroked="f">
                  <v:textbox inset="2.53958mm,2.53958mm,2.53958mm,2.53958mm">
                    <w:txbxContent>
                      <w:p w14:paraId="67E03682" w14:textId="77777777" w:rsidR="00B022E6" w:rsidRDefault="00B022E6">
                        <w:pPr>
                          <w:spacing w:line="240" w:lineRule="auto"/>
                          <w:ind w:left="0" w:hanging="2"/>
                        </w:pPr>
                      </w:p>
                    </w:txbxContent>
                  </v:textbox>
                </v:rect>
                <v:group id="Group 1429098456" o:spid="_x0000_s1029" style="position:absolute;left:46852;top:36269;width:13215;height:3061" coordorigin="46852,36269" coordsize="13214,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">
                  <v:rect id="Rectangle 1310071024" o:spid="_x0000_s1030" style="position:absolute;left:46852;top:36269;width:13215;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" filled="f" stroked="f">
                    <v:textbox inset="2.53958mm,2.53958mm,2.53958mm,2.53958mm">
                      <w:txbxContent>
                        <w:p w14:paraId="24BED48E" w14:textId="77777777" w:rsidR="00B022E6" w:rsidRDefault="00B022E6">
                          <w:pPr>
                            <w:spacing w:line="240" w:lineRule="auto"/>
                            <w:ind w:left="0" w:hanging="2"/>
                          </w:pPr>
                        </w:p>
                      </w:txbxContent>
                    </v:textbox>
                  </v:rect>
                  <v:group id="Group 447139859" o:spid="_x0000_s1031" style="position:absolute;left:46852;top:36269;width:13215;height:3061" coordorigin="46852,36259" coordsize="13224,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">
                    <v:rect id="Rectangle 211898892" o:spid="_x0000_s1032" style="position:absolute;left:46852;top:36259;width:13225;height:30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" filled="f" stroked="f">
                      <v:textbox inset="2.53958mm,2.53958mm,2.53958mm,2.53958mm">
                        <w:txbxContent>
                          <w:p w14:paraId="6C9CBC7A" w14:textId="77777777" w:rsidR="00B022E6" w:rsidRDefault="00B022E6">
                            <w:pPr>
                              <w:spacing w:line="240" w:lineRule="auto"/>
                              <w:ind w:left="0" w:hanging="2"/>
                            </w:pPr>
                          </w:p>
                        </w:txbxContent>
                      </v:textbox>
                    </v:rect>
                    <v:group id="Group 1930734344" o:spid="_x0000_s1033" style="position:absolute;left:46852;top:36259;width:13225;height:3071" coordorigin=",-6" coordsize="7791,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">
                      <v:rect id="Rectangle 198755364" o:spid="_x0000_s1034" style="position:absolute;width:777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" filled="f" stroked="f">
                        <v:textbox inset="2.53958mm,2.53958mm,2.53958mm,2.53958mm">
                          <w:txbxContent>
                            <w:p w14:paraId="5C6B6607" w14:textId="77777777" w:rsidR="00B022E6" w:rsidRDefault="00B022E6">
                              <w:pPr>
                                <w:spacing w:line="240" w:lineRule="auto"/>
                                <w:ind w:left="0" w:hanging="2"/>
                              </w:pPr>
                            </w:p>
                          </w:txbxContent>
                        </v:textbox>
                      </v:rect>
                      <v:rect id="Rectangle 440779570" o:spid="_x0000_s1035" style="position:absolute;width:778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" filled="f" stroked="f">
                        <v:textbox inset="2.53958mm,2.53958mm,2.53958mm,2.53958mm">
                          <w:txbxContent>
                            <w:p w14:paraId="76E6E300" w14:textId="77777777" w:rsidR="00B022E6" w:rsidRDefault="00B022E6">
                              <w:pPr>
                                <w:spacing w:line="240" w:lineRule="auto"/>
                                <w:ind w:left="0" w:hanging="2"/>
                              </w:pPr>
                            </w:p>
                          </w:txbxContent>
                        </v:textbox>
                      </v:rect>
                      <v:shape id="Freeform 1683022907" o:spid="_x0000_s1036" style="position:absolute;top:30;width:1791;height:1735;visibility:visible;mso-wrap-style:square;v-text-anchor:middle" coordsize="303,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" adj="-11796480,,540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stroke joinstyle="miter"/>
                        <v:formulas/>
                        <v:path arrowok="t" o:extrusionok="f" o:connecttype="custom" textboxrect="0,0,303,295"/>
                        <v:textbox inset="2.53958mm,2.53958mm,2.53958mm,2.53958mm">
                          <w:txbxContent>
                            <w:p w14:paraId="07EC9767" w14:textId="77777777" w:rsidR="00B022E6" w:rsidRDefault="00B022E6">
                              <w:pPr>
                                <w:spacing w:line="240" w:lineRule="auto"/>
                                <w:ind w:left="0" w:hanging="2"/>
                              </w:pPr>
                            </w:p>
                          </w:txbxContent>
                        </v:textbox>
                      </v:shape>
                      <v:shape id="Freeform 1143365161" o:spid="_x0000_s1037" style="position:absolute;left:1856;top:30;width:1962;height:1735;visibility:visible;mso-wrap-style:square;v-text-anchor:middle" coordsize="332,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" adj="-11796480,,540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stroke joinstyle="miter"/>
                        <v:formulas/>
                        <v:path arrowok="t" o:extrusionok="f" o:connecttype="custom" textboxrect="0,0,332,295"/>
                        <v:textbox inset="2.53958mm,2.53958mm,2.53958mm,2.53958mm">
                          <w:txbxContent>
                            <w:p w14:paraId="2CCB41B9" w14:textId="77777777" w:rsidR="00B022E6" w:rsidRDefault="00B022E6">
                              <w:pPr>
                                <w:spacing w:line="240" w:lineRule="auto"/>
                                <w:ind w:left="0" w:hanging="2"/>
                              </w:pPr>
                            </w:p>
                          </w:txbxContent>
                        </v:textbox>
                      </v:shape>
                      <v:shape id="Freeform 1668909776" o:spid="_x0000_s1038" style="position:absolute;left:3895;top:-6;width:1980;height:1806;visibility:visible;mso-wrap-style:square;v-text-anchor:middle" coordsize="335,3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" adj="-11796480,,5400" path="m272,94c253,49,214,21,171,21,114,21,83,67,83,150v,86,37,136,100,136c200,286,213,283,226,275v,-62,,-62,,-62c226,187,219,175,187,175v,-21,,-21,,-21c335,154,335,154,335,154v,21,,21,,21c310,175,302,187,302,211v,73,,73,,73c280,295,215,307,171,307,65,307,,251,,159,,76,61,,174,v46,,95,10,121,27c300,94,300,94,300,94r-28,xe" fillcolor="#009273" stroked="f">
                        <v:stroke joinstyle="miter"/>
                        <v:formulas/>
                        <v:path arrowok="t" o:extrusionok="f" o:connecttype="custom" textboxrect="0,0,335,307"/>
                        <v:textbox inset="2.53958mm,2.53958mm,2.53958mm,2.53958mm">
                          <w:txbxContent>
                            <w:p w14:paraId="334326CE" w14:textId="77777777" w:rsidR="00B022E6" w:rsidRDefault="00B022E6">
                              <w:pPr>
                                <w:spacing w:line="240" w:lineRule="auto"/>
                                <w:ind w:left="0" w:hanging="2"/>
                              </w:pPr>
                            </w:p>
                          </w:txbxContent>
                        </v:textbox>
                      </v:shape>
                      <v:shape id="Freeform 530978552" o:spid="_x0000_s1039" style="position:absolute;left:6000;top:30;width:1791;height:1735;visibility:visible;mso-wrap-style:square;v-text-anchor:middle" coordsize="303,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" adj="-11796480,,540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stroke joinstyle="miter"/>
                        <v:formulas/>
                        <v:path arrowok="t" o:extrusionok="f" o:connecttype="custom" textboxrect="0,0,303,295"/>
                        <v:textbox inset="2.53958mm,2.53958mm,2.53958mm,2.53958mm">
                          <w:txbxContent>
                            <w:p w14:paraId="24F702D2" w14:textId="77777777" w:rsidR="00B022E6" w:rsidRDefault="00B022E6">
                              <w:pPr>
                                <w:spacing w:line="240" w:lineRule="auto"/>
                                <w:ind w:left="0" w:hanging="2"/>
                              </w:pPr>
                            </w:p>
                          </w:txbxContent>
                        </v:textbox>
                      </v:shape>
                    </v:group>
                  </v:group>
                </v:group>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9DA83" w14:textId="058D74B5" w:rsidR="00B022E6" w:rsidRDefault="00762C72">
    <w:pPr>
      <w:tabs>
        <w:tab w:val="center" w:pos="4703"/>
        <w:tab w:val="right" w:pos="9406"/>
      </w:tabs>
      <w:ind w:left="0" w:hanging="2"/>
      <w:jc w:val="right"/>
      <w:rPr>
        <w:color w:val="000000"/>
        <w:sz w:val="12"/>
        <w:szCs w:val="12"/>
      </w:rPr>
    </w:pPr>
    <w:r>
      <w:rPr>
        <w:noProof/>
      </w:rPr>
      <w:drawing>
        <wp:inline distT="0" distB="0" distL="0" distR="0" wp14:anchorId="0FA5B1B6" wp14:editId="08CE398E">
          <wp:extent cx="771083" cy="771083"/>
          <wp:effectExtent l="0" t="0" r="3810" b="3810"/>
          <wp:docPr id="196202209"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02209" name="Picture 1" descr="A logo of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60972" cy="860972"/>
                  </a:xfrm>
                  <a:prstGeom prst="rect">
                    <a:avLst/>
                  </a:prstGeom>
                </pic:spPr>
              </pic:pic>
            </a:graphicData>
          </a:graphic>
        </wp:inline>
      </w:drawing>
    </w:r>
  </w:p>
  <w:p w14:paraId="51C08B09" w14:textId="77777777" w:rsidR="00B022E6" w:rsidRDefault="00B022E6">
    <w:pPr>
      <w:pBdr>
        <w:top w:val="nil"/>
        <w:left w:val="nil"/>
        <w:bottom w:val="nil"/>
        <w:right w:val="nil"/>
        <w:between w:val="nil"/>
      </w:pBdr>
      <w:tabs>
        <w:tab w:val="center" w:pos="4703"/>
        <w:tab w:val="right" w:pos="9406"/>
      </w:tabs>
      <w:spacing w:line="240" w:lineRule="auto"/>
      <w:rPr>
        <w:color w:val="000000"/>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84DBA" w14:textId="77777777" w:rsidR="00B022E6" w:rsidRDefault="00815AEE">
    <w:pPr>
      <w:pBdr>
        <w:top w:val="nil"/>
        <w:left w:val="nil"/>
        <w:bottom w:val="single" w:sz="6" w:space="1" w:color="000000"/>
        <w:right w:val="nil"/>
        <w:between w:val="nil"/>
      </w:pBdr>
      <w:tabs>
        <w:tab w:val="center" w:pos="4703"/>
        <w:tab w:val="right" w:pos="9406"/>
      </w:tabs>
      <w:spacing w:line="240"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0611"/>
    <w:multiLevelType w:val="multilevel"/>
    <w:tmpl w:val="F80EFC2A"/>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517019D"/>
    <w:multiLevelType w:val="multilevel"/>
    <w:tmpl w:val="3716CE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pStyle w:val="ParaLis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53F760C0"/>
    <w:multiLevelType w:val="multilevel"/>
    <w:tmpl w:val="C44E9E0C"/>
    <w:lvl w:ilvl="0">
      <w:start w:val="1"/>
      <w:numFmt w:val="bullet"/>
      <w:pStyle w:val="ListBullet"/>
      <w:lvlText w:val="●"/>
      <w:lvlJc w:val="left"/>
      <w:pPr>
        <w:ind w:left="644" w:hanging="357"/>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3F005C1"/>
    <w:multiLevelType w:val="hybridMultilevel"/>
    <w:tmpl w:val="D4DC864E"/>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num w:numId="1" w16cid:durableId="2009868990">
    <w:abstractNumId w:val="2"/>
  </w:num>
  <w:num w:numId="2" w16cid:durableId="207305906">
    <w:abstractNumId w:val="1"/>
  </w:num>
  <w:num w:numId="3" w16cid:durableId="1183470590">
    <w:abstractNumId w:val="0"/>
  </w:num>
  <w:num w:numId="4" w16cid:durableId="15906521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2E6"/>
    <w:rsid w:val="00157344"/>
    <w:rsid w:val="002052C9"/>
    <w:rsid w:val="002D692D"/>
    <w:rsid w:val="003562F6"/>
    <w:rsid w:val="003E239A"/>
    <w:rsid w:val="00460237"/>
    <w:rsid w:val="004F721E"/>
    <w:rsid w:val="00507E9E"/>
    <w:rsid w:val="005409F9"/>
    <w:rsid w:val="00584DF1"/>
    <w:rsid w:val="00613FD1"/>
    <w:rsid w:val="006D3978"/>
    <w:rsid w:val="00706E09"/>
    <w:rsid w:val="007122C7"/>
    <w:rsid w:val="00745E5B"/>
    <w:rsid w:val="00762C72"/>
    <w:rsid w:val="007A456E"/>
    <w:rsid w:val="008101FC"/>
    <w:rsid w:val="00815AEE"/>
    <w:rsid w:val="00820B41"/>
    <w:rsid w:val="00823A02"/>
    <w:rsid w:val="00917AF8"/>
    <w:rsid w:val="0094179F"/>
    <w:rsid w:val="009553E0"/>
    <w:rsid w:val="00AB13CB"/>
    <w:rsid w:val="00B022E6"/>
    <w:rsid w:val="00B92241"/>
    <w:rsid w:val="00D20967"/>
    <w:rsid w:val="00D2724D"/>
    <w:rsid w:val="00D3631F"/>
    <w:rsid w:val="00D406FE"/>
    <w:rsid w:val="00E8322F"/>
    <w:rsid w:val="00F520DB"/>
    <w:rsid w:val="00F70A4E"/>
    <w:rsid w:val="00FB001A"/>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F494D"/>
  <w15:docId w15:val="{EC629850-2971-B244-A386-C029A59D8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spacing w:before="240" w:after="60"/>
    </w:pPr>
    <w:rPr>
      <w:rFonts w:ascii="Arial" w:hAnsi="Arial"/>
      <w:b/>
      <w:kern w:val="28"/>
      <w:sz w:val="28"/>
    </w:rPr>
  </w:style>
  <w:style w:type="paragraph" w:styleId="Heading2">
    <w:name w:val="heading 2"/>
    <w:basedOn w:val="Normal"/>
    <w:next w:val="Normal"/>
    <w:uiPriority w:val="9"/>
    <w:semiHidden/>
    <w:unhideWhenUsed/>
    <w:qFormat/>
    <w:pPr>
      <w:keepNext/>
      <w:framePr w:w="9356" w:hSpace="142" w:vSpace="284" w:wrap="notBeside" w:vAnchor="text" w:hAnchor="text" w:x="1146" w:y="-112"/>
      <w:spacing w:before="60"/>
      <w:jc w:val="right"/>
      <w:outlineLvl w:val="1"/>
    </w:pPr>
    <w:rPr>
      <w:rFonts w:ascii="Arial" w:hAnsi="Arial"/>
      <w:i/>
      <w:sz w:val="16"/>
    </w:rPr>
  </w:style>
  <w:style w:type="paragraph" w:styleId="Heading3">
    <w:name w:val="heading 3"/>
    <w:basedOn w:val="Normal"/>
    <w:next w:val="Normal"/>
    <w:uiPriority w:val="9"/>
    <w:semiHidden/>
    <w:unhideWhenUsed/>
    <w:qFormat/>
    <w:pPr>
      <w:keepNext/>
      <w:spacing w:before="240" w:after="60"/>
      <w:outlineLvl w:val="2"/>
    </w:pPr>
    <w:rPr>
      <w:rFonts w:ascii="Arial" w:hAnsi="Arial"/>
    </w:rPr>
  </w:style>
  <w:style w:type="paragraph" w:styleId="Heading4">
    <w:name w:val="heading 4"/>
    <w:basedOn w:val="Normal"/>
    <w:next w:val="Normal"/>
    <w:uiPriority w:val="9"/>
    <w:semiHidden/>
    <w:unhideWhenUsed/>
    <w:qFormat/>
    <w:pPr>
      <w:keepNext/>
      <w:spacing w:before="240" w:after="60"/>
      <w:outlineLvl w:val="3"/>
    </w:pPr>
    <w:rPr>
      <w:rFonts w:ascii="Arial" w:hAnsi="Arial"/>
      <w:b/>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pPr>
      <w:spacing w:before="240" w:after="60"/>
      <w:outlineLvl w:val="6"/>
    </w:pPr>
    <w:rPr>
      <w:rFonts w:ascii="Arial" w:hAnsi="Arial"/>
      <w:sz w:val="20"/>
    </w:rPr>
  </w:style>
  <w:style w:type="paragraph" w:styleId="Heading8">
    <w:name w:val="heading 8"/>
    <w:basedOn w:val="Normal"/>
    <w:next w:val="Normal"/>
    <w:pPr>
      <w:spacing w:before="240" w:after="60"/>
      <w:outlineLvl w:val="7"/>
    </w:pPr>
    <w:rPr>
      <w:rFonts w:ascii="Arial" w:hAnsi="Arial"/>
      <w:i/>
      <w:sz w:val="20"/>
    </w:rPr>
  </w:style>
  <w:style w:type="paragraph" w:styleId="Heading9">
    <w:name w:val="heading 9"/>
    <w:basedOn w:val="Normal"/>
    <w:next w:val="Normal"/>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240" w:after="60"/>
      <w:jc w:val="center"/>
    </w:pPr>
    <w:rPr>
      <w:rFonts w:ascii="Arial" w:hAnsi="Arial"/>
      <w:b/>
      <w:kern w:val="28"/>
      <w:sz w:val="32"/>
    </w:rPr>
  </w:style>
  <w:style w:type="character" w:styleId="PageNumber">
    <w:name w:val="page number"/>
    <w:basedOn w:val="DefaultParagraphFont"/>
    <w:rPr>
      <w:w w:val="100"/>
      <w:position w:val="-1"/>
      <w:effect w:val="none"/>
      <w:vertAlign w:val="baseline"/>
      <w:cs w:val="0"/>
      <w:em w:val="none"/>
    </w:rPr>
  </w:style>
  <w:style w:type="paragraph" w:customStyle="1" w:styleId="AUTHOR">
    <w:name w:val="AUTHOR"/>
    <w:basedOn w:val="Normal"/>
    <w:pPr>
      <w:framePr w:w="9356" w:hSpace="142" w:vSpace="284" w:wrap="notBeside" w:vAnchor="text" w:hAnchor="text" w:x="1146" w:y="-112"/>
      <w:spacing w:before="60"/>
      <w:jc w:val="right"/>
    </w:pPr>
    <w:rPr>
      <w:rFonts w:ascii="Arial" w:hAnsi="Arial"/>
      <w:caps/>
      <w:sz w:val="16"/>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numPr>
        <w:ilvl w:val="11"/>
        <w:numId w:val="2"/>
      </w:numPr>
      <w:tabs>
        <w:tab w:val="left" w:pos="567"/>
      </w:tabs>
      <w:ind w:left="851" w:hanging="284"/>
    </w:pPr>
  </w:style>
  <w:style w:type="paragraph" w:styleId="Caption">
    <w:name w:val="caption"/>
    <w:basedOn w:val="Normal"/>
    <w:next w:val="Normal"/>
    <w:pPr>
      <w:framePr w:w="9663" w:hSpace="142" w:vSpace="284" w:wrap="notBeside" w:vAnchor="text" w:hAnchor="text" w:x="1146" w:y="-112"/>
      <w:tabs>
        <w:tab w:val="right" w:pos="8505"/>
      </w:tabs>
    </w:pPr>
    <w:rPr>
      <w:b/>
      <w:sz w:val="36"/>
    </w:rPr>
  </w:style>
  <w:style w:type="paragraph" w:customStyle="1" w:styleId="Heading10">
    <w:name w:val="Heading1"/>
    <w:basedOn w:val="ParagraphNorm"/>
    <w:next w:val="Heading1"/>
    <w:pPr>
      <w:spacing w:before="240" w:after="120"/>
      <w:ind w:firstLine="0"/>
      <w:jc w:val="left"/>
    </w:pPr>
    <w:rPr>
      <w:b/>
    </w:rPr>
  </w:style>
  <w:style w:type="paragraph" w:customStyle="1" w:styleId="Heading20">
    <w:name w:val="Heading2"/>
    <w:basedOn w:val="ParagraphNorm"/>
    <w:next w:val="Heading2"/>
    <w:pPr>
      <w:spacing w:after="120"/>
      <w:ind w:firstLine="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Space="141" w:wrap="auto" w:vAnchor="page" w:hAnchor="text"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pPr>
      <w:ind w:left="240" w:hanging="240"/>
    </w:pPr>
  </w:style>
  <w:style w:type="paragraph" w:styleId="Date">
    <w:name w:val="Date"/>
    <w:basedOn w:val="Normal"/>
    <w:next w:val="Normal"/>
  </w:style>
  <w:style w:type="paragraph" w:styleId="EndnoteText">
    <w:name w:val="endnote text"/>
    <w:basedOn w:val="Normal"/>
    <w:rPr>
      <w:sz w:val="20"/>
    </w:rPr>
  </w:style>
  <w:style w:type="paragraph" w:styleId="Signature">
    <w:name w:val="Signature"/>
    <w:basedOn w:val="Normal"/>
    <w:pPr>
      <w:ind w:left="4252"/>
    </w:pPr>
  </w:style>
  <w:style w:type="paragraph" w:styleId="Index1">
    <w:name w:val="index 1"/>
    <w:basedOn w:val="Normal"/>
    <w:next w:val="Normal"/>
    <w:pPr>
      <w:ind w:left="240" w:hanging="240"/>
    </w:pPr>
  </w:style>
  <w:style w:type="paragraph" w:styleId="Index2">
    <w:name w:val="index 2"/>
    <w:basedOn w:val="Normal"/>
    <w:next w:val="Normal"/>
    <w:pPr>
      <w:ind w:left="480" w:hanging="240"/>
    </w:pPr>
  </w:style>
  <w:style w:type="paragraph" w:styleId="Index3">
    <w:name w:val="index 3"/>
    <w:basedOn w:val="Normal"/>
    <w:next w:val="Normal"/>
    <w:pPr>
      <w:ind w:left="720" w:hanging="240"/>
    </w:pPr>
  </w:style>
  <w:style w:type="paragraph" w:styleId="Index4">
    <w:name w:val="index 4"/>
    <w:basedOn w:val="Normal"/>
    <w:next w:val="Normal"/>
    <w:pPr>
      <w:ind w:left="960" w:hanging="240"/>
    </w:pPr>
  </w:style>
  <w:style w:type="paragraph" w:styleId="Index5">
    <w:name w:val="index 5"/>
    <w:basedOn w:val="Normal"/>
    <w:next w:val="Normal"/>
    <w:pPr>
      <w:ind w:left="1200" w:hanging="240"/>
    </w:pPr>
  </w:style>
  <w:style w:type="paragraph" w:styleId="Index6">
    <w:name w:val="index 6"/>
    <w:basedOn w:val="Normal"/>
    <w:next w:val="Normal"/>
    <w:pPr>
      <w:ind w:left="1440" w:hanging="240"/>
    </w:pPr>
  </w:style>
  <w:style w:type="paragraph" w:styleId="Index7">
    <w:name w:val="index 7"/>
    <w:basedOn w:val="Normal"/>
    <w:next w:val="Normal"/>
    <w:pPr>
      <w:ind w:left="1680" w:hanging="240"/>
    </w:pPr>
  </w:style>
  <w:style w:type="paragraph" w:styleId="Index8">
    <w:name w:val="index 8"/>
    <w:basedOn w:val="Normal"/>
    <w:next w:val="Normal"/>
    <w:pPr>
      <w:ind w:left="1920" w:hanging="240"/>
    </w:pPr>
  </w:style>
  <w:style w:type="paragraph" w:styleId="Index9">
    <w:name w:val="index 9"/>
    <w:basedOn w:val="Normal"/>
    <w:next w:val="Normal"/>
    <w:pPr>
      <w:ind w:left="2160" w:hanging="240"/>
    </w:pPr>
  </w:style>
  <w:style w:type="paragraph" w:styleId="IndexHeading">
    <w:name w:val="index heading"/>
    <w:basedOn w:val="Normal"/>
    <w:next w:val="Index1"/>
    <w:rPr>
      <w:rFonts w:ascii="Arial" w:hAnsi="Arial"/>
      <w:b/>
    </w:rPr>
  </w:style>
  <w:style w:type="paragraph" w:styleId="TOC1">
    <w:name w:val="toc 1"/>
    <w:basedOn w:val="Normal"/>
    <w:next w:val="Normal"/>
  </w:style>
  <w:style w:type="paragraph" w:styleId="TOC2">
    <w:name w:val="toc 2"/>
    <w:basedOn w:val="Normal"/>
    <w:next w:val="Normal"/>
    <w:pPr>
      <w:ind w:left="240"/>
    </w:pPr>
  </w:style>
  <w:style w:type="paragraph" w:styleId="TOC3">
    <w:name w:val="toc 3"/>
    <w:basedOn w:val="Normal"/>
    <w:next w:val="Normal"/>
    <w:pPr>
      <w:ind w:left="480"/>
    </w:pPr>
  </w:style>
  <w:style w:type="paragraph" w:styleId="TOC4">
    <w:name w:val="toc 4"/>
    <w:basedOn w:val="Normal"/>
    <w:next w:val="Normal"/>
    <w:pPr>
      <w:ind w:left="720"/>
    </w:pPr>
  </w:style>
  <w:style w:type="paragraph" w:styleId="TOC5">
    <w:name w:val="toc 5"/>
    <w:basedOn w:val="Normal"/>
    <w:next w:val="Normal"/>
    <w:pPr>
      <w:ind w:left="960"/>
    </w:pPr>
  </w:style>
  <w:style w:type="paragraph" w:styleId="TOC6">
    <w:name w:val="toc 6"/>
    <w:basedOn w:val="Normal"/>
    <w:next w:val="Normal"/>
    <w:pPr>
      <w:ind w:left="1200"/>
    </w:pPr>
  </w:style>
  <w:style w:type="paragraph" w:styleId="TOC7">
    <w:name w:val="toc 7"/>
    <w:basedOn w:val="Normal"/>
    <w:next w:val="Normal"/>
    <w:pPr>
      <w:ind w:left="1440"/>
    </w:pPr>
  </w:style>
  <w:style w:type="paragraph" w:styleId="TOC8">
    <w:name w:val="toc 8"/>
    <w:basedOn w:val="Normal"/>
    <w:next w:val="Normal"/>
    <w:pPr>
      <w:ind w:left="1680"/>
    </w:pPr>
  </w:style>
  <w:style w:type="paragraph" w:styleId="TOC9">
    <w:name w:val="toc 9"/>
    <w:basedOn w:val="Normal"/>
    <w:next w:val="Normal"/>
    <w:pPr>
      <w:ind w:left="1920"/>
    </w:pPr>
  </w:style>
  <w:style w:type="paragraph" w:styleId="TOAHeading">
    <w:name w:val="toa heading"/>
    <w:basedOn w:val="Normal"/>
    <w:next w:val="Normal"/>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pPr>
      <w:ind w:left="480" w:hanging="480"/>
    </w:pPr>
  </w:style>
  <w:style w:type="paragraph" w:styleId="ListBullet">
    <w:name w:val="List Bullet"/>
    <w:basedOn w:val="Normal"/>
    <w:pPr>
      <w:numPr>
        <w:numId w:val="1"/>
      </w:numPr>
      <w:ind w:left="-1" w:hanging="1"/>
    </w:pPr>
  </w:style>
  <w:style w:type="paragraph" w:styleId="ListBullet2">
    <w:name w:val="List Bullet 2"/>
    <w:basedOn w:val="Normal"/>
    <w:pPr>
      <w:numPr>
        <w:numId w:val="3"/>
      </w:numPr>
      <w:ind w:left="-1" w:hanging="1"/>
    </w:pPr>
  </w:style>
  <w:style w:type="paragraph" w:styleId="ListBullet3">
    <w:name w:val="List Bullet 3"/>
    <w:basedOn w:val="Normal"/>
    <w:pPr>
      <w:tabs>
        <w:tab w:val="num" w:pos="720"/>
      </w:tabs>
    </w:pPr>
  </w:style>
  <w:style w:type="paragraph" w:styleId="ListBullet4">
    <w:name w:val="List Bullet 4"/>
    <w:basedOn w:val="Normal"/>
    <w:pPr>
      <w:tabs>
        <w:tab w:val="num" w:pos="720"/>
      </w:tabs>
    </w:pPr>
  </w:style>
  <w:style w:type="paragraph" w:styleId="ListBullet5">
    <w:name w:val="List Bullet 5"/>
    <w:basedOn w:val="Normal"/>
    <w:pPr>
      <w:tabs>
        <w:tab w:val="num" w:pos="720"/>
      </w:tabs>
    </w:pPr>
  </w:style>
  <w:style w:type="paragraph" w:styleId="ListNumber">
    <w:name w:val="List Number"/>
    <w:basedOn w:val="Normal"/>
    <w:pPr>
      <w:tabs>
        <w:tab w:val="num" w:pos="720"/>
      </w:tabs>
    </w:pPr>
  </w:style>
  <w:style w:type="paragraph" w:styleId="ListNumber2">
    <w:name w:val="List Number 2"/>
    <w:basedOn w:val="Normal"/>
    <w:pPr>
      <w:tabs>
        <w:tab w:val="num" w:pos="720"/>
      </w:tabs>
    </w:pPr>
  </w:style>
  <w:style w:type="paragraph" w:styleId="ListNumber3">
    <w:name w:val="List Number 3"/>
    <w:basedOn w:val="Normal"/>
    <w:pPr>
      <w:tabs>
        <w:tab w:val="num" w:pos="720"/>
      </w:tabs>
    </w:pPr>
  </w:style>
  <w:style w:type="paragraph" w:styleId="ListNumber4">
    <w:name w:val="List Number 4"/>
    <w:basedOn w:val="Normal"/>
    <w:pPr>
      <w:tabs>
        <w:tab w:val="num" w:pos="720"/>
      </w:tabs>
    </w:pPr>
  </w:style>
  <w:style w:type="paragraph" w:styleId="ListNumber5">
    <w:name w:val="List Number 5"/>
    <w:basedOn w:val="Normal"/>
    <w:pPr>
      <w:tabs>
        <w:tab w:val="num" w:pos="72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spacing w:line="1" w:lineRule="atLeast"/>
      <w:ind w:leftChars="-1" w:left="-1" w:hangingChars="1"/>
      <w:textDirection w:val="btLr"/>
      <w:textAlignment w:val="top"/>
      <w:outlineLvl w:val="0"/>
    </w:pPr>
    <w:rPr>
      <w:rFonts w:ascii="Courier New" w:hAnsi="Courier New"/>
      <w:position w:val="-1"/>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pPr>
      <w:spacing w:after="60"/>
      <w:jc w:val="center"/>
    </w:pPr>
    <w:rPr>
      <w:rFonts w:ascii="Arial" w:eastAsia="Arial" w:hAnsi="Arial" w:cs="Arial"/>
    </w:rPr>
  </w:style>
  <w:style w:type="paragraph" w:styleId="CommentText">
    <w:name w:val="annotation text"/>
    <w:basedOn w:val="Normal"/>
    <w:rPr>
      <w:sz w:val="20"/>
    </w:rPr>
  </w:style>
  <w:style w:type="paragraph" w:styleId="FootnoteText">
    <w:name w:val="footnote text"/>
    <w:basedOn w:val="Normal"/>
    <w:rPr>
      <w:sz w:val="20"/>
    </w:rPr>
  </w:style>
  <w:style w:type="paragraph" w:customStyle="1" w:styleId="caption11ptitalic">
    <w:name w:val="caption 11pt italic"/>
    <w:basedOn w:val="Normal11ptjustified"/>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pPr>
      <w:tabs>
        <w:tab w:val="left" w:pos="504"/>
      </w:tabs>
      <w:jc w:val="both"/>
    </w:pPr>
    <w:rPr>
      <w:sz w:val="22"/>
      <w:lang w:val="en-GB"/>
    </w:rPr>
  </w:style>
  <w:style w:type="paragraph" w:customStyle="1" w:styleId="Normal11ptcentered">
    <w:name w:val="Normal 11pt centered"/>
    <w:basedOn w:val="Normal11ptjustified"/>
    <w:pPr>
      <w:jc w:val="center"/>
    </w:pPr>
  </w:style>
  <w:style w:type="paragraph" w:customStyle="1" w:styleId="SectionHeading">
    <w:name w:val="Section Heading"/>
    <w:basedOn w:val="Normal"/>
    <w:pPr>
      <w:tabs>
        <w:tab w:val="left" w:pos="504"/>
      </w:tabs>
      <w:spacing w:before="240" w:after="240"/>
    </w:pPr>
    <w:rPr>
      <w:b/>
      <w:sz w:val="22"/>
      <w:lang w:val="en-GB"/>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BalloonText">
    <w:name w:val="Balloon Text"/>
    <w:basedOn w:val="Normal"/>
    <w:rPr>
      <w:sz w:val="18"/>
      <w:szCs w:val="18"/>
    </w:rPr>
  </w:style>
  <w:style w:type="character" w:customStyle="1" w:styleId="BalloonTextChar">
    <w:name w:val="Balloon Text Char"/>
    <w:rPr>
      <w:w w:val="100"/>
      <w:position w:val="-1"/>
      <w:sz w:val="18"/>
      <w:szCs w:val="18"/>
      <w:effect w:val="none"/>
      <w:vertAlign w:val="baseline"/>
      <w:cs w:val="0"/>
      <w:em w:val="none"/>
    </w:rPr>
  </w:style>
  <w:style w:type="character" w:styleId="UnresolvedMention">
    <w:name w:val="Unresolved Mention"/>
    <w:basedOn w:val="DefaultParagraphFont"/>
    <w:uiPriority w:val="99"/>
    <w:semiHidden/>
    <w:unhideWhenUsed/>
    <w:rsid w:val="00523C5A"/>
    <w:rPr>
      <w:color w:val="605E5C"/>
      <w:shd w:val="clear" w:color="auto" w:fill="E1DFDD"/>
    </w:rPr>
  </w:style>
  <w:style w:type="paragraph" w:styleId="ListParagraph">
    <w:name w:val="List Paragraph"/>
    <w:basedOn w:val="Normal"/>
    <w:uiPriority w:val="34"/>
    <w:qFormat/>
    <w:rsid w:val="003E23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uIEgOB7WpGwYjfrfsHtFrYiwC8A==">AMUW2mVAH0c6uccK2WcYkRZAVfoI9nbhu0G83YsdzZGvrnfRa8+V3f5OznoGWH46bMYPO8Dmy+rm87FOP1cGwl1bR41yOzuOdVapt6MxqAS2b9gqq/rbocpv3lOY0O27w+aFnIGX8N+DbR+p5fIA9UcB/Zmw08JWgJ4YUGJAx5TBgDMEsVBshx8GIHEKTLjueYW1dk42hWS8UqjHzSk+HBRl7GMqCF1no774K3TrvtEpdGebuxkDFmiwvZ8WhoLQAh6CQaA1kKqDI4eDnMTWd+iEd7S8HDihhKBAk8Y9SCRFFj4b6IUksIRUKBeMEb20EzvLBPEBhwd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176D0FC-43A9-4000-AC9B-787625BAE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1464</Words>
  <Characters>8350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Marjolein van Kraanen</dc:creator>
  <cp:lastModifiedBy>Meng Shi</cp:lastModifiedBy>
  <cp:revision>2</cp:revision>
  <cp:lastPrinted>2024-07-22T07:20:00Z</cp:lastPrinted>
  <dcterms:created xsi:type="dcterms:W3CDTF">2026-03-01T12:28:00Z</dcterms:created>
  <dcterms:modified xsi:type="dcterms:W3CDTF">2026-03-01T12:28:00Z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04078e37-5178-3453-a0b8-86495afdb9e9</vt:lpwstr>
  </property>
  <property fmtid="{D5CDD505-2E9C-101B-9397-08002B2CF9AE}" pid="4" name="Mendeley Citation Style_1">
    <vt:lpwstr>http://www.zotero.org/styles/nature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6th/7th edition</vt:lpwstr>
  </property>
  <property fmtid="{D5CDD505-2E9C-101B-9397-08002B2CF9AE}" pid="9" name="Mendeley Recent Style Id 2_1">
    <vt:lpwstr>http://www.zotero.org/styles/chemical-engineering-journal</vt:lpwstr>
  </property>
  <property fmtid="{D5CDD505-2E9C-101B-9397-08002B2CF9AE}" pid="10" name="Mendeley Recent Style Name 2_1">
    <vt:lpwstr>Chemical Engineering Journal</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18th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http://www.zotero.org/styles/environmental-science-and-technology</vt:lpwstr>
  </property>
  <property fmtid="{D5CDD505-2E9C-101B-9397-08002B2CF9AE}" pid="16" name="Mendeley Recent Style Name 5_1">
    <vt:lpwstr>Environmental Science &amp; Technology</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 (in-text citations)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