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CF32C" w14:textId="716A6F02" w:rsidR="00080FBD" w:rsidRPr="00080FBD" w:rsidRDefault="00080FBD" w:rsidP="00080FBD">
      <w:pPr>
        <w:ind w:left="0" w:hanging="2"/>
        <w:jc w:val="both"/>
        <w:rPr>
          <w:b/>
          <w:bCs/>
          <w:sz w:val="22"/>
          <w:szCs w:val="22"/>
        </w:rPr>
      </w:pPr>
      <w:r w:rsidRPr="00080FBD">
        <w:rPr>
          <w:b/>
          <w:bCs/>
          <w:sz w:val="22"/>
          <w:szCs w:val="22"/>
        </w:rPr>
        <w:t>Assessing subsurface prerequisites for CO</w:t>
      </w:r>
      <w:r w:rsidRPr="00070D13">
        <w:rPr>
          <w:b/>
          <w:bCs/>
          <w:sz w:val="22"/>
          <w:szCs w:val="22"/>
          <w:vertAlign w:val="subscript"/>
        </w:rPr>
        <w:t>2</w:t>
      </w:r>
      <w:r w:rsidRPr="00080FBD">
        <w:rPr>
          <w:b/>
          <w:bCs/>
          <w:sz w:val="22"/>
          <w:szCs w:val="22"/>
        </w:rPr>
        <w:t xml:space="preserve"> storage in </w:t>
      </w:r>
      <w:r w:rsidR="00070D13" w:rsidRPr="00070D13">
        <w:rPr>
          <w:b/>
          <w:bCs/>
          <w:sz w:val="22"/>
          <w:szCs w:val="22"/>
        </w:rPr>
        <w:t>Amu</w:t>
      </w:r>
      <w:r w:rsidR="00743598">
        <w:rPr>
          <w:b/>
          <w:bCs/>
          <w:sz w:val="22"/>
          <w:szCs w:val="22"/>
        </w:rPr>
        <w:t xml:space="preserve"> </w:t>
      </w:r>
      <w:r w:rsidR="00070D13" w:rsidRPr="00070D13">
        <w:rPr>
          <w:b/>
          <w:bCs/>
          <w:sz w:val="22"/>
          <w:szCs w:val="22"/>
        </w:rPr>
        <w:t>Darya Basin</w:t>
      </w:r>
      <w:r w:rsidRPr="00080FBD">
        <w:rPr>
          <w:b/>
          <w:bCs/>
          <w:sz w:val="22"/>
          <w:szCs w:val="22"/>
        </w:rPr>
        <w:t>: candidate screening.</w:t>
      </w:r>
    </w:p>
    <w:p w14:paraId="295B4B21" w14:textId="77777777" w:rsidR="00B022E6" w:rsidRDefault="00B022E6">
      <w:pPr>
        <w:pBdr>
          <w:top w:val="nil"/>
          <w:left w:val="nil"/>
          <w:bottom w:val="nil"/>
          <w:right w:val="nil"/>
          <w:between w:val="nil"/>
        </w:pBdr>
        <w:tabs>
          <w:tab w:val="left" w:pos="504"/>
        </w:tabs>
        <w:spacing w:line="240" w:lineRule="auto"/>
        <w:ind w:left="0" w:hanging="2"/>
        <w:rPr>
          <w:b/>
          <w:sz w:val="22"/>
          <w:szCs w:val="22"/>
        </w:rPr>
      </w:pPr>
    </w:p>
    <w:p w14:paraId="2E5E0176"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676AE8DA"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243ABC20" w14:textId="3E11CE9D" w:rsidR="00080FBD" w:rsidRPr="00080FBD" w:rsidRDefault="000C4E52" w:rsidP="00685E4C">
      <w:pPr>
        <w:ind w:left="0" w:hanging="2"/>
        <w:jc w:val="both"/>
        <w:rPr>
          <w:sz w:val="22"/>
          <w:szCs w:val="22"/>
        </w:rPr>
      </w:pPr>
      <w:bookmarkStart w:id="1" w:name="bookmark=id.30j0zll" w:colFirst="0" w:colLast="0"/>
      <w:bookmarkEnd w:id="1"/>
      <w:r>
        <w:rPr>
          <w:sz w:val="22"/>
          <w:szCs w:val="22"/>
        </w:rPr>
        <w:t xml:space="preserve">Uzbekistan’s ongoing industrial energy diversification has placed increasing focus on carbon management strategies. </w:t>
      </w:r>
      <w:r w:rsidRPr="000C4E52">
        <w:rPr>
          <w:sz w:val="22"/>
          <w:szCs w:val="22"/>
        </w:rPr>
        <w:t xml:space="preserve">Carbon Capture and Storage (CCS) is </w:t>
      </w:r>
      <w:r>
        <w:rPr>
          <w:sz w:val="22"/>
          <w:szCs w:val="22"/>
        </w:rPr>
        <w:t>one of the</w:t>
      </w:r>
      <w:r w:rsidRPr="000C4E52">
        <w:rPr>
          <w:sz w:val="22"/>
          <w:szCs w:val="22"/>
        </w:rPr>
        <w:t xml:space="preserve"> critical component</w:t>
      </w:r>
      <w:r>
        <w:rPr>
          <w:sz w:val="22"/>
          <w:szCs w:val="22"/>
        </w:rPr>
        <w:t>s</w:t>
      </w:r>
      <w:r w:rsidRPr="000C4E52">
        <w:rPr>
          <w:sz w:val="22"/>
          <w:szCs w:val="22"/>
        </w:rPr>
        <w:t xml:space="preserve"> for enabling large</w:t>
      </w:r>
      <w:r w:rsidRPr="000C4E52">
        <w:rPr>
          <w:sz w:val="22"/>
          <w:szCs w:val="22"/>
        </w:rPr>
        <w:noBreakHyphen/>
        <w:t xml:space="preserve">scale decarbonization, where geological sequestration of CO₂ </w:t>
      </w:r>
      <w:r>
        <w:rPr>
          <w:sz w:val="22"/>
          <w:szCs w:val="22"/>
        </w:rPr>
        <w:t xml:space="preserve">could </w:t>
      </w:r>
      <w:r w:rsidRPr="000C4E52">
        <w:rPr>
          <w:sz w:val="22"/>
          <w:szCs w:val="22"/>
        </w:rPr>
        <w:t>offer a technically feasible pathway for long</w:t>
      </w:r>
      <w:r w:rsidRPr="000C4E52">
        <w:rPr>
          <w:sz w:val="22"/>
          <w:szCs w:val="22"/>
        </w:rPr>
        <w:noBreakHyphen/>
        <w:t>term emissions mitigation.</w:t>
      </w:r>
      <w:r w:rsidRPr="000C4E52">
        <w:t xml:space="preserve"> </w:t>
      </w:r>
      <w:r w:rsidRPr="000C4E52">
        <w:rPr>
          <w:sz w:val="22"/>
          <w:szCs w:val="22"/>
        </w:rPr>
        <w:t>The country possesses a mature oil and gas sector with a long exploration history, extensive subsurface datasets, and well‑characterized sedimentary basins, making CCS a practical option.</w:t>
      </w:r>
    </w:p>
    <w:p w14:paraId="76F1E864" w14:textId="77777777" w:rsidR="00B022E6" w:rsidRDefault="00B022E6" w:rsidP="00080FBD">
      <w:pPr>
        <w:pBdr>
          <w:top w:val="nil"/>
          <w:left w:val="nil"/>
          <w:bottom w:val="nil"/>
          <w:right w:val="nil"/>
          <w:between w:val="nil"/>
        </w:pBdr>
        <w:tabs>
          <w:tab w:val="left" w:pos="504"/>
        </w:tabs>
        <w:spacing w:line="240" w:lineRule="auto"/>
        <w:ind w:left="0" w:hanging="2"/>
        <w:jc w:val="both"/>
        <w:rPr>
          <w:color w:val="000000"/>
          <w:sz w:val="22"/>
          <w:szCs w:val="22"/>
        </w:rPr>
      </w:pPr>
    </w:p>
    <w:p w14:paraId="6ADC9403" w14:textId="3E5E1FB3" w:rsidR="00743E6F" w:rsidRPr="00743E6F" w:rsidRDefault="00416B60" w:rsidP="00743E6F">
      <w:pPr>
        <w:pBdr>
          <w:top w:val="nil"/>
          <w:left w:val="nil"/>
          <w:bottom w:val="nil"/>
          <w:right w:val="nil"/>
          <w:between w:val="nil"/>
        </w:pBdr>
        <w:tabs>
          <w:tab w:val="left" w:pos="504"/>
        </w:tabs>
        <w:spacing w:line="240" w:lineRule="auto"/>
        <w:ind w:left="0" w:hanging="2"/>
        <w:jc w:val="both"/>
        <w:rPr>
          <w:color w:val="000000"/>
          <w:sz w:val="22"/>
          <w:szCs w:val="22"/>
        </w:rPr>
      </w:pPr>
      <w:r w:rsidRPr="00416B60">
        <w:rPr>
          <w:color w:val="000000"/>
          <w:sz w:val="22"/>
          <w:szCs w:val="22"/>
        </w:rPr>
        <w:t>A structured site</w:t>
      </w:r>
      <w:r w:rsidRPr="00416B60">
        <w:rPr>
          <w:color w:val="000000"/>
          <w:sz w:val="22"/>
          <w:szCs w:val="22"/>
        </w:rPr>
        <w:noBreakHyphen/>
        <w:t xml:space="preserve">screening and ranking workflow, applied to Uzbekistan’s subsurface portfolio, enables early identification of geological formations capable of safely and efficiently accommodating CO₂. </w:t>
      </w:r>
      <w:r w:rsidR="00743E6F" w:rsidRPr="00743E6F">
        <w:rPr>
          <w:color w:val="000000"/>
          <w:sz w:val="22"/>
          <w:szCs w:val="22"/>
        </w:rPr>
        <w:t>Such screening requires integrating regional geology, reservoir characteristics, injectivity</w:t>
      </w:r>
      <w:r w:rsidR="002B5312">
        <w:rPr>
          <w:color w:val="000000"/>
          <w:sz w:val="22"/>
          <w:szCs w:val="22"/>
        </w:rPr>
        <w:t xml:space="preserve"> and</w:t>
      </w:r>
      <w:r w:rsidR="00743E6F" w:rsidRPr="00743E6F">
        <w:rPr>
          <w:color w:val="000000"/>
          <w:sz w:val="22"/>
          <w:szCs w:val="22"/>
        </w:rPr>
        <w:t xml:space="preserve"> containment potential. The subsurface conditions in southern and western Uzbekistan</w:t>
      </w:r>
      <w:r w:rsidR="002B5312">
        <w:rPr>
          <w:color w:val="000000"/>
          <w:sz w:val="22"/>
          <w:szCs w:val="22"/>
        </w:rPr>
        <w:t xml:space="preserve"> - </w:t>
      </w:r>
      <w:r w:rsidR="00743E6F" w:rsidRPr="00743E6F">
        <w:rPr>
          <w:color w:val="000000"/>
          <w:sz w:val="22"/>
          <w:szCs w:val="22"/>
        </w:rPr>
        <w:t>particularly throughout the Amu</w:t>
      </w:r>
      <w:r w:rsidR="00743598">
        <w:rPr>
          <w:color w:val="000000"/>
          <w:sz w:val="22"/>
          <w:szCs w:val="22"/>
        </w:rPr>
        <w:t xml:space="preserve"> </w:t>
      </w:r>
      <w:r w:rsidR="00743E6F" w:rsidRPr="00743E6F">
        <w:rPr>
          <w:color w:val="000000"/>
          <w:sz w:val="22"/>
          <w:szCs w:val="22"/>
        </w:rPr>
        <w:t xml:space="preserve">Darya Basin </w:t>
      </w:r>
      <w:r w:rsidR="002B5312">
        <w:rPr>
          <w:color w:val="000000"/>
          <w:sz w:val="22"/>
          <w:szCs w:val="22"/>
        </w:rPr>
        <w:t xml:space="preserve">- </w:t>
      </w:r>
      <w:r w:rsidR="00743E6F" w:rsidRPr="00743E6F">
        <w:rPr>
          <w:color w:val="000000"/>
          <w:sz w:val="22"/>
          <w:szCs w:val="22"/>
        </w:rPr>
        <w:t>form the geological basis for this evaluation.</w:t>
      </w:r>
    </w:p>
    <w:p w14:paraId="3089001E" w14:textId="77777777" w:rsidR="00B022E6" w:rsidRDefault="00B022E6" w:rsidP="00743E6F">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643F043B" w14:textId="6FE379BC" w:rsidR="00563CC5" w:rsidRDefault="00563CC5" w:rsidP="00563CC5">
      <w:pPr>
        <w:pBdr>
          <w:top w:val="nil"/>
          <w:left w:val="nil"/>
          <w:bottom w:val="nil"/>
          <w:right w:val="nil"/>
          <w:between w:val="nil"/>
        </w:pBdr>
        <w:tabs>
          <w:tab w:val="left" w:pos="504"/>
        </w:tabs>
        <w:spacing w:line="240" w:lineRule="auto"/>
        <w:ind w:left="0" w:hanging="2"/>
        <w:rPr>
          <w:b/>
          <w:color w:val="000000"/>
          <w:sz w:val="22"/>
          <w:szCs w:val="22"/>
        </w:rPr>
      </w:pPr>
      <w:bookmarkStart w:id="2" w:name="bookmark=id.1fob9te" w:colFirst="0" w:colLast="0"/>
      <w:bookmarkEnd w:id="2"/>
      <w:r>
        <w:rPr>
          <w:b/>
          <w:color w:val="000000"/>
          <w:sz w:val="22"/>
          <w:szCs w:val="22"/>
        </w:rPr>
        <w:t>Regional Settings</w:t>
      </w:r>
    </w:p>
    <w:p w14:paraId="6270374E" w14:textId="77777777" w:rsidR="00563CC5" w:rsidRDefault="00563CC5" w:rsidP="00563CC5">
      <w:pPr>
        <w:pBdr>
          <w:top w:val="nil"/>
          <w:left w:val="nil"/>
          <w:bottom w:val="nil"/>
          <w:right w:val="nil"/>
          <w:between w:val="nil"/>
        </w:pBdr>
        <w:tabs>
          <w:tab w:val="left" w:pos="504"/>
        </w:tabs>
        <w:spacing w:line="240" w:lineRule="auto"/>
        <w:ind w:left="0" w:hanging="2"/>
        <w:rPr>
          <w:b/>
          <w:color w:val="000000"/>
          <w:sz w:val="22"/>
          <w:szCs w:val="22"/>
        </w:rPr>
      </w:pPr>
    </w:p>
    <w:p w14:paraId="254ECA79" w14:textId="44890EC5" w:rsidR="00563CC5" w:rsidRPr="00563CC5" w:rsidRDefault="00563CC5" w:rsidP="00563CC5">
      <w:pPr>
        <w:pBdr>
          <w:top w:val="nil"/>
          <w:left w:val="nil"/>
          <w:bottom w:val="nil"/>
          <w:right w:val="nil"/>
          <w:between w:val="nil"/>
        </w:pBdr>
        <w:tabs>
          <w:tab w:val="left" w:pos="504"/>
        </w:tabs>
        <w:spacing w:line="240" w:lineRule="auto"/>
        <w:ind w:left="0" w:hanging="2"/>
        <w:jc w:val="both"/>
        <w:rPr>
          <w:color w:val="000000"/>
          <w:sz w:val="22"/>
          <w:szCs w:val="22"/>
        </w:rPr>
      </w:pPr>
      <w:r w:rsidRPr="00563CC5">
        <w:rPr>
          <w:color w:val="000000"/>
          <w:sz w:val="22"/>
          <w:szCs w:val="22"/>
        </w:rPr>
        <w:t>Most potential CO₂ storage opportunities lie within the Bukhara</w:t>
      </w:r>
      <w:r w:rsidRPr="00563CC5">
        <w:rPr>
          <w:color w:val="000000"/>
          <w:sz w:val="22"/>
          <w:szCs w:val="22"/>
        </w:rPr>
        <w:noBreakHyphen/>
        <w:t>Khiva region and the broader Amu</w:t>
      </w:r>
      <w:r w:rsidR="00743598">
        <w:rPr>
          <w:color w:val="000000"/>
          <w:sz w:val="22"/>
          <w:szCs w:val="22"/>
        </w:rPr>
        <w:t xml:space="preserve"> </w:t>
      </w:r>
      <w:r w:rsidRPr="00563CC5">
        <w:rPr>
          <w:color w:val="000000"/>
          <w:sz w:val="22"/>
          <w:szCs w:val="22"/>
        </w:rPr>
        <w:t xml:space="preserve">Darya Basin, </w:t>
      </w:r>
      <w:r w:rsidR="00743598">
        <w:rPr>
          <w:color w:val="000000"/>
          <w:sz w:val="22"/>
          <w:szCs w:val="22"/>
        </w:rPr>
        <w:t xml:space="preserve">which is </w:t>
      </w:r>
      <w:r w:rsidRPr="00563CC5">
        <w:rPr>
          <w:color w:val="000000"/>
          <w:sz w:val="22"/>
          <w:szCs w:val="22"/>
        </w:rPr>
        <w:t>one of Central Asia’s most prolific hydrocarbon provinces. This region hosts numerous oil and gas accumulations discovered over several decades of exploration</w:t>
      </w:r>
      <w:r w:rsidR="00743598">
        <w:rPr>
          <w:color w:val="000000"/>
          <w:sz w:val="22"/>
          <w:szCs w:val="22"/>
        </w:rPr>
        <w:t>; thus,</w:t>
      </w:r>
      <w:r w:rsidRPr="00563CC5">
        <w:t xml:space="preserve"> </w:t>
      </w:r>
      <w:r>
        <w:rPr>
          <w:color w:val="000000"/>
          <w:sz w:val="22"/>
          <w:szCs w:val="22"/>
        </w:rPr>
        <w:t>m</w:t>
      </w:r>
      <w:r w:rsidRPr="00563CC5">
        <w:rPr>
          <w:color w:val="000000"/>
          <w:sz w:val="22"/>
          <w:szCs w:val="22"/>
        </w:rPr>
        <w:t>ore than 180 fields have been identified</w:t>
      </w:r>
      <w:r>
        <w:rPr>
          <w:color w:val="000000"/>
          <w:sz w:val="22"/>
          <w:szCs w:val="22"/>
        </w:rPr>
        <w:t xml:space="preserve"> for analysis</w:t>
      </w:r>
      <w:r w:rsidRPr="00563CC5">
        <w:rPr>
          <w:color w:val="000000"/>
          <w:sz w:val="22"/>
          <w:szCs w:val="22"/>
        </w:rPr>
        <w:t>.</w:t>
      </w:r>
      <w:r w:rsidRPr="00563CC5">
        <w:t xml:space="preserve"> </w:t>
      </w:r>
      <w:r w:rsidRPr="00563CC5">
        <w:rPr>
          <w:color w:val="000000"/>
          <w:sz w:val="22"/>
          <w:szCs w:val="22"/>
        </w:rPr>
        <w:t>The area’s long production history provides extensive geological and engineering datasets, although coverage varies by formation and vintage.</w:t>
      </w:r>
    </w:p>
    <w:p w14:paraId="40E3E131" w14:textId="77777777" w:rsidR="00B022E6" w:rsidRDefault="00B022E6" w:rsidP="00080FBD">
      <w:pPr>
        <w:pBdr>
          <w:top w:val="nil"/>
          <w:left w:val="nil"/>
          <w:bottom w:val="nil"/>
          <w:right w:val="nil"/>
          <w:between w:val="nil"/>
        </w:pBdr>
        <w:tabs>
          <w:tab w:val="left" w:pos="504"/>
        </w:tabs>
        <w:spacing w:line="240" w:lineRule="auto"/>
        <w:ind w:left="0" w:hanging="2"/>
        <w:jc w:val="both"/>
        <w:rPr>
          <w:sz w:val="22"/>
          <w:szCs w:val="22"/>
        </w:rPr>
      </w:pPr>
    </w:p>
    <w:p w14:paraId="32B89EC0" w14:textId="1762D506" w:rsidR="00F8032B" w:rsidRPr="00F8032B" w:rsidRDefault="00F8032B" w:rsidP="00F8032B">
      <w:pPr>
        <w:pBdr>
          <w:top w:val="nil"/>
          <w:left w:val="nil"/>
          <w:bottom w:val="nil"/>
          <w:right w:val="nil"/>
          <w:between w:val="nil"/>
        </w:pBdr>
        <w:tabs>
          <w:tab w:val="left" w:pos="504"/>
        </w:tabs>
        <w:spacing w:line="240" w:lineRule="auto"/>
        <w:ind w:left="0" w:hanging="2"/>
        <w:jc w:val="both"/>
        <w:rPr>
          <w:sz w:val="22"/>
          <w:szCs w:val="22"/>
        </w:rPr>
      </w:pPr>
      <w:r w:rsidRPr="00F8032B">
        <w:rPr>
          <w:sz w:val="22"/>
          <w:szCs w:val="22"/>
        </w:rPr>
        <w:t xml:space="preserve">The </w:t>
      </w:r>
      <w:r w:rsidR="00E23CB9">
        <w:rPr>
          <w:sz w:val="22"/>
          <w:szCs w:val="22"/>
        </w:rPr>
        <w:t>area of interest</w:t>
      </w:r>
      <w:r w:rsidRPr="00F8032B">
        <w:rPr>
          <w:sz w:val="22"/>
          <w:szCs w:val="22"/>
        </w:rPr>
        <w:t xml:space="preserve"> contains a thick sedimentary succession ranging from the Jurassic through the Cretaceous, Paleogene, and Neogene</w:t>
      </w:r>
      <w:r w:rsidR="00423D57">
        <w:rPr>
          <w:sz w:val="22"/>
          <w:szCs w:val="22"/>
        </w:rPr>
        <w:t xml:space="preserve"> [1]</w:t>
      </w:r>
      <w:r w:rsidRPr="00F8032B">
        <w:rPr>
          <w:sz w:val="22"/>
          <w:szCs w:val="22"/>
        </w:rPr>
        <w:t>. Three Jurassic intervals are regionally significant:</w:t>
      </w:r>
    </w:p>
    <w:p w14:paraId="6FAF0270" w14:textId="2FB2845D" w:rsidR="00F8032B" w:rsidRPr="00F8032B" w:rsidRDefault="00F8032B" w:rsidP="00F8032B">
      <w:pPr>
        <w:numPr>
          <w:ilvl w:val="0"/>
          <w:numId w:val="4"/>
        </w:numPr>
        <w:pBdr>
          <w:top w:val="nil"/>
          <w:left w:val="nil"/>
          <w:bottom w:val="nil"/>
          <w:right w:val="nil"/>
          <w:between w:val="nil"/>
        </w:pBdr>
        <w:tabs>
          <w:tab w:val="left" w:pos="504"/>
        </w:tabs>
        <w:spacing w:line="240" w:lineRule="auto"/>
        <w:ind w:left="0" w:hanging="2"/>
        <w:jc w:val="both"/>
        <w:rPr>
          <w:sz w:val="22"/>
          <w:szCs w:val="22"/>
        </w:rPr>
      </w:pPr>
      <w:r w:rsidRPr="00F8032B">
        <w:rPr>
          <w:sz w:val="22"/>
          <w:szCs w:val="22"/>
        </w:rPr>
        <w:t>Lower</w:t>
      </w:r>
      <w:r w:rsidR="00E23CB9">
        <w:rPr>
          <w:sz w:val="22"/>
          <w:szCs w:val="22"/>
        </w:rPr>
        <w:t>-</w:t>
      </w:r>
      <w:r w:rsidRPr="00F8032B">
        <w:rPr>
          <w:sz w:val="22"/>
          <w:szCs w:val="22"/>
        </w:rPr>
        <w:t xml:space="preserve">Middle Jurassic terrigenous units, composed of </w:t>
      </w:r>
      <w:proofErr w:type="spellStart"/>
      <w:r w:rsidRPr="00F8032B">
        <w:rPr>
          <w:sz w:val="22"/>
          <w:szCs w:val="22"/>
        </w:rPr>
        <w:t>clastics</w:t>
      </w:r>
      <w:proofErr w:type="spellEnd"/>
      <w:r w:rsidRPr="00F8032B">
        <w:rPr>
          <w:sz w:val="22"/>
          <w:szCs w:val="22"/>
        </w:rPr>
        <w:t xml:space="preserve"> and coal</w:t>
      </w:r>
      <w:r w:rsidRPr="00F8032B">
        <w:rPr>
          <w:sz w:val="22"/>
          <w:szCs w:val="22"/>
        </w:rPr>
        <w:noBreakHyphen/>
        <w:t>bearing intervals.</w:t>
      </w:r>
    </w:p>
    <w:p w14:paraId="27FD88F6" w14:textId="77777777" w:rsidR="00F8032B" w:rsidRPr="00F8032B" w:rsidRDefault="00F8032B" w:rsidP="00F8032B">
      <w:pPr>
        <w:numPr>
          <w:ilvl w:val="0"/>
          <w:numId w:val="4"/>
        </w:numPr>
        <w:pBdr>
          <w:top w:val="nil"/>
          <w:left w:val="nil"/>
          <w:bottom w:val="nil"/>
          <w:right w:val="nil"/>
          <w:between w:val="nil"/>
        </w:pBdr>
        <w:tabs>
          <w:tab w:val="left" w:pos="504"/>
        </w:tabs>
        <w:spacing w:line="240" w:lineRule="auto"/>
        <w:ind w:left="0" w:hanging="2"/>
        <w:jc w:val="both"/>
        <w:rPr>
          <w:sz w:val="22"/>
          <w:szCs w:val="22"/>
        </w:rPr>
      </w:pPr>
      <w:r w:rsidRPr="00F8032B">
        <w:rPr>
          <w:sz w:val="22"/>
          <w:szCs w:val="22"/>
        </w:rPr>
        <w:t>Upper Jurassic carbonate complexes, which host many of the basin’s major gas and condensate accumulations and represent key reservoir intervals.</w:t>
      </w:r>
    </w:p>
    <w:p w14:paraId="447C0C06" w14:textId="1D925760" w:rsidR="00F8032B" w:rsidRDefault="00F8032B" w:rsidP="00F8032B">
      <w:pPr>
        <w:numPr>
          <w:ilvl w:val="0"/>
          <w:numId w:val="4"/>
        </w:numPr>
        <w:pBdr>
          <w:top w:val="nil"/>
          <w:left w:val="nil"/>
          <w:bottom w:val="nil"/>
          <w:right w:val="nil"/>
          <w:between w:val="nil"/>
        </w:pBdr>
        <w:tabs>
          <w:tab w:val="left" w:pos="504"/>
        </w:tabs>
        <w:spacing w:line="240" w:lineRule="auto"/>
        <w:ind w:left="0" w:hanging="2"/>
        <w:jc w:val="both"/>
        <w:rPr>
          <w:sz w:val="22"/>
          <w:szCs w:val="22"/>
        </w:rPr>
      </w:pPr>
      <w:r w:rsidRPr="00F8032B">
        <w:rPr>
          <w:sz w:val="22"/>
          <w:szCs w:val="22"/>
        </w:rPr>
        <w:t>Overlying Tithonian evaporites (</w:t>
      </w:r>
      <w:proofErr w:type="spellStart"/>
      <w:r w:rsidRPr="00F8032B">
        <w:rPr>
          <w:sz w:val="22"/>
          <w:szCs w:val="22"/>
        </w:rPr>
        <w:t>Gaurdak</w:t>
      </w:r>
      <w:proofErr w:type="spellEnd"/>
      <w:r w:rsidRPr="00F8032B">
        <w:rPr>
          <w:sz w:val="22"/>
          <w:szCs w:val="22"/>
        </w:rPr>
        <w:t xml:space="preserve"> Formation</w:t>
      </w:r>
      <w:r w:rsidR="00E23CB9">
        <w:rPr>
          <w:sz w:val="22"/>
          <w:szCs w:val="22"/>
        </w:rPr>
        <w:t xml:space="preserve"> and analogues</w:t>
      </w:r>
      <w:r w:rsidRPr="00F8032B">
        <w:rPr>
          <w:sz w:val="22"/>
          <w:szCs w:val="22"/>
        </w:rPr>
        <w:t>)</w:t>
      </w:r>
      <w:r w:rsidR="00E23CB9">
        <w:rPr>
          <w:sz w:val="22"/>
          <w:szCs w:val="22"/>
        </w:rPr>
        <w:t xml:space="preserve"> which</w:t>
      </w:r>
      <w:r w:rsidRPr="00F8032B">
        <w:rPr>
          <w:sz w:val="22"/>
          <w:szCs w:val="22"/>
        </w:rPr>
        <w:t xml:space="preserve"> form thick, laterally extensive anhydrite</w:t>
      </w:r>
      <w:r w:rsidRPr="00F8032B">
        <w:rPr>
          <w:sz w:val="22"/>
          <w:szCs w:val="22"/>
        </w:rPr>
        <w:noBreakHyphen/>
        <w:t>salt sequences that are highly effective regional seals for both hydrocarbons and potential CO₂ storage.</w:t>
      </w:r>
    </w:p>
    <w:p w14:paraId="08A43472" w14:textId="32E89B72" w:rsidR="00DB78DF" w:rsidRPr="00DB78DF" w:rsidRDefault="00DB78DF" w:rsidP="00DB78DF">
      <w:pPr>
        <w:pBdr>
          <w:top w:val="nil"/>
          <w:left w:val="nil"/>
          <w:bottom w:val="nil"/>
          <w:right w:val="nil"/>
          <w:between w:val="nil"/>
        </w:pBdr>
        <w:tabs>
          <w:tab w:val="left" w:pos="504"/>
        </w:tabs>
        <w:spacing w:line="240" w:lineRule="auto"/>
        <w:ind w:left="0" w:hanging="2"/>
        <w:jc w:val="both"/>
        <w:textDirection w:val="lrTb"/>
        <w:rPr>
          <w:sz w:val="22"/>
          <w:szCs w:val="22"/>
        </w:rPr>
      </w:pPr>
      <w:r w:rsidRPr="00DB78DF">
        <w:rPr>
          <w:sz w:val="22"/>
          <w:szCs w:val="22"/>
        </w:rPr>
        <w:t>Cretaceous strata introduce additional sandstone and carbonate reservoirs, though their regional sealing behavior is less understood compared to the Jurassic. Paleogene and Neogene sediments, largely clastic, overlie these intervals unconformably.</w:t>
      </w:r>
    </w:p>
    <w:p w14:paraId="7D825580" w14:textId="77777777" w:rsidR="00B022E6" w:rsidRDefault="00B022E6" w:rsidP="00616D85">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110E666D" w14:textId="3E87FDCB" w:rsidR="00A00482" w:rsidRPr="00A00482" w:rsidRDefault="00A00482" w:rsidP="00A00482">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 xml:space="preserve">Structural </w:t>
      </w:r>
      <w:r w:rsidR="00DB1F74">
        <w:rPr>
          <w:b/>
          <w:color w:val="000000"/>
          <w:sz w:val="22"/>
          <w:szCs w:val="22"/>
        </w:rPr>
        <w:t>c</w:t>
      </w:r>
      <w:r>
        <w:rPr>
          <w:b/>
          <w:color w:val="000000"/>
          <w:sz w:val="22"/>
          <w:szCs w:val="22"/>
        </w:rPr>
        <w:t xml:space="preserve">haracteristics, </w:t>
      </w:r>
      <w:r w:rsidR="00DB1F74">
        <w:rPr>
          <w:b/>
          <w:color w:val="000000"/>
          <w:sz w:val="22"/>
          <w:szCs w:val="22"/>
        </w:rPr>
        <w:t>r</w:t>
      </w:r>
      <w:r w:rsidRPr="00A00482">
        <w:rPr>
          <w:b/>
          <w:color w:val="000000"/>
          <w:sz w:val="22"/>
          <w:szCs w:val="22"/>
        </w:rPr>
        <w:t xml:space="preserve">eservoir </w:t>
      </w:r>
      <w:r w:rsidR="00DB1F74">
        <w:rPr>
          <w:b/>
          <w:color w:val="000000"/>
          <w:sz w:val="22"/>
          <w:szCs w:val="22"/>
        </w:rPr>
        <w:t>p</w:t>
      </w:r>
      <w:r w:rsidRPr="00A00482">
        <w:rPr>
          <w:b/>
          <w:color w:val="000000"/>
          <w:sz w:val="22"/>
          <w:szCs w:val="22"/>
        </w:rPr>
        <w:t xml:space="preserve">roperties and </w:t>
      </w:r>
      <w:r w:rsidR="00DB1F74">
        <w:rPr>
          <w:b/>
          <w:color w:val="000000"/>
          <w:sz w:val="22"/>
          <w:szCs w:val="22"/>
        </w:rPr>
        <w:t>d</w:t>
      </w:r>
      <w:r w:rsidRPr="00A00482">
        <w:rPr>
          <w:b/>
          <w:color w:val="000000"/>
          <w:sz w:val="22"/>
          <w:szCs w:val="22"/>
        </w:rPr>
        <w:t xml:space="preserve">epth </w:t>
      </w:r>
      <w:r w:rsidR="00DB1F74">
        <w:rPr>
          <w:b/>
          <w:color w:val="000000"/>
          <w:sz w:val="22"/>
          <w:szCs w:val="22"/>
        </w:rPr>
        <w:t>c</w:t>
      </w:r>
      <w:r w:rsidRPr="00A00482">
        <w:rPr>
          <w:b/>
          <w:color w:val="000000"/>
          <w:sz w:val="22"/>
          <w:szCs w:val="22"/>
        </w:rPr>
        <w:t>onditions</w:t>
      </w:r>
    </w:p>
    <w:p w14:paraId="248BF61D" w14:textId="77777777" w:rsidR="00A00482" w:rsidRDefault="00A00482">
      <w:pPr>
        <w:pBdr>
          <w:top w:val="nil"/>
          <w:left w:val="nil"/>
          <w:bottom w:val="nil"/>
          <w:right w:val="nil"/>
          <w:between w:val="nil"/>
        </w:pBdr>
        <w:tabs>
          <w:tab w:val="left" w:pos="504"/>
        </w:tabs>
        <w:spacing w:line="240" w:lineRule="auto"/>
        <w:ind w:left="0" w:hanging="2"/>
        <w:jc w:val="both"/>
        <w:rPr>
          <w:color w:val="000000"/>
          <w:sz w:val="22"/>
          <w:szCs w:val="22"/>
        </w:rPr>
      </w:pPr>
    </w:p>
    <w:p w14:paraId="1B4F5779" w14:textId="77777777" w:rsidR="00743598" w:rsidRDefault="00FA7B46" w:rsidP="00616D85">
      <w:pPr>
        <w:pBdr>
          <w:top w:val="nil"/>
          <w:left w:val="nil"/>
          <w:bottom w:val="nil"/>
          <w:right w:val="nil"/>
          <w:between w:val="nil"/>
        </w:pBdr>
        <w:tabs>
          <w:tab w:val="left" w:pos="504"/>
        </w:tabs>
        <w:spacing w:line="240" w:lineRule="auto"/>
        <w:ind w:left="0" w:hanging="2"/>
        <w:jc w:val="both"/>
      </w:pPr>
      <w:r w:rsidRPr="00FA7B46">
        <w:rPr>
          <w:sz w:val="22"/>
          <w:szCs w:val="22"/>
        </w:rPr>
        <w:t xml:space="preserve">Subsurface candidates in Uzbekistan </w:t>
      </w:r>
      <w:r>
        <w:rPr>
          <w:sz w:val="22"/>
          <w:szCs w:val="22"/>
        </w:rPr>
        <w:t>comprise</w:t>
      </w:r>
      <w:r w:rsidRPr="00FA7B46">
        <w:rPr>
          <w:sz w:val="22"/>
          <w:szCs w:val="22"/>
        </w:rPr>
        <w:t xml:space="preserve"> both depleted hydrocarbon reservoirs and saline aquifers. </w:t>
      </w:r>
      <w:r w:rsidR="00616D85" w:rsidRPr="00041709">
        <w:rPr>
          <w:sz w:val="22"/>
          <w:szCs w:val="22"/>
        </w:rPr>
        <w:t>Most structural traps are anticlinal and often fault‑bounded, with variations in amplitude, area, and complexity</w:t>
      </w:r>
      <w:r w:rsidR="00423D57">
        <w:rPr>
          <w:sz w:val="22"/>
          <w:szCs w:val="22"/>
        </w:rPr>
        <w:t xml:space="preserve"> [2]</w:t>
      </w:r>
      <w:r w:rsidR="00616D85" w:rsidRPr="00041709">
        <w:rPr>
          <w:sz w:val="22"/>
          <w:szCs w:val="22"/>
        </w:rPr>
        <w:t>. While these structures have historically proven effective for hydrocarbon entrapment, their suitability for CO₂ storage depends</w:t>
      </w:r>
      <w:r w:rsidR="00616D85">
        <w:rPr>
          <w:sz w:val="22"/>
          <w:szCs w:val="22"/>
        </w:rPr>
        <w:t xml:space="preserve"> largely</w:t>
      </w:r>
      <w:r w:rsidR="00616D85" w:rsidRPr="00041709">
        <w:rPr>
          <w:sz w:val="22"/>
          <w:szCs w:val="22"/>
        </w:rPr>
        <w:t xml:space="preserve"> on structural closure integrity,</w:t>
      </w:r>
      <w:r w:rsidR="00616D85">
        <w:rPr>
          <w:sz w:val="22"/>
          <w:szCs w:val="22"/>
        </w:rPr>
        <w:t xml:space="preserve"> </w:t>
      </w:r>
      <w:r w:rsidR="00616D85" w:rsidRPr="00041709">
        <w:rPr>
          <w:sz w:val="22"/>
          <w:szCs w:val="22"/>
        </w:rPr>
        <w:t>absence of through‑going faults that could act as leakage pathways, and</w:t>
      </w:r>
      <w:r w:rsidR="00616D85">
        <w:rPr>
          <w:sz w:val="22"/>
          <w:szCs w:val="22"/>
        </w:rPr>
        <w:t xml:space="preserve"> </w:t>
      </w:r>
      <w:r w:rsidR="00616D85" w:rsidRPr="00041709">
        <w:rPr>
          <w:sz w:val="22"/>
          <w:szCs w:val="22"/>
        </w:rPr>
        <w:t>the quality and continuity of overlying caprock sequences.</w:t>
      </w:r>
      <w:r w:rsidR="00616D85" w:rsidRPr="00F614AE">
        <w:rPr>
          <w:sz w:val="22"/>
          <w:szCs w:val="22"/>
        </w:rPr>
        <w:t xml:space="preserve"> </w:t>
      </w:r>
      <w:r w:rsidR="00F614AE" w:rsidRPr="00F614AE">
        <w:rPr>
          <w:sz w:val="22"/>
          <w:szCs w:val="22"/>
        </w:rPr>
        <w:t>Structural closures in candidate areas generally range from 3km to 10km in length and 2km to 6km in width across Jurassic and Cretaceous intervals.</w:t>
      </w:r>
      <w:r w:rsidR="00F614AE" w:rsidRPr="00F614AE">
        <w:t xml:space="preserve"> </w:t>
      </w:r>
      <w:r w:rsidR="00F614AE" w:rsidRPr="00F614AE">
        <w:rPr>
          <w:sz w:val="22"/>
          <w:szCs w:val="22"/>
        </w:rPr>
        <w:t xml:space="preserve">Trap amplitudes commonly </w:t>
      </w:r>
      <w:r w:rsidR="00743598">
        <w:rPr>
          <w:sz w:val="22"/>
          <w:szCs w:val="22"/>
        </w:rPr>
        <w:t>range from around</w:t>
      </w:r>
      <w:r w:rsidR="00F614AE" w:rsidRPr="00F614AE">
        <w:rPr>
          <w:sz w:val="22"/>
          <w:szCs w:val="22"/>
        </w:rPr>
        <w:t xml:space="preserve"> 40 m</w:t>
      </w:r>
      <w:r w:rsidR="00F614AE">
        <w:rPr>
          <w:sz w:val="22"/>
          <w:szCs w:val="22"/>
        </w:rPr>
        <w:t xml:space="preserve"> for </w:t>
      </w:r>
      <w:r w:rsidR="00743598">
        <w:rPr>
          <w:sz w:val="22"/>
          <w:szCs w:val="22"/>
        </w:rPr>
        <w:t xml:space="preserve">certain </w:t>
      </w:r>
      <w:r w:rsidR="00F614AE">
        <w:rPr>
          <w:sz w:val="22"/>
          <w:szCs w:val="22"/>
        </w:rPr>
        <w:t>Jurassic sandstones</w:t>
      </w:r>
      <w:r w:rsidR="00F614AE" w:rsidRPr="00F614AE">
        <w:rPr>
          <w:sz w:val="22"/>
          <w:szCs w:val="22"/>
        </w:rPr>
        <w:t xml:space="preserve"> </w:t>
      </w:r>
      <w:r w:rsidR="00743598">
        <w:rPr>
          <w:sz w:val="22"/>
          <w:szCs w:val="22"/>
        </w:rPr>
        <w:t>to about</w:t>
      </w:r>
      <w:r w:rsidR="00F614AE" w:rsidRPr="00F614AE">
        <w:rPr>
          <w:sz w:val="22"/>
          <w:szCs w:val="22"/>
        </w:rPr>
        <w:t xml:space="preserve"> 200 m</w:t>
      </w:r>
      <w:r w:rsidR="00F614AE">
        <w:rPr>
          <w:sz w:val="22"/>
          <w:szCs w:val="22"/>
        </w:rPr>
        <w:t xml:space="preserve"> for larger carbonate platform buildups</w:t>
      </w:r>
      <w:r w:rsidR="00F614AE" w:rsidRPr="00F614AE">
        <w:rPr>
          <w:sz w:val="22"/>
          <w:szCs w:val="22"/>
        </w:rPr>
        <w:t>.</w:t>
      </w:r>
      <w:r w:rsidR="005C3F0A" w:rsidRPr="005C3F0A">
        <w:t xml:space="preserve"> </w:t>
      </w:r>
    </w:p>
    <w:p w14:paraId="76C5A05F" w14:textId="77777777" w:rsidR="00743598" w:rsidRDefault="00743598" w:rsidP="00616D85">
      <w:pPr>
        <w:pBdr>
          <w:top w:val="nil"/>
          <w:left w:val="nil"/>
          <w:bottom w:val="nil"/>
          <w:right w:val="nil"/>
          <w:between w:val="nil"/>
        </w:pBdr>
        <w:tabs>
          <w:tab w:val="left" w:pos="504"/>
        </w:tabs>
        <w:spacing w:line="240" w:lineRule="auto"/>
        <w:ind w:left="0" w:hanging="2"/>
        <w:jc w:val="both"/>
      </w:pPr>
    </w:p>
    <w:p w14:paraId="414868F9" w14:textId="447EBD3A" w:rsidR="00616D85" w:rsidRDefault="005C3F0A" w:rsidP="00616D85">
      <w:pPr>
        <w:pBdr>
          <w:top w:val="nil"/>
          <w:left w:val="nil"/>
          <w:bottom w:val="nil"/>
          <w:right w:val="nil"/>
          <w:between w:val="nil"/>
        </w:pBdr>
        <w:tabs>
          <w:tab w:val="left" w:pos="504"/>
        </w:tabs>
        <w:spacing w:line="240" w:lineRule="auto"/>
        <w:ind w:left="0" w:hanging="2"/>
        <w:jc w:val="both"/>
        <w:rPr>
          <w:sz w:val="22"/>
          <w:szCs w:val="22"/>
        </w:rPr>
      </w:pPr>
      <w:r w:rsidRPr="005C3F0A">
        <w:rPr>
          <w:sz w:val="22"/>
          <w:szCs w:val="22"/>
        </w:rPr>
        <w:t>Reservoir properties across the basin, particularly in the Upper Jurassic carbonate complexes and Lower Cretaceous clastic units, show considerable heterogeneity</w:t>
      </w:r>
      <w:r w:rsidR="00743598">
        <w:rPr>
          <w:sz w:val="22"/>
          <w:szCs w:val="22"/>
        </w:rPr>
        <w:t>,</w:t>
      </w:r>
      <w:r w:rsidRPr="005C3F0A">
        <w:rPr>
          <w:sz w:val="22"/>
          <w:szCs w:val="22"/>
        </w:rPr>
        <w:t xml:space="preserve"> yet broadly </w:t>
      </w:r>
      <w:r w:rsidR="00743598">
        <w:rPr>
          <w:sz w:val="22"/>
          <w:szCs w:val="22"/>
        </w:rPr>
        <w:t>fall</w:t>
      </w:r>
      <w:r w:rsidRPr="005C3F0A">
        <w:rPr>
          <w:sz w:val="22"/>
          <w:szCs w:val="22"/>
        </w:rPr>
        <w:t xml:space="preserve"> within ranges required for CO₂ storage</w:t>
      </w:r>
      <w:r>
        <w:rPr>
          <w:sz w:val="22"/>
          <w:szCs w:val="22"/>
        </w:rPr>
        <w:t xml:space="preserve"> -</w:t>
      </w:r>
      <w:r w:rsidRPr="005C3F0A">
        <w:t xml:space="preserve"> </w:t>
      </w:r>
      <w:r w:rsidRPr="005C3F0A">
        <w:rPr>
          <w:sz w:val="22"/>
          <w:szCs w:val="22"/>
        </w:rPr>
        <w:t>porosity typically ranges from the low teens to over twenty percent</w:t>
      </w:r>
      <w:r>
        <w:rPr>
          <w:sz w:val="22"/>
          <w:szCs w:val="22"/>
        </w:rPr>
        <w:t xml:space="preserve"> with p</w:t>
      </w:r>
      <w:r w:rsidRPr="005C3F0A">
        <w:rPr>
          <w:sz w:val="22"/>
          <w:szCs w:val="22"/>
        </w:rPr>
        <w:t>ermeability values for these reservoirs</w:t>
      </w:r>
      <w:r w:rsidR="00743598">
        <w:rPr>
          <w:sz w:val="22"/>
          <w:szCs w:val="22"/>
        </w:rPr>
        <w:t xml:space="preserve"> falling</w:t>
      </w:r>
      <w:r w:rsidRPr="005C3F0A">
        <w:rPr>
          <w:sz w:val="22"/>
          <w:szCs w:val="22"/>
        </w:rPr>
        <w:t xml:space="preserve"> in the tens to low hundreds of millidarcies.</w:t>
      </w:r>
      <w:r w:rsidRPr="005C3F0A">
        <w:t xml:space="preserve"> </w:t>
      </w:r>
      <w:r w:rsidRPr="005C3F0A">
        <w:rPr>
          <w:sz w:val="22"/>
          <w:szCs w:val="22"/>
        </w:rPr>
        <w:t xml:space="preserve">Due to the heterogeneous and often dual‑porosity nature of the carbonates, permeability does not always correlate with porosity, making dynamic </w:t>
      </w:r>
      <w:proofErr w:type="spellStart"/>
      <w:r w:rsidRPr="005C3F0A">
        <w:rPr>
          <w:sz w:val="22"/>
          <w:szCs w:val="22"/>
        </w:rPr>
        <w:t>behaviour</w:t>
      </w:r>
      <w:proofErr w:type="spellEnd"/>
      <w:r w:rsidRPr="005C3F0A">
        <w:rPr>
          <w:sz w:val="22"/>
          <w:szCs w:val="22"/>
        </w:rPr>
        <w:t xml:space="preserve"> less predictable</w:t>
      </w:r>
      <w:r>
        <w:rPr>
          <w:sz w:val="22"/>
          <w:szCs w:val="22"/>
        </w:rPr>
        <w:t>.</w:t>
      </w:r>
    </w:p>
    <w:p w14:paraId="3B89D83E" w14:textId="3194050E" w:rsidR="005C3F0A" w:rsidRPr="005C3F0A" w:rsidRDefault="005C3F0A" w:rsidP="005C3F0A">
      <w:pPr>
        <w:pBdr>
          <w:top w:val="nil"/>
          <w:left w:val="nil"/>
          <w:bottom w:val="nil"/>
          <w:right w:val="nil"/>
          <w:between w:val="nil"/>
        </w:pBdr>
        <w:tabs>
          <w:tab w:val="left" w:pos="504"/>
        </w:tabs>
        <w:spacing w:line="240" w:lineRule="auto"/>
        <w:ind w:left="0" w:hanging="2"/>
        <w:jc w:val="both"/>
        <w:rPr>
          <w:sz w:val="22"/>
          <w:szCs w:val="22"/>
        </w:rPr>
      </w:pPr>
      <w:r w:rsidRPr="005C3F0A">
        <w:rPr>
          <w:sz w:val="22"/>
          <w:szCs w:val="22"/>
        </w:rPr>
        <w:lastRenderedPageBreak/>
        <w:t>Depth is a</w:t>
      </w:r>
      <w:r>
        <w:rPr>
          <w:sz w:val="22"/>
          <w:szCs w:val="22"/>
        </w:rPr>
        <w:t>nother</w:t>
      </w:r>
      <w:r w:rsidRPr="005C3F0A">
        <w:rPr>
          <w:sz w:val="22"/>
          <w:szCs w:val="22"/>
        </w:rPr>
        <w:t xml:space="preserve"> central screening criterion because CO₂ must be injected below approximately 850 </w:t>
      </w:r>
      <w:proofErr w:type="spellStart"/>
      <w:r w:rsidRPr="005C3F0A">
        <w:rPr>
          <w:sz w:val="22"/>
          <w:szCs w:val="22"/>
        </w:rPr>
        <w:t>metres</w:t>
      </w:r>
      <w:proofErr w:type="spellEnd"/>
      <w:r w:rsidRPr="005C3F0A">
        <w:rPr>
          <w:sz w:val="22"/>
          <w:szCs w:val="22"/>
        </w:rPr>
        <w:t xml:space="preserve"> to remain in the supercritical state.</w:t>
      </w:r>
      <w:r w:rsidR="005B3F86">
        <w:rPr>
          <w:sz w:val="22"/>
          <w:szCs w:val="22"/>
        </w:rPr>
        <w:t xml:space="preserve"> </w:t>
      </w:r>
      <w:r w:rsidR="00743598">
        <w:rPr>
          <w:sz w:val="22"/>
          <w:szCs w:val="22"/>
        </w:rPr>
        <w:t>Many</w:t>
      </w:r>
      <w:r w:rsidR="005B3F86">
        <w:rPr>
          <w:sz w:val="22"/>
          <w:szCs w:val="22"/>
        </w:rPr>
        <w:t xml:space="preserve"> depleted gas </w:t>
      </w:r>
      <w:r w:rsidR="00743598">
        <w:rPr>
          <w:sz w:val="22"/>
          <w:szCs w:val="22"/>
        </w:rPr>
        <w:t>fields</w:t>
      </w:r>
      <w:r w:rsidR="005B3F86">
        <w:rPr>
          <w:sz w:val="22"/>
          <w:szCs w:val="22"/>
        </w:rPr>
        <w:t xml:space="preserve"> were screened out </w:t>
      </w:r>
      <w:r w:rsidR="00743598">
        <w:rPr>
          <w:sz w:val="22"/>
          <w:szCs w:val="22"/>
        </w:rPr>
        <w:t>for</w:t>
      </w:r>
      <w:r w:rsidR="005B3F86">
        <w:rPr>
          <w:sz w:val="22"/>
          <w:szCs w:val="22"/>
        </w:rPr>
        <w:t xml:space="preserve"> being too shallow, and t</w:t>
      </w:r>
      <w:r w:rsidR="005B3F86" w:rsidRPr="005B3F86">
        <w:rPr>
          <w:sz w:val="22"/>
          <w:szCs w:val="22"/>
        </w:rPr>
        <w:t>ypical CO₂ storage targets occur between roughly 900 and 2000 m depth</w:t>
      </w:r>
      <w:r w:rsidR="005B3F86">
        <w:rPr>
          <w:sz w:val="22"/>
          <w:szCs w:val="22"/>
        </w:rPr>
        <w:t xml:space="preserve"> though i</w:t>
      </w:r>
      <w:r w:rsidR="005B3F86" w:rsidRPr="005B3F86">
        <w:rPr>
          <w:sz w:val="22"/>
          <w:szCs w:val="22"/>
        </w:rPr>
        <w:t>n deeper structural settings of the Amu</w:t>
      </w:r>
      <w:r w:rsidR="00743598">
        <w:rPr>
          <w:sz w:val="22"/>
          <w:szCs w:val="22"/>
        </w:rPr>
        <w:t xml:space="preserve"> </w:t>
      </w:r>
      <w:r w:rsidR="005B3F86" w:rsidRPr="005B3F86">
        <w:rPr>
          <w:sz w:val="22"/>
          <w:szCs w:val="22"/>
        </w:rPr>
        <w:t>Darya Basin, some Jurassic carbonate reservoirs extend beyond 2500 m</w:t>
      </w:r>
      <w:r w:rsidR="005B3F86">
        <w:rPr>
          <w:sz w:val="22"/>
          <w:szCs w:val="22"/>
        </w:rPr>
        <w:t>.</w:t>
      </w:r>
    </w:p>
    <w:p w14:paraId="2965CC4C" w14:textId="77777777" w:rsidR="00B022E6" w:rsidRDefault="00B022E6" w:rsidP="00EF5BC5">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bookmarkStart w:id="3" w:name="bookmark=id.3znysh7" w:colFirst="0" w:colLast="0"/>
      <w:bookmarkEnd w:id="3"/>
    </w:p>
    <w:p w14:paraId="0BC3257F" w14:textId="77777777" w:rsidR="002D78A8" w:rsidRPr="002D78A8" w:rsidRDefault="002D78A8" w:rsidP="002D78A8">
      <w:pPr>
        <w:pBdr>
          <w:top w:val="nil"/>
          <w:left w:val="nil"/>
          <w:bottom w:val="nil"/>
          <w:right w:val="nil"/>
          <w:between w:val="nil"/>
        </w:pBdr>
        <w:tabs>
          <w:tab w:val="left" w:pos="504"/>
        </w:tabs>
        <w:spacing w:line="240" w:lineRule="auto"/>
        <w:ind w:left="0" w:hanging="2"/>
        <w:rPr>
          <w:b/>
          <w:color w:val="000000"/>
          <w:sz w:val="22"/>
          <w:szCs w:val="22"/>
        </w:rPr>
      </w:pPr>
      <w:r w:rsidRPr="002D78A8">
        <w:rPr>
          <w:b/>
          <w:color w:val="000000"/>
          <w:sz w:val="22"/>
          <w:szCs w:val="22"/>
        </w:rPr>
        <w:t>Screening and Ranking</w:t>
      </w:r>
    </w:p>
    <w:p w14:paraId="64BAAE08" w14:textId="77777777" w:rsidR="00B022E6" w:rsidRDefault="00B022E6">
      <w:pPr>
        <w:pBdr>
          <w:top w:val="nil"/>
          <w:left w:val="nil"/>
          <w:bottom w:val="nil"/>
          <w:right w:val="nil"/>
          <w:between w:val="nil"/>
        </w:pBdr>
        <w:tabs>
          <w:tab w:val="left" w:pos="504"/>
        </w:tabs>
        <w:spacing w:line="240" w:lineRule="auto"/>
        <w:ind w:left="0" w:hanging="2"/>
        <w:jc w:val="both"/>
        <w:rPr>
          <w:sz w:val="22"/>
          <w:szCs w:val="22"/>
        </w:rPr>
      </w:pPr>
    </w:p>
    <w:p w14:paraId="037F3645" w14:textId="45CADE9C" w:rsidR="002D78A8" w:rsidRDefault="002D78A8" w:rsidP="002D78A8">
      <w:pPr>
        <w:pBdr>
          <w:top w:val="nil"/>
          <w:left w:val="nil"/>
          <w:bottom w:val="nil"/>
          <w:right w:val="nil"/>
          <w:between w:val="nil"/>
        </w:pBdr>
        <w:tabs>
          <w:tab w:val="left" w:pos="504"/>
        </w:tabs>
        <w:spacing w:line="240" w:lineRule="auto"/>
        <w:ind w:left="0" w:hanging="2"/>
        <w:jc w:val="both"/>
        <w:rPr>
          <w:sz w:val="22"/>
          <w:szCs w:val="22"/>
        </w:rPr>
      </w:pPr>
      <w:r w:rsidRPr="002D78A8">
        <w:rPr>
          <w:sz w:val="22"/>
          <w:szCs w:val="22"/>
        </w:rPr>
        <w:t>The screening and ranking phase applied to Uzbekistan’s subsurface portfolio follows an established multi</w:t>
      </w:r>
      <w:r w:rsidRPr="002D78A8">
        <w:rPr>
          <w:sz w:val="22"/>
          <w:szCs w:val="22"/>
        </w:rPr>
        <w:noBreakHyphen/>
        <w:t>stage methodology designed to identify those geological formations capable of meeting the fundamental requirements for safe and efficient CO₂ storage. Initial screening evaluates whether candidates satisfy essential criteria such as sufficient depth, adequate pore volume, minimum reservoir thickness, injectivity proxies, salinity thresholds, trap integrity, and the presence of laterally continuous seals.</w:t>
      </w:r>
      <w:r w:rsidR="001D4DE7" w:rsidRPr="001D4DE7">
        <w:t xml:space="preserve"> </w:t>
      </w:r>
      <w:r w:rsidR="001D4DE7" w:rsidRPr="001D4DE7">
        <w:rPr>
          <w:sz w:val="22"/>
          <w:szCs w:val="22"/>
        </w:rPr>
        <w:t>Once unsuitable sites are removed, the remaining candidates are ranked using both primary and secondary attributes</w:t>
      </w:r>
      <w:r w:rsidR="001D4DE7">
        <w:rPr>
          <w:sz w:val="22"/>
          <w:szCs w:val="22"/>
        </w:rPr>
        <w:t xml:space="preserve"> - </w:t>
      </w:r>
      <w:r w:rsidR="001D4DE7" w:rsidRPr="001D4DE7">
        <w:rPr>
          <w:sz w:val="22"/>
          <w:szCs w:val="22"/>
        </w:rPr>
        <w:t>storage capacity, injectivity potential, structural containment confidence, distance from emission sources, depth, and operational readiness</w:t>
      </w:r>
      <w:r w:rsidR="001D4DE7">
        <w:rPr>
          <w:sz w:val="22"/>
          <w:szCs w:val="22"/>
        </w:rPr>
        <w:t xml:space="preserve"> - </w:t>
      </w:r>
      <w:r w:rsidR="001D4DE7" w:rsidRPr="001D4DE7">
        <w:rPr>
          <w:sz w:val="22"/>
          <w:szCs w:val="22"/>
        </w:rPr>
        <w:t>allowing a comparative assessment across both aquifer and depleted‑reservoir options.</w:t>
      </w:r>
    </w:p>
    <w:p w14:paraId="3F74FD1F" w14:textId="77777777" w:rsidR="00312917" w:rsidRDefault="00312917" w:rsidP="002D78A8">
      <w:pPr>
        <w:pBdr>
          <w:top w:val="nil"/>
          <w:left w:val="nil"/>
          <w:bottom w:val="nil"/>
          <w:right w:val="nil"/>
          <w:between w:val="nil"/>
        </w:pBdr>
        <w:tabs>
          <w:tab w:val="left" w:pos="504"/>
        </w:tabs>
        <w:spacing w:line="240" w:lineRule="auto"/>
        <w:ind w:left="0" w:hanging="2"/>
        <w:jc w:val="both"/>
        <w:rPr>
          <w:sz w:val="22"/>
          <w:szCs w:val="22"/>
        </w:rPr>
      </w:pPr>
    </w:p>
    <w:p w14:paraId="6AA94A8B" w14:textId="25617A69" w:rsidR="00312917" w:rsidRPr="00312917" w:rsidRDefault="00312917" w:rsidP="00312917">
      <w:pPr>
        <w:pBdr>
          <w:top w:val="nil"/>
          <w:left w:val="nil"/>
          <w:bottom w:val="nil"/>
          <w:right w:val="nil"/>
          <w:between w:val="nil"/>
        </w:pBdr>
        <w:tabs>
          <w:tab w:val="left" w:pos="504"/>
        </w:tabs>
        <w:spacing w:line="240" w:lineRule="auto"/>
        <w:ind w:left="0" w:hanging="2"/>
        <w:jc w:val="both"/>
        <w:rPr>
          <w:sz w:val="22"/>
          <w:szCs w:val="22"/>
        </w:rPr>
      </w:pPr>
      <w:r w:rsidRPr="00312917">
        <w:rPr>
          <w:sz w:val="22"/>
          <w:szCs w:val="22"/>
        </w:rPr>
        <w:t>The screening process demonstrates that, despite data limitations in certain stratigraphic intervals and structural settings, Uzbekistan’s subsurface contains several geological formations that satisfy the core prerequisites for CO₂ storage. The subsequent ranking</w:t>
      </w:r>
      <w:r>
        <w:rPr>
          <w:sz w:val="22"/>
          <w:szCs w:val="22"/>
        </w:rPr>
        <w:t xml:space="preserve"> - </w:t>
      </w:r>
      <w:r w:rsidRPr="00312917">
        <w:rPr>
          <w:sz w:val="22"/>
          <w:szCs w:val="22"/>
        </w:rPr>
        <w:t>integrating both quantitative attributes such as capacity and injectivity, and qualitative factors such as data confidence</w:t>
      </w:r>
      <w:r>
        <w:rPr>
          <w:sz w:val="22"/>
          <w:szCs w:val="22"/>
        </w:rPr>
        <w:t xml:space="preserve"> and</w:t>
      </w:r>
      <w:r w:rsidRPr="00312917">
        <w:rPr>
          <w:sz w:val="22"/>
          <w:szCs w:val="22"/>
        </w:rPr>
        <w:t xml:space="preserve"> structural complexity</w:t>
      </w:r>
      <w:r>
        <w:rPr>
          <w:sz w:val="22"/>
          <w:szCs w:val="22"/>
        </w:rPr>
        <w:t xml:space="preserve"> - </w:t>
      </w:r>
      <w:r w:rsidRPr="00312917">
        <w:rPr>
          <w:sz w:val="22"/>
          <w:szCs w:val="22"/>
        </w:rPr>
        <w:t xml:space="preserve">provides a clear hierarchy of suitability, enabling the selection of the most promising reservoirs for </w:t>
      </w:r>
      <w:r w:rsidR="00DC3529">
        <w:rPr>
          <w:sz w:val="22"/>
          <w:szCs w:val="22"/>
        </w:rPr>
        <w:t xml:space="preserve">the </w:t>
      </w:r>
      <w:r w:rsidRPr="00312917">
        <w:rPr>
          <w:sz w:val="22"/>
          <w:szCs w:val="22"/>
        </w:rPr>
        <w:t xml:space="preserve">subsequent </w:t>
      </w:r>
      <w:r w:rsidR="00835E84">
        <w:rPr>
          <w:sz w:val="22"/>
          <w:szCs w:val="22"/>
        </w:rPr>
        <w:t>feasibility</w:t>
      </w:r>
      <w:r w:rsidRPr="00312917">
        <w:rPr>
          <w:sz w:val="22"/>
          <w:szCs w:val="22"/>
        </w:rPr>
        <w:t xml:space="preserve"> phase.</w:t>
      </w:r>
    </w:p>
    <w:p w14:paraId="7E67F96C" w14:textId="77777777" w:rsidR="00312917" w:rsidRPr="002D78A8" w:rsidRDefault="00312917" w:rsidP="002D78A8">
      <w:pPr>
        <w:pBdr>
          <w:top w:val="nil"/>
          <w:left w:val="nil"/>
          <w:bottom w:val="nil"/>
          <w:right w:val="nil"/>
          <w:between w:val="nil"/>
        </w:pBdr>
        <w:tabs>
          <w:tab w:val="left" w:pos="504"/>
        </w:tabs>
        <w:spacing w:line="240" w:lineRule="auto"/>
        <w:ind w:left="0" w:hanging="2"/>
        <w:jc w:val="both"/>
        <w:rPr>
          <w:sz w:val="22"/>
          <w:szCs w:val="22"/>
        </w:rPr>
      </w:pPr>
    </w:p>
    <w:p w14:paraId="6AFA2BF0" w14:textId="77777777" w:rsidR="00503230" w:rsidRPr="00503230" w:rsidRDefault="00503230" w:rsidP="00503230">
      <w:pPr>
        <w:pBdr>
          <w:top w:val="nil"/>
          <w:left w:val="nil"/>
          <w:bottom w:val="nil"/>
          <w:right w:val="nil"/>
          <w:between w:val="nil"/>
        </w:pBdr>
        <w:tabs>
          <w:tab w:val="left" w:pos="504"/>
        </w:tabs>
        <w:spacing w:line="240" w:lineRule="auto"/>
        <w:ind w:left="0" w:hanging="2"/>
        <w:rPr>
          <w:b/>
          <w:color w:val="000000"/>
          <w:sz w:val="22"/>
          <w:szCs w:val="22"/>
        </w:rPr>
      </w:pPr>
      <w:r w:rsidRPr="00503230">
        <w:rPr>
          <w:b/>
          <w:color w:val="000000"/>
          <w:sz w:val="22"/>
          <w:szCs w:val="22"/>
        </w:rPr>
        <w:t>Subsurface Modelling</w:t>
      </w:r>
    </w:p>
    <w:p w14:paraId="2B95F34A" w14:textId="77777777" w:rsidR="002D78A8" w:rsidRDefault="002D78A8">
      <w:pPr>
        <w:pBdr>
          <w:top w:val="nil"/>
          <w:left w:val="nil"/>
          <w:bottom w:val="nil"/>
          <w:right w:val="nil"/>
          <w:between w:val="nil"/>
        </w:pBdr>
        <w:tabs>
          <w:tab w:val="left" w:pos="504"/>
        </w:tabs>
        <w:spacing w:line="240" w:lineRule="auto"/>
        <w:ind w:left="0" w:hanging="2"/>
        <w:jc w:val="both"/>
        <w:rPr>
          <w:sz w:val="22"/>
          <w:szCs w:val="22"/>
        </w:rPr>
      </w:pPr>
    </w:p>
    <w:p w14:paraId="409743F4" w14:textId="21441161" w:rsidR="00503230" w:rsidRDefault="00503230" w:rsidP="00503230">
      <w:pPr>
        <w:pBdr>
          <w:top w:val="nil"/>
          <w:left w:val="nil"/>
          <w:bottom w:val="nil"/>
          <w:right w:val="nil"/>
          <w:between w:val="nil"/>
        </w:pBdr>
        <w:tabs>
          <w:tab w:val="left" w:pos="504"/>
        </w:tabs>
        <w:spacing w:line="240" w:lineRule="auto"/>
        <w:ind w:left="0" w:hanging="2"/>
        <w:jc w:val="both"/>
        <w:rPr>
          <w:sz w:val="22"/>
          <w:szCs w:val="22"/>
        </w:rPr>
      </w:pPr>
      <w:r w:rsidRPr="00503230">
        <w:rPr>
          <w:sz w:val="22"/>
          <w:szCs w:val="22"/>
        </w:rPr>
        <w:t>Following the screening and ranking phase, dedicated subsurface modelling was undertaken to quantify key uncertainties, evaluate injectivity potential, and outline preliminary development concepts for both aquifer candidates and depleted hydrocarbon reservoirs.</w:t>
      </w:r>
      <w:r w:rsidRPr="00503230">
        <w:t xml:space="preserve"> </w:t>
      </w:r>
      <w:r w:rsidRPr="00503230">
        <w:rPr>
          <w:sz w:val="22"/>
          <w:szCs w:val="22"/>
        </w:rPr>
        <w:t xml:space="preserve">To achieve this, </w:t>
      </w:r>
      <w:r w:rsidRPr="00503230">
        <w:rPr>
          <w:sz w:val="22"/>
          <w:szCs w:val="22"/>
        </w:rPr>
        <w:t>several</w:t>
      </w:r>
      <w:r w:rsidRPr="00503230">
        <w:rPr>
          <w:sz w:val="22"/>
          <w:szCs w:val="22"/>
        </w:rPr>
        <w:t xml:space="preserve"> static and dynamic models w</w:t>
      </w:r>
      <w:r>
        <w:rPr>
          <w:sz w:val="22"/>
          <w:szCs w:val="22"/>
        </w:rPr>
        <w:t>ere</w:t>
      </w:r>
      <w:r w:rsidRPr="00503230">
        <w:rPr>
          <w:sz w:val="22"/>
          <w:szCs w:val="22"/>
        </w:rPr>
        <w:t xml:space="preserve"> constructed across target horizons, incorporat</w:t>
      </w:r>
      <w:r>
        <w:rPr>
          <w:sz w:val="22"/>
          <w:szCs w:val="22"/>
        </w:rPr>
        <w:t>ing</w:t>
      </w:r>
      <w:r w:rsidRPr="00503230">
        <w:rPr>
          <w:sz w:val="22"/>
          <w:szCs w:val="22"/>
        </w:rPr>
        <w:t xml:space="preserve"> </w:t>
      </w:r>
      <w:r>
        <w:rPr>
          <w:sz w:val="22"/>
          <w:szCs w:val="22"/>
        </w:rPr>
        <w:t xml:space="preserve">seismic, core and </w:t>
      </w:r>
      <w:r w:rsidRPr="00503230">
        <w:rPr>
          <w:sz w:val="22"/>
          <w:szCs w:val="22"/>
        </w:rPr>
        <w:t xml:space="preserve">well log interpretation, structural and stratigraphic correlation, lithological and petrophysical modelling, and </w:t>
      </w:r>
      <w:r w:rsidR="00743598">
        <w:rPr>
          <w:sz w:val="22"/>
          <w:szCs w:val="22"/>
        </w:rPr>
        <w:t xml:space="preserve">the </w:t>
      </w:r>
      <w:r w:rsidRPr="00503230">
        <w:rPr>
          <w:sz w:val="22"/>
          <w:szCs w:val="22"/>
        </w:rPr>
        <w:t xml:space="preserve">conversion of black‑oil simulation frameworks into compositional models to correctly represent CO₂ </w:t>
      </w:r>
      <w:proofErr w:type="spellStart"/>
      <w:r w:rsidRPr="00503230">
        <w:rPr>
          <w:sz w:val="22"/>
          <w:szCs w:val="22"/>
        </w:rPr>
        <w:t>behaviour</w:t>
      </w:r>
      <w:proofErr w:type="spellEnd"/>
      <w:r w:rsidRPr="00503230">
        <w:rPr>
          <w:sz w:val="22"/>
          <w:szCs w:val="22"/>
        </w:rPr>
        <w:t xml:space="preserve"> under reservoir conditions</w:t>
      </w:r>
      <w:r w:rsidR="00743598">
        <w:rPr>
          <w:sz w:val="22"/>
          <w:szCs w:val="22"/>
        </w:rPr>
        <w:t xml:space="preserve"> (figure 1)</w:t>
      </w:r>
      <w:r w:rsidRPr="00503230">
        <w:rPr>
          <w:sz w:val="22"/>
          <w:szCs w:val="22"/>
        </w:rPr>
        <w:t>.</w:t>
      </w:r>
    </w:p>
    <w:p w14:paraId="7B70B13D" w14:textId="77777777" w:rsidR="00AB5933" w:rsidRDefault="00AB5933" w:rsidP="00503230">
      <w:pPr>
        <w:pBdr>
          <w:top w:val="nil"/>
          <w:left w:val="nil"/>
          <w:bottom w:val="nil"/>
          <w:right w:val="nil"/>
          <w:between w:val="nil"/>
        </w:pBdr>
        <w:tabs>
          <w:tab w:val="left" w:pos="504"/>
        </w:tabs>
        <w:spacing w:line="240" w:lineRule="auto"/>
        <w:ind w:left="0" w:hanging="2"/>
        <w:jc w:val="both"/>
        <w:rPr>
          <w:sz w:val="22"/>
          <w:szCs w:val="22"/>
        </w:rPr>
      </w:pPr>
    </w:p>
    <w:p w14:paraId="347A7314" w14:textId="078F4DF9" w:rsidR="003F2CAF" w:rsidRDefault="00AB5933" w:rsidP="000400A7">
      <w:pPr>
        <w:pBdr>
          <w:top w:val="nil"/>
          <w:left w:val="nil"/>
          <w:bottom w:val="nil"/>
          <w:right w:val="nil"/>
          <w:between w:val="nil"/>
        </w:pBdr>
        <w:tabs>
          <w:tab w:val="left" w:pos="504"/>
        </w:tabs>
        <w:spacing w:line="240" w:lineRule="auto"/>
        <w:ind w:left="0" w:hanging="2"/>
        <w:jc w:val="both"/>
        <w:rPr>
          <w:sz w:val="22"/>
          <w:szCs w:val="22"/>
        </w:rPr>
      </w:pPr>
      <w:r w:rsidRPr="00AB5933">
        <w:rPr>
          <w:sz w:val="22"/>
          <w:szCs w:val="22"/>
        </w:rPr>
        <w:t>Using these coupled workflows, the modelling effort focused on identifying the main geological and operational uncertainties</w:t>
      </w:r>
      <w:r>
        <w:rPr>
          <w:sz w:val="22"/>
          <w:szCs w:val="22"/>
        </w:rPr>
        <w:t xml:space="preserve"> - </w:t>
      </w:r>
      <w:r w:rsidRPr="00AB5933">
        <w:rPr>
          <w:sz w:val="22"/>
          <w:szCs w:val="22"/>
        </w:rPr>
        <w:t xml:space="preserve">such as reservoir heterogeneity, fracture contribution, aquifer connectivity, pressure </w:t>
      </w:r>
      <w:r>
        <w:rPr>
          <w:sz w:val="22"/>
          <w:szCs w:val="22"/>
        </w:rPr>
        <w:t>build-up</w:t>
      </w:r>
      <w:r w:rsidRPr="00AB5933">
        <w:rPr>
          <w:sz w:val="22"/>
          <w:szCs w:val="22"/>
        </w:rPr>
        <w:t>,</w:t>
      </w:r>
      <w:r>
        <w:rPr>
          <w:sz w:val="22"/>
          <w:szCs w:val="22"/>
        </w:rPr>
        <w:t xml:space="preserve"> CO</w:t>
      </w:r>
      <w:r w:rsidRPr="00AB5933">
        <w:rPr>
          <w:sz w:val="22"/>
          <w:szCs w:val="22"/>
          <w:vertAlign w:val="subscript"/>
        </w:rPr>
        <w:t>2</w:t>
      </w:r>
      <w:r>
        <w:rPr>
          <w:sz w:val="22"/>
          <w:szCs w:val="22"/>
        </w:rPr>
        <w:t xml:space="preserve"> plume distribution</w:t>
      </w:r>
      <w:r w:rsidRPr="00AB5933">
        <w:rPr>
          <w:sz w:val="22"/>
          <w:szCs w:val="22"/>
        </w:rPr>
        <w:t xml:space="preserve"> </w:t>
      </w:r>
      <w:r>
        <w:rPr>
          <w:sz w:val="22"/>
          <w:szCs w:val="22"/>
        </w:rPr>
        <w:t xml:space="preserve">- </w:t>
      </w:r>
      <w:r w:rsidRPr="00AB5933">
        <w:rPr>
          <w:sz w:val="22"/>
          <w:szCs w:val="22"/>
        </w:rPr>
        <w:t>and assessing how these factors influence injectivity and long‑term containment.</w:t>
      </w:r>
      <w:r w:rsidRPr="00AB5933">
        <w:t xml:space="preserve"> </w:t>
      </w:r>
      <w:r w:rsidRPr="00AB5933">
        <w:rPr>
          <w:sz w:val="22"/>
          <w:szCs w:val="22"/>
        </w:rPr>
        <w:t>Multiple CO₂ injection scenarios were simulated to understand pressure limits, feasible injection rates, plume migration patterns, and the range of storable quantities under different boundary conditions.</w:t>
      </w:r>
      <w:r w:rsidRPr="00AB5933">
        <w:t xml:space="preserve"> </w:t>
      </w:r>
      <w:r w:rsidRPr="00AB5933">
        <w:rPr>
          <w:sz w:val="22"/>
          <w:szCs w:val="22"/>
        </w:rPr>
        <w:t xml:space="preserve">This process also enabled the formulation of conceptual development plans </w:t>
      </w:r>
      <w:r w:rsidR="00743598">
        <w:rPr>
          <w:sz w:val="22"/>
          <w:szCs w:val="22"/>
        </w:rPr>
        <w:t>aligned</w:t>
      </w:r>
      <w:r>
        <w:rPr>
          <w:sz w:val="22"/>
          <w:szCs w:val="22"/>
        </w:rPr>
        <w:t xml:space="preserve"> with</w:t>
      </w:r>
      <w:r w:rsidRPr="00AB5933">
        <w:rPr>
          <w:sz w:val="22"/>
          <w:szCs w:val="22"/>
        </w:rPr>
        <w:t xml:space="preserve"> each reservoir type, including well placement strategies, injection controls, and</w:t>
      </w:r>
      <w:r>
        <w:rPr>
          <w:sz w:val="22"/>
          <w:szCs w:val="22"/>
        </w:rPr>
        <w:t xml:space="preserve"> storage</w:t>
      </w:r>
      <w:r w:rsidRPr="00AB5933">
        <w:rPr>
          <w:sz w:val="22"/>
          <w:szCs w:val="22"/>
        </w:rPr>
        <w:t xml:space="preserve"> </w:t>
      </w:r>
      <w:r>
        <w:rPr>
          <w:sz w:val="22"/>
          <w:szCs w:val="22"/>
        </w:rPr>
        <w:t>capacity</w:t>
      </w:r>
      <w:r w:rsidRPr="00AB5933">
        <w:rPr>
          <w:sz w:val="22"/>
          <w:szCs w:val="22"/>
        </w:rPr>
        <w:t xml:space="preserve"> considerations.</w:t>
      </w:r>
    </w:p>
    <w:p w14:paraId="746F713D" w14:textId="5A7B18B8" w:rsidR="000400A7" w:rsidRDefault="00154900" w:rsidP="00154900">
      <w:pPr>
        <w:pBdr>
          <w:top w:val="nil"/>
          <w:left w:val="nil"/>
          <w:bottom w:val="nil"/>
          <w:right w:val="nil"/>
          <w:between w:val="nil"/>
        </w:pBdr>
        <w:tabs>
          <w:tab w:val="left" w:pos="504"/>
        </w:tabs>
        <w:spacing w:line="240" w:lineRule="auto"/>
        <w:ind w:left="0" w:hanging="2"/>
        <w:jc w:val="center"/>
        <w:rPr>
          <w:b/>
          <w:i/>
          <w:color w:val="000000"/>
          <w:sz w:val="22"/>
          <w:szCs w:val="22"/>
        </w:rPr>
      </w:pPr>
      <w:r>
        <w:rPr>
          <w:b/>
          <w:i/>
          <w:noProof/>
          <w:color w:val="000000"/>
          <w:sz w:val="22"/>
          <w:szCs w:val="22"/>
        </w:rPr>
        <w:lastRenderedPageBreak/>
        <w:drawing>
          <wp:inline distT="0" distB="0" distL="0" distR="0" wp14:anchorId="35E29948" wp14:editId="47ABC12D">
            <wp:extent cx="5179446" cy="2042160"/>
            <wp:effectExtent l="0" t="0" r="2540" b="0"/>
            <wp:docPr id="15139846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3061"/>
                    <a:stretch/>
                  </pic:blipFill>
                  <pic:spPr bwMode="auto">
                    <a:xfrm>
                      <a:off x="0" y="0"/>
                      <a:ext cx="5191070" cy="2046743"/>
                    </a:xfrm>
                    <a:prstGeom prst="rect">
                      <a:avLst/>
                    </a:prstGeom>
                    <a:noFill/>
                    <a:ln>
                      <a:noFill/>
                    </a:ln>
                    <a:extLst>
                      <a:ext uri="{53640926-AAD7-44D8-BBD7-CCE9431645EC}">
                        <a14:shadowObscured xmlns:a14="http://schemas.microsoft.com/office/drawing/2010/main"/>
                      </a:ext>
                    </a:extLst>
                  </pic:spPr>
                </pic:pic>
              </a:graphicData>
            </a:graphic>
          </wp:inline>
        </w:drawing>
      </w:r>
    </w:p>
    <w:p w14:paraId="6ABC6348" w14:textId="10A67EF6" w:rsidR="000400A7" w:rsidRDefault="000400A7" w:rsidP="00735B0E">
      <w:pPr>
        <w:pBdr>
          <w:top w:val="nil"/>
          <w:left w:val="nil"/>
          <w:bottom w:val="nil"/>
          <w:right w:val="nil"/>
          <w:between w:val="nil"/>
        </w:pBdr>
        <w:tabs>
          <w:tab w:val="left" w:pos="504"/>
        </w:tabs>
        <w:spacing w:line="240" w:lineRule="auto"/>
        <w:ind w:left="0" w:hanging="2"/>
        <w:jc w:val="center"/>
        <w:rPr>
          <w:sz w:val="22"/>
          <w:szCs w:val="22"/>
        </w:rPr>
      </w:pPr>
      <w:r>
        <w:rPr>
          <w:b/>
          <w:i/>
          <w:color w:val="000000"/>
          <w:sz w:val="22"/>
          <w:szCs w:val="22"/>
        </w:rPr>
        <w:t>Figure 1</w:t>
      </w:r>
      <w:r>
        <w:rPr>
          <w:i/>
          <w:color w:val="000000"/>
          <w:sz w:val="22"/>
          <w:szCs w:val="22"/>
        </w:rPr>
        <w:t xml:space="preserve"> </w:t>
      </w:r>
      <w:r w:rsidR="00735B0E">
        <w:rPr>
          <w:i/>
          <w:color w:val="000000"/>
          <w:sz w:val="22"/>
          <w:szCs w:val="22"/>
        </w:rPr>
        <w:t>CO</w:t>
      </w:r>
      <w:r w:rsidR="00735B0E" w:rsidRPr="00735B0E">
        <w:rPr>
          <w:i/>
          <w:color w:val="000000"/>
          <w:sz w:val="22"/>
          <w:szCs w:val="22"/>
          <w:vertAlign w:val="subscript"/>
        </w:rPr>
        <w:t>2</w:t>
      </w:r>
      <w:r w:rsidR="00735B0E">
        <w:rPr>
          <w:i/>
          <w:color w:val="000000"/>
          <w:sz w:val="22"/>
          <w:szCs w:val="22"/>
        </w:rPr>
        <w:t xml:space="preserve"> injection modeling forecast for a depleted field using two injection wells.</w:t>
      </w:r>
    </w:p>
    <w:p w14:paraId="67C1CA3F" w14:textId="77777777" w:rsidR="00706E09" w:rsidRDefault="00706E09" w:rsidP="000400A7">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44CAF02C" w14:textId="77777777" w:rsidR="000400A7" w:rsidRPr="000400A7" w:rsidRDefault="000400A7" w:rsidP="000400A7">
      <w:pPr>
        <w:pBdr>
          <w:top w:val="nil"/>
          <w:left w:val="nil"/>
          <w:bottom w:val="nil"/>
          <w:right w:val="nil"/>
          <w:between w:val="nil"/>
        </w:pBdr>
        <w:tabs>
          <w:tab w:val="left" w:pos="504"/>
        </w:tabs>
        <w:spacing w:line="240" w:lineRule="auto"/>
        <w:ind w:left="0" w:hanging="2"/>
        <w:jc w:val="both"/>
        <w:rPr>
          <w:b/>
          <w:color w:val="000000"/>
          <w:sz w:val="22"/>
          <w:szCs w:val="22"/>
        </w:rPr>
      </w:pPr>
      <w:bookmarkStart w:id="4" w:name="bookmark=id.2et92p0" w:colFirst="0" w:colLast="0"/>
      <w:bookmarkEnd w:id="4"/>
      <w:r w:rsidRPr="000400A7">
        <w:rPr>
          <w:b/>
          <w:color w:val="000000"/>
          <w:sz w:val="22"/>
          <w:szCs w:val="22"/>
        </w:rPr>
        <w:t>Implications for Project Maturation</w:t>
      </w:r>
    </w:p>
    <w:p w14:paraId="62043D88" w14:textId="77777777" w:rsidR="00B022E6" w:rsidRDefault="00B022E6" w:rsidP="00743598">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0CAF6E74" w14:textId="77777777" w:rsidR="00082EBE" w:rsidRDefault="00A77313" w:rsidP="00A77313">
      <w:pPr>
        <w:pBdr>
          <w:top w:val="nil"/>
          <w:left w:val="nil"/>
          <w:bottom w:val="nil"/>
          <w:right w:val="nil"/>
          <w:between w:val="nil"/>
        </w:pBdr>
        <w:tabs>
          <w:tab w:val="left" w:pos="504"/>
        </w:tabs>
        <w:spacing w:line="240" w:lineRule="auto"/>
        <w:ind w:left="0" w:hanging="2"/>
        <w:jc w:val="both"/>
        <w:rPr>
          <w:color w:val="000000"/>
          <w:sz w:val="22"/>
          <w:szCs w:val="22"/>
        </w:rPr>
      </w:pPr>
      <w:r w:rsidRPr="00A77313">
        <w:rPr>
          <w:color w:val="000000"/>
          <w:sz w:val="22"/>
          <w:szCs w:val="22"/>
        </w:rPr>
        <w:t>The outcomes of the subsurface modelling phase provide essential clarity on the feasibility of large</w:t>
      </w:r>
      <w:r w:rsidRPr="00A77313">
        <w:rPr>
          <w:color w:val="000000"/>
          <w:sz w:val="22"/>
          <w:szCs w:val="22"/>
        </w:rPr>
        <w:noBreakHyphen/>
        <w:t>scale CO₂ injection within Uzbekistan’s geological settings, illustrating how reservoir</w:t>
      </w:r>
      <w:r w:rsidR="00A213B1">
        <w:rPr>
          <w:color w:val="000000"/>
          <w:sz w:val="22"/>
          <w:szCs w:val="22"/>
        </w:rPr>
        <w:t>s</w:t>
      </w:r>
      <w:r w:rsidRPr="00A77313">
        <w:rPr>
          <w:color w:val="000000"/>
          <w:sz w:val="22"/>
          <w:szCs w:val="22"/>
        </w:rPr>
        <w:t xml:space="preserve"> evolve under realistic pressure and flow conditions. By simulating a wide spectrum of injection scenarios across both aquifer and depleted</w:t>
      </w:r>
      <w:r w:rsidRPr="00A77313">
        <w:rPr>
          <w:color w:val="000000"/>
          <w:sz w:val="22"/>
          <w:szCs w:val="22"/>
        </w:rPr>
        <w:noBreakHyphen/>
        <w:t xml:space="preserve">reservoir systems, the modelling confirmed that storable quantities, injectivity performance, and plume evolution are highly sensitive to pressure constraints and aquifer support, while also highlighting the stabilizing role of structural trapping in the Jurassic carbonate complexes. </w:t>
      </w:r>
    </w:p>
    <w:p w14:paraId="787C9A0F" w14:textId="77777777" w:rsidR="00082EBE" w:rsidRDefault="00082EBE" w:rsidP="00A77313">
      <w:pPr>
        <w:pBdr>
          <w:top w:val="nil"/>
          <w:left w:val="nil"/>
          <w:bottom w:val="nil"/>
          <w:right w:val="nil"/>
          <w:between w:val="nil"/>
        </w:pBdr>
        <w:tabs>
          <w:tab w:val="left" w:pos="504"/>
        </w:tabs>
        <w:spacing w:line="240" w:lineRule="auto"/>
        <w:ind w:left="0" w:hanging="2"/>
        <w:jc w:val="both"/>
        <w:rPr>
          <w:color w:val="000000"/>
          <w:sz w:val="22"/>
          <w:szCs w:val="22"/>
        </w:rPr>
      </w:pPr>
    </w:p>
    <w:p w14:paraId="784D69DF" w14:textId="718A8603" w:rsidR="00A77313" w:rsidRPr="00A77313" w:rsidRDefault="00A77313" w:rsidP="00A77313">
      <w:pPr>
        <w:pBdr>
          <w:top w:val="nil"/>
          <w:left w:val="nil"/>
          <w:bottom w:val="nil"/>
          <w:right w:val="nil"/>
          <w:between w:val="nil"/>
        </w:pBdr>
        <w:tabs>
          <w:tab w:val="left" w:pos="504"/>
        </w:tabs>
        <w:spacing w:line="240" w:lineRule="auto"/>
        <w:ind w:left="0" w:hanging="2"/>
        <w:jc w:val="both"/>
        <w:rPr>
          <w:color w:val="000000"/>
          <w:sz w:val="22"/>
          <w:szCs w:val="22"/>
        </w:rPr>
      </w:pPr>
      <w:r w:rsidRPr="00A77313">
        <w:rPr>
          <w:color w:val="000000"/>
          <w:sz w:val="22"/>
          <w:szCs w:val="22"/>
        </w:rPr>
        <w:t>These simulations</w:t>
      </w:r>
      <w:r w:rsidR="00735B0E">
        <w:rPr>
          <w:color w:val="000000"/>
          <w:sz w:val="22"/>
          <w:szCs w:val="22"/>
        </w:rPr>
        <w:t xml:space="preserve"> also</w:t>
      </w:r>
      <w:r w:rsidRPr="00A77313">
        <w:rPr>
          <w:color w:val="000000"/>
          <w:sz w:val="22"/>
          <w:szCs w:val="22"/>
        </w:rPr>
        <w:t xml:space="preserve"> allowed preliminary development concepts</w:t>
      </w:r>
      <w:r w:rsidR="00082EBE">
        <w:rPr>
          <w:color w:val="000000"/>
          <w:sz w:val="22"/>
          <w:szCs w:val="22"/>
        </w:rPr>
        <w:t xml:space="preserve"> </w:t>
      </w:r>
      <w:r w:rsidRPr="00A77313">
        <w:rPr>
          <w:color w:val="000000"/>
          <w:sz w:val="22"/>
          <w:szCs w:val="22"/>
        </w:rPr>
        <w:t>including anticipated plateau rates, number and placement of injection wells, and long</w:t>
      </w:r>
      <w:r w:rsidRPr="00A77313">
        <w:rPr>
          <w:color w:val="000000"/>
          <w:sz w:val="22"/>
          <w:szCs w:val="22"/>
        </w:rPr>
        <w:noBreakHyphen/>
        <w:t>term shut</w:t>
      </w:r>
      <w:r w:rsidRPr="00A77313">
        <w:rPr>
          <w:color w:val="000000"/>
          <w:sz w:val="22"/>
          <w:szCs w:val="22"/>
        </w:rPr>
        <w:noBreakHyphen/>
        <w:t xml:space="preserve">in </w:t>
      </w:r>
      <w:proofErr w:type="spellStart"/>
      <w:r w:rsidRPr="00A77313">
        <w:rPr>
          <w:color w:val="000000"/>
          <w:sz w:val="22"/>
          <w:szCs w:val="22"/>
        </w:rPr>
        <w:t>behaviour</w:t>
      </w:r>
      <w:proofErr w:type="spellEnd"/>
      <w:r w:rsidR="00082EBE">
        <w:rPr>
          <w:color w:val="000000"/>
          <w:sz w:val="22"/>
          <w:szCs w:val="22"/>
        </w:rPr>
        <w:t xml:space="preserve"> </w:t>
      </w:r>
      <w:r w:rsidRPr="00A77313">
        <w:rPr>
          <w:color w:val="000000"/>
          <w:sz w:val="22"/>
          <w:szCs w:val="22"/>
        </w:rPr>
        <w:t xml:space="preserve">to be evaluated in a quantitative framework, offering early insight into operational envelopes and potential design limitations. </w:t>
      </w:r>
      <w:r w:rsidR="00082EBE" w:rsidRPr="00082EBE">
        <w:rPr>
          <w:color w:val="000000"/>
          <w:sz w:val="22"/>
          <w:szCs w:val="22"/>
        </w:rPr>
        <w:t xml:space="preserve">As most mature reservoirs in the region are depleted, the </w:t>
      </w:r>
      <w:r w:rsidR="00082EBE">
        <w:rPr>
          <w:color w:val="000000"/>
          <w:sz w:val="22"/>
          <w:szCs w:val="22"/>
        </w:rPr>
        <w:t>enhanced oil recovery (EOR)</w:t>
      </w:r>
      <w:r w:rsidR="00082EBE" w:rsidRPr="00082EBE">
        <w:rPr>
          <w:color w:val="000000"/>
          <w:sz w:val="22"/>
          <w:szCs w:val="22"/>
        </w:rPr>
        <w:t xml:space="preserve"> option offers an opportunity to stabilize the pressure regime during injection and enable concurrent CO₂ storage, enhancing overall system performance. By leveraging remaining reservoir capacity in this way, EOR can serve as a practical accelerator for CCS deployment, improving project economics</w:t>
      </w:r>
      <w:r w:rsidR="00082EBE">
        <w:rPr>
          <w:color w:val="000000"/>
          <w:sz w:val="22"/>
          <w:szCs w:val="22"/>
        </w:rPr>
        <w:t>.</w:t>
      </w:r>
    </w:p>
    <w:p w14:paraId="5E9CD6FB" w14:textId="77777777" w:rsidR="00A77313" w:rsidRDefault="00A77313" w:rsidP="00A77313">
      <w:pPr>
        <w:pBdr>
          <w:top w:val="nil"/>
          <w:left w:val="nil"/>
          <w:bottom w:val="nil"/>
          <w:right w:val="nil"/>
          <w:between w:val="nil"/>
        </w:pBdr>
        <w:tabs>
          <w:tab w:val="left" w:pos="504"/>
        </w:tabs>
        <w:spacing w:line="240" w:lineRule="auto"/>
        <w:ind w:left="0" w:hanging="2"/>
        <w:jc w:val="both"/>
        <w:rPr>
          <w:sz w:val="22"/>
          <w:szCs w:val="22"/>
        </w:rPr>
      </w:pPr>
    </w:p>
    <w:p w14:paraId="090DF30F" w14:textId="23B0F53A" w:rsidR="00A77313" w:rsidRPr="003F2CAF" w:rsidRDefault="00A77313" w:rsidP="00A77313">
      <w:pPr>
        <w:pBdr>
          <w:top w:val="nil"/>
          <w:left w:val="nil"/>
          <w:bottom w:val="nil"/>
          <w:right w:val="nil"/>
          <w:between w:val="nil"/>
        </w:pBdr>
        <w:tabs>
          <w:tab w:val="left" w:pos="504"/>
        </w:tabs>
        <w:spacing w:line="240" w:lineRule="auto"/>
        <w:ind w:left="0" w:hanging="2"/>
        <w:jc w:val="both"/>
        <w:rPr>
          <w:sz w:val="22"/>
          <w:szCs w:val="22"/>
        </w:rPr>
      </w:pPr>
      <w:r w:rsidRPr="003F2CAF">
        <w:rPr>
          <w:sz w:val="22"/>
          <w:szCs w:val="22"/>
        </w:rPr>
        <w:t xml:space="preserve">The </w:t>
      </w:r>
      <w:r>
        <w:rPr>
          <w:sz w:val="22"/>
          <w:szCs w:val="22"/>
        </w:rPr>
        <w:t>main</w:t>
      </w:r>
      <w:r w:rsidRPr="003F2CAF">
        <w:rPr>
          <w:sz w:val="22"/>
          <w:szCs w:val="22"/>
        </w:rPr>
        <w:t xml:space="preserve"> risks</w:t>
      </w:r>
      <w:r w:rsidR="00940B14">
        <w:rPr>
          <w:sz w:val="22"/>
          <w:szCs w:val="22"/>
        </w:rPr>
        <w:t xml:space="preserve"> related to storage</w:t>
      </w:r>
      <w:r w:rsidRPr="003F2CAF">
        <w:rPr>
          <w:sz w:val="22"/>
          <w:szCs w:val="22"/>
        </w:rPr>
        <w:t xml:space="preserve"> arise from limited seismic resolution and fault</w:t>
      </w:r>
      <w:r w:rsidRPr="003F2CAF">
        <w:rPr>
          <w:sz w:val="22"/>
          <w:szCs w:val="22"/>
        </w:rPr>
        <w:noBreakHyphen/>
        <w:t>seal characterization, incomplete pressure and fluid data in both aquifer and depleted reservoirs, heterogeneous reservoir properties, uncertain aquifer connectivity and extent, and the presence of numerous legacy wells whose integrity must be verified to ensure long</w:t>
      </w:r>
      <w:r w:rsidRPr="003F2CAF">
        <w:rPr>
          <w:sz w:val="22"/>
          <w:szCs w:val="22"/>
        </w:rPr>
        <w:noBreakHyphen/>
        <w:t>term CO₂ containment.</w:t>
      </w:r>
    </w:p>
    <w:p w14:paraId="735C10EA" w14:textId="77777777" w:rsidR="00B022E6" w:rsidRDefault="00B022E6" w:rsidP="00587ECA">
      <w:pPr>
        <w:pBdr>
          <w:top w:val="nil"/>
          <w:left w:val="nil"/>
          <w:bottom w:val="nil"/>
          <w:right w:val="nil"/>
          <w:between w:val="nil"/>
        </w:pBdr>
        <w:tabs>
          <w:tab w:val="left" w:pos="504"/>
        </w:tabs>
        <w:spacing w:line="240" w:lineRule="auto"/>
        <w:ind w:leftChars="0" w:left="0" w:firstLineChars="0" w:firstLine="0"/>
        <w:rPr>
          <w:b/>
          <w:color w:val="000000"/>
          <w:sz w:val="22"/>
          <w:szCs w:val="22"/>
        </w:rPr>
      </w:pPr>
      <w:bookmarkStart w:id="5" w:name="_heading=h.1t3h5sf" w:colFirst="0" w:colLast="0"/>
      <w:bookmarkEnd w:id="5"/>
    </w:p>
    <w:p w14:paraId="2E01D90B"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bookmarkStart w:id="6" w:name="bookmark=id.4d34og8" w:colFirst="0" w:colLast="0"/>
      <w:bookmarkEnd w:id="6"/>
      <w:r>
        <w:rPr>
          <w:b/>
          <w:color w:val="000000"/>
          <w:sz w:val="22"/>
          <w:szCs w:val="22"/>
        </w:rPr>
        <w:t>Conclusions</w:t>
      </w:r>
      <w:bookmarkStart w:id="7" w:name="bookmark=id.2s8eyo1" w:colFirst="0" w:colLast="0"/>
      <w:bookmarkEnd w:id="7"/>
    </w:p>
    <w:p w14:paraId="17F0548A"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58EB2DCD" w14:textId="189D67FD" w:rsidR="00B022E6" w:rsidRPr="00587ECA" w:rsidRDefault="00C60416" w:rsidP="00587ECA">
      <w:pPr>
        <w:pBdr>
          <w:top w:val="nil"/>
          <w:left w:val="nil"/>
          <w:bottom w:val="nil"/>
          <w:right w:val="nil"/>
          <w:between w:val="nil"/>
        </w:pBdr>
        <w:tabs>
          <w:tab w:val="left" w:pos="504"/>
        </w:tabs>
        <w:spacing w:line="240" w:lineRule="auto"/>
        <w:ind w:left="0" w:hanging="2"/>
        <w:jc w:val="both"/>
        <w:rPr>
          <w:sz w:val="22"/>
          <w:szCs w:val="22"/>
        </w:rPr>
      </w:pPr>
      <w:r w:rsidRPr="00C60416">
        <w:rPr>
          <w:sz w:val="22"/>
          <w:szCs w:val="22"/>
        </w:rPr>
        <w:t>Overall, the integration of regional geological understanding, structured screening and ranking methodologies, and targeted subsurface modelling provides a coherent basis for identifying and maturing CO₂ storage opportunities in Uzbekistan. The work demonstrates that the Amu</w:t>
      </w:r>
      <w:r w:rsidR="00735B0E">
        <w:rPr>
          <w:sz w:val="22"/>
          <w:szCs w:val="22"/>
        </w:rPr>
        <w:t xml:space="preserve"> </w:t>
      </w:r>
      <w:r w:rsidRPr="00C60416">
        <w:rPr>
          <w:sz w:val="22"/>
          <w:szCs w:val="22"/>
        </w:rPr>
        <w:t>Darya Basin contains several formations</w:t>
      </w:r>
      <w:r w:rsidR="0099710B">
        <w:rPr>
          <w:sz w:val="22"/>
          <w:szCs w:val="22"/>
        </w:rPr>
        <w:t xml:space="preserve"> - </w:t>
      </w:r>
      <w:r w:rsidRPr="00C60416">
        <w:rPr>
          <w:sz w:val="22"/>
          <w:szCs w:val="22"/>
        </w:rPr>
        <w:t xml:space="preserve">both </w:t>
      </w:r>
      <w:r w:rsidR="00735B0E">
        <w:rPr>
          <w:sz w:val="22"/>
          <w:szCs w:val="22"/>
        </w:rPr>
        <w:t>with</w:t>
      </w:r>
      <w:r w:rsidRPr="00C60416">
        <w:rPr>
          <w:sz w:val="22"/>
          <w:szCs w:val="22"/>
        </w:rPr>
        <w:t>in depleted reservoirs and deep saline aquifers</w:t>
      </w:r>
      <w:r w:rsidR="0099710B">
        <w:rPr>
          <w:sz w:val="22"/>
          <w:szCs w:val="22"/>
        </w:rPr>
        <w:t xml:space="preserve"> - </w:t>
      </w:r>
      <w:r w:rsidRPr="00C60416">
        <w:rPr>
          <w:sz w:val="22"/>
          <w:szCs w:val="22"/>
        </w:rPr>
        <w:t>that satisfy key geological requirements for long</w:t>
      </w:r>
      <w:r w:rsidRPr="00C60416">
        <w:rPr>
          <w:sz w:val="22"/>
          <w:szCs w:val="22"/>
        </w:rPr>
        <w:noBreakHyphen/>
        <w:t xml:space="preserve">term storage, supported by </w:t>
      </w:r>
      <w:proofErr w:type="spellStart"/>
      <w:r w:rsidRPr="00C60416">
        <w:rPr>
          <w:sz w:val="22"/>
          <w:szCs w:val="22"/>
        </w:rPr>
        <w:t>favourable</w:t>
      </w:r>
      <w:proofErr w:type="spellEnd"/>
      <w:r w:rsidRPr="00C60416">
        <w:rPr>
          <w:sz w:val="22"/>
          <w:szCs w:val="22"/>
        </w:rPr>
        <w:t xml:space="preserve"> depth conditions, </w:t>
      </w:r>
      <w:r w:rsidR="00AD4876">
        <w:rPr>
          <w:sz w:val="22"/>
          <w:szCs w:val="22"/>
        </w:rPr>
        <w:t>suitable</w:t>
      </w:r>
      <w:r w:rsidRPr="00C60416">
        <w:rPr>
          <w:sz w:val="22"/>
          <w:szCs w:val="22"/>
        </w:rPr>
        <w:t xml:space="preserve"> seals, and reservoir properties conducive to injectivity. At the same time, the stud</w:t>
      </w:r>
      <w:r w:rsidR="00AD4876">
        <w:rPr>
          <w:sz w:val="22"/>
          <w:szCs w:val="22"/>
        </w:rPr>
        <w:t>y</w:t>
      </w:r>
      <w:r w:rsidRPr="00C60416">
        <w:rPr>
          <w:sz w:val="22"/>
          <w:szCs w:val="22"/>
        </w:rPr>
        <w:t xml:space="preserve"> emphasize</w:t>
      </w:r>
      <w:r w:rsidR="00AD4876">
        <w:rPr>
          <w:sz w:val="22"/>
          <w:szCs w:val="22"/>
        </w:rPr>
        <w:t>s</w:t>
      </w:r>
      <w:r w:rsidRPr="00C60416">
        <w:rPr>
          <w:sz w:val="22"/>
          <w:szCs w:val="22"/>
        </w:rPr>
        <w:t xml:space="preserve"> that successful CCS deployment will depend on reducing critical uncertainties, all of which require additional data acquisition and geomechanical evaluation before moving to field</w:t>
      </w:r>
      <w:r w:rsidRPr="00C60416">
        <w:rPr>
          <w:sz w:val="22"/>
          <w:szCs w:val="22"/>
        </w:rPr>
        <w:noBreakHyphen/>
        <w:t>scale appraisal.</w:t>
      </w:r>
    </w:p>
    <w:p w14:paraId="796080BA"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bookmarkStart w:id="8" w:name="bookmark=id.3rdcrjn" w:colFirst="0" w:colLast="0"/>
      <w:bookmarkStart w:id="9" w:name="_heading=h.gjdgxs" w:colFirst="0" w:colLast="0"/>
      <w:bookmarkEnd w:id="8"/>
      <w:bookmarkEnd w:id="9"/>
    </w:p>
    <w:p w14:paraId="063750A4"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131D5ACE" w14:textId="77777777" w:rsidR="00B022E6" w:rsidRDefault="00B022E6">
      <w:pPr>
        <w:ind w:left="0" w:hanging="2"/>
        <w:rPr>
          <w:sz w:val="22"/>
          <w:szCs w:val="22"/>
        </w:rPr>
      </w:pPr>
    </w:p>
    <w:p w14:paraId="5EEF9085" w14:textId="6EBE4CF8" w:rsidR="00423D57" w:rsidRPr="00423D57" w:rsidRDefault="00423D57" w:rsidP="00423D57">
      <w:pPr>
        <w:ind w:left="0" w:hanging="2"/>
        <w:jc w:val="both"/>
        <w:rPr>
          <w:sz w:val="22"/>
          <w:szCs w:val="22"/>
        </w:rPr>
      </w:pPr>
      <w:r w:rsidRPr="00423D57">
        <w:rPr>
          <w:sz w:val="22"/>
          <w:szCs w:val="22"/>
        </w:rPr>
        <w:t>1. Petroleum Geology and Resources of the Amu-Darya Basin, Turkmenistan, Uzbekistan,</w:t>
      </w:r>
      <w:r>
        <w:rPr>
          <w:sz w:val="22"/>
          <w:szCs w:val="22"/>
        </w:rPr>
        <w:t xml:space="preserve"> </w:t>
      </w:r>
      <w:r w:rsidRPr="00423D57">
        <w:rPr>
          <w:sz w:val="22"/>
          <w:szCs w:val="22"/>
        </w:rPr>
        <w:t xml:space="preserve">Afghanistan, and Iran. By Gregory F. </w:t>
      </w:r>
      <w:proofErr w:type="spellStart"/>
      <w:r w:rsidRPr="00423D57">
        <w:rPr>
          <w:sz w:val="22"/>
          <w:szCs w:val="22"/>
        </w:rPr>
        <w:t>Ulmishek</w:t>
      </w:r>
      <w:proofErr w:type="spellEnd"/>
      <w:r>
        <w:rPr>
          <w:sz w:val="22"/>
          <w:szCs w:val="22"/>
        </w:rPr>
        <w:t xml:space="preserve"> </w:t>
      </w:r>
      <w:r w:rsidRPr="00423D57">
        <w:rPr>
          <w:sz w:val="22"/>
          <w:szCs w:val="22"/>
        </w:rPr>
        <w:t>U.S. Geological Survey Bulletin 2201–H</w:t>
      </w:r>
      <w:r>
        <w:rPr>
          <w:sz w:val="22"/>
          <w:szCs w:val="22"/>
        </w:rPr>
        <w:t>.</w:t>
      </w:r>
    </w:p>
    <w:p w14:paraId="2960C22B" w14:textId="33FC3D09" w:rsidR="00423D57" w:rsidRPr="00423D57" w:rsidRDefault="00423D57" w:rsidP="00423D57">
      <w:pPr>
        <w:ind w:left="0" w:hanging="2"/>
        <w:jc w:val="both"/>
        <w:rPr>
          <w:sz w:val="22"/>
          <w:szCs w:val="22"/>
        </w:rPr>
      </w:pPr>
      <w:r w:rsidRPr="00423D57">
        <w:rPr>
          <w:sz w:val="22"/>
          <w:szCs w:val="22"/>
        </w:rPr>
        <w:lastRenderedPageBreak/>
        <w:t xml:space="preserve">2. Late </w:t>
      </w:r>
      <w:proofErr w:type="spellStart"/>
      <w:r w:rsidRPr="00423D57">
        <w:rPr>
          <w:sz w:val="22"/>
          <w:szCs w:val="22"/>
        </w:rPr>
        <w:t>Palaeozoic</w:t>
      </w:r>
      <w:proofErr w:type="spellEnd"/>
      <w:r w:rsidRPr="00423D57">
        <w:rPr>
          <w:sz w:val="22"/>
          <w:szCs w:val="22"/>
        </w:rPr>
        <w:t xml:space="preserve"> and Mesozoic evolution of the Amu Darya Basin (Turkmenistan, Uzbekistan) M</w:t>
      </w:r>
      <w:r>
        <w:rPr>
          <w:sz w:val="22"/>
          <w:szCs w:val="22"/>
        </w:rPr>
        <w:t>arie</w:t>
      </w:r>
      <w:r w:rsidRPr="00423D57">
        <w:rPr>
          <w:sz w:val="22"/>
          <w:szCs w:val="22"/>
        </w:rPr>
        <w:t>-</w:t>
      </w:r>
      <w:proofErr w:type="spellStart"/>
      <w:r w:rsidRPr="00423D57">
        <w:rPr>
          <w:sz w:val="22"/>
          <w:szCs w:val="22"/>
        </w:rPr>
        <w:t>F</w:t>
      </w:r>
      <w:r>
        <w:rPr>
          <w:sz w:val="22"/>
          <w:szCs w:val="22"/>
        </w:rPr>
        <w:t>rancouse</w:t>
      </w:r>
      <w:proofErr w:type="spellEnd"/>
      <w:r w:rsidRPr="00423D57">
        <w:rPr>
          <w:sz w:val="22"/>
          <w:szCs w:val="22"/>
        </w:rPr>
        <w:t xml:space="preserve"> </w:t>
      </w:r>
      <w:proofErr w:type="spellStart"/>
      <w:r w:rsidRPr="00423D57">
        <w:rPr>
          <w:sz w:val="22"/>
          <w:szCs w:val="22"/>
        </w:rPr>
        <w:t>B</w:t>
      </w:r>
      <w:r>
        <w:rPr>
          <w:sz w:val="22"/>
          <w:szCs w:val="22"/>
        </w:rPr>
        <w:t>runeti</w:t>
      </w:r>
      <w:proofErr w:type="spellEnd"/>
      <w:r w:rsidRPr="00423D57">
        <w:rPr>
          <w:sz w:val="22"/>
          <w:szCs w:val="22"/>
        </w:rPr>
        <w:t xml:space="preserve"> </w:t>
      </w:r>
      <w:r>
        <w:rPr>
          <w:sz w:val="22"/>
          <w:szCs w:val="22"/>
        </w:rPr>
        <w:t>et al.</w:t>
      </w:r>
      <w:r w:rsidRPr="00423D57">
        <w:rPr>
          <w:sz w:val="22"/>
          <w:szCs w:val="22"/>
        </w:rPr>
        <w:t xml:space="preserve"> Geological Evolution of Central Asian Basins and the Western Tien Shan Range. Geological Society, London, Special Publications, 427.</w:t>
      </w:r>
    </w:p>
    <w:p w14:paraId="3E172F5C" w14:textId="77777777" w:rsidR="00423D57" w:rsidRDefault="00423D57">
      <w:pPr>
        <w:ind w:left="0" w:hanging="2"/>
        <w:jc w:val="both"/>
        <w:rPr>
          <w:sz w:val="22"/>
          <w:szCs w:val="22"/>
        </w:rPr>
      </w:pPr>
    </w:p>
    <w:p w14:paraId="4455EB66" w14:textId="685D79E7" w:rsidR="00B022E6" w:rsidRDefault="00B022E6">
      <w:pPr>
        <w:ind w:left="0" w:hanging="2"/>
      </w:pPr>
    </w:p>
    <w:sectPr w:rsidR="00B022E6">
      <w:headerReference w:type="even" r:id="rId9"/>
      <w:headerReference w:type="default" r:id="rId10"/>
      <w:footerReference w:type="even" r:id="rId11"/>
      <w:footerReference w:type="default" r:id="rId12"/>
      <w:headerReference w:type="first" r:id="rId13"/>
      <w:footerReference w:type="first" r:id="rId14"/>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7E3F8" w14:textId="77777777" w:rsidR="00B04D53" w:rsidRDefault="00B04D53">
      <w:pPr>
        <w:spacing w:line="240" w:lineRule="auto"/>
        <w:ind w:left="0" w:hanging="2"/>
      </w:pPr>
      <w:r>
        <w:separator/>
      </w:r>
    </w:p>
  </w:endnote>
  <w:endnote w:type="continuationSeparator" w:id="0">
    <w:p w14:paraId="79B7ABD8" w14:textId="77777777" w:rsidR="00B04D53" w:rsidRDefault="00B04D5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46FA35E0"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34F570EE"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318ACD5F"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635EE" w14:textId="77777777" w:rsidR="00B04D53" w:rsidRDefault="00B04D53">
      <w:pPr>
        <w:spacing w:line="240" w:lineRule="auto"/>
        <w:ind w:left="0" w:hanging="2"/>
      </w:pPr>
      <w:r>
        <w:separator/>
      </w:r>
    </w:p>
  </w:footnote>
  <w:footnote w:type="continuationSeparator" w:id="0">
    <w:p w14:paraId="60FD5454" w14:textId="77777777" w:rsidR="00B04D53" w:rsidRDefault="00B04D5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000000">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9264"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Default="00762C72">
    <w:pPr>
      <w:tabs>
        <w:tab w:val="center" w:pos="4703"/>
        <w:tab w:val="right" w:pos="9406"/>
      </w:tabs>
      <w:ind w:left="0" w:hanging="2"/>
      <w:jc w:val="right"/>
      <w:rPr>
        <w:color w:val="000000"/>
        <w:sz w:val="12"/>
        <w:szCs w:val="12"/>
      </w:rPr>
    </w:pPr>
    <w:r>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000000">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3F760C0"/>
    <w:multiLevelType w:val="multilevel"/>
    <w:tmpl w:val="C44E9E0C"/>
    <w:lvl w:ilvl="0">
      <w:start w:val="1"/>
      <w:numFmt w:val="bullet"/>
      <w:pStyle w:val="List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1D54A84"/>
    <w:multiLevelType w:val="multilevel"/>
    <w:tmpl w:val="DC1C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868990">
    <w:abstractNumId w:val="2"/>
  </w:num>
  <w:num w:numId="2" w16cid:durableId="207305906">
    <w:abstractNumId w:val="1"/>
  </w:num>
  <w:num w:numId="3" w16cid:durableId="1183470590">
    <w:abstractNumId w:val="0"/>
  </w:num>
  <w:num w:numId="4" w16cid:durableId="1436176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0400A7"/>
    <w:rsid w:val="00041709"/>
    <w:rsid w:val="00047A22"/>
    <w:rsid w:val="00070D13"/>
    <w:rsid w:val="00080FBD"/>
    <w:rsid w:val="00082EBE"/>
    <w:rsid w:val="000C4E52"/>
    <w:rsid w:val="00110F42"/>
    <w:rsid w:val="00154900"/>
    <w:rsid w:val="00157344"/>
    <w:rsid w:val="001D4DE7"/>
    <w:rsid w:val="002052C9"/>
    <w:rsid w:val="0020579F"/>
    <w:rsid w:val="002359C4"/>
    <w:rsid w:val="002B5312"/>
    <w:rsid w:val="002D2AC8"/>
    <w:rsid w:val="002D692D"/>
    <w:rsid w:val="002D78A8"/>
    <w:rsid w:val="002F7BCD"/>
    <w:rsid w:val="00312917"/>
    <w:rsid w:val="003562F6"/>
    <w:rsid w:val="003F2CAF"/>
    <w:rsid w:val="00416B60"/>
    <w:rsid w:val="00423D57"/>
    <w:rsid w:val="0045713B"/>
    <w:rsid w:val="004B5DD0"/>
    <w:rsid w:val="004F721E"/>
    <w:rsid w:val="00503230"/>
    <w:rsid w:val="00507E9E"/>
    <w:rsid w:val="005409F9"/>
    <w:rsid w:val="00563CC5"/>
    <w:rsid w:val="00584DF1"/>
    <w:rsid w:val="00587ECA"/>
    <w:rsid w:val="005B3F86"/>
    <w:rsid w:val="005C3F0A"/>
    <w:rsid w:val="005D421B"/>
    <w:rsid w:val="005E1B16"/>
    <w:rsid w:val="00613FD1"/>
    <w:rsid w:val="00616D85"/>
    <w:rsid w:val="006800F9"/>
    <w:rsid w:val="00685E4C"/>
    <w:rsid w:val="006D3978"/>
    <w:rsid w:val="00706E09"/>
    <w:rsid w:val="007122C7"/>
    <w:rsid w:val="007150B1"/>
    <w:rsid w:val="00735B0E"/>
    <w:rsid w:val="00743598"/>
    <w:rsid w:val="00743E6F"/>
    <w:rsid w:val="00745E5B"/>
    <w:rsid w:val="00762C72"/>
    <w:rsid w:val="008101FC"/>
    <w:rsid w:val="00820B41"/>
    <w:rsid w:val="00823A02"/>
    <w:rsid w:val="00835E84"/>
    <w:rsid w:val="008921AE"/>
    <w:rsid w:val="008954D9"/>
    <w:rsid w:val="009157E9"/>
    <w:rsid w:val="00917AF8"/>
    <w:rsid w:val="00940B14"/>
    <w:rsid w:val="0094179F"/>
    <w:rsid w:val="009553E0"/>
    <w:rsid w:val="00965FC4"/>
    <w:rsid w:val="0096635D"/>
    <w:rsid w:val="00973D4B"/>
    <w:rsid w:val="00996CB5"/>
    <w:rsid w:val="0099710B"/>
    <w:rsid w:val="00A00482"/>
    <w:rsid w:val="00A213B1"/>
    <w:rsid w:val="00A77313"/>
    <w:rsid w:val="00AB13CB"/>
    <w:rsid w:val="00AB5933"/>
    <w:rsid w:val="00AD4876"/>
    <w:rsid w:val="00B022E6"/>
    <w:rsid w:val="00B04D53"/>
    <w:rsid w:val="00B92241"/>
    <w:rsid w:val="00C60416"/>
    <w:rsid w:val="00CA35F0"/>
    <w:rsid w:val="00D06551"/>
    <w:rsid w:val="00D20967"/>
    <w:rsid w:val="00D2724D"/>
    <w:rsid w:val="00D3631F"/>
    <w:rsid w:val="00D406FE"/>
    <w:rsid w:val="00DB1F74"/>
    <w:rsid w:val="00DB78DF"/>
    <w:rsid w:val="00DC3529"/>
    <w:rsid w:val="00E23CB9"/>
    <w:rsid w:val="00E318A5"/>
    <w:rsid w:val="00E8322F"/>
    <w:rsid w:val="00EE7E09"/>
    <w:rsid w:val="00EF5BC5"/>
    <w:rsid w:val="00F614AE"/>
    <w:rsid w:val="00F6436A"/>
    <w:rsid w:val="00F70A4E"/>
    <w:rsid w:val="00F8032B"/>
    <w:rsid w:val="00F9273A"/>
    <w:rsid w:val="00FA7B46"/>
    <w:rsid w:val="00FB001A"/>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94D"/>
  <w15:docId w15:val="{EC629850-2971-B244-A386-C029A59D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3C5A"/>
    <w:rPr>
      <w:color w:val="605E5C"/>
      <w:shd w:val="clear" w:color="auto" w:fill="E1DFDD"/>
    </w:rPr>
  </w:style>
  <w:style w:type="paragraph" w:styleId="ListParagraph">
    <w:name w:val="List Paragraph"/>
    <w:basedOn w:val="Normal"/>
    <w:uiPriority w:val="34"/>
    <w:qFormat/>
    <w:rsid w:val="00DB7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2308">
      <w:bodyDiv w:val="1"/>
      <w:marLeft w:val="0"/>
      <w:marRight w:val="0"/>
      <w:marTop w:val="0"/>
      <w:marBottom w:val="0"/>
      <w:divBdr>
        <w:top w:val="none" w:sz="0" w:space="0" w:color="auto"/>
        <w:left w:val="none" w:sz="0" w:space="0" w:color="auto"/>
        <w:bottom w:val="none" w:sz="0" w:space="0" w:color="auto"/>
        <w:right w:val="none" w:sz="0" w:space="0" w:color="auto"/>
      </w:divBdr>
      <w:divsChild>
        <w:div w:id="849679668">
          <w:marLeft w:val="0"/>
          <w:marRight w:val="0"/>
          <w:marTop w:val="0"/>
          <w:marBottom w:val="0"/>
          <w:divBdr>
            <w:top w:val="none" w:sz="0" w:space="0" w:color="auto"/>
            <w:left w:val="none" w:sz="0" w:space="0" w:color="auto"/>
            <w:bottom w:val="none" w:sz="0" w:space="0" w:color="auto"/>
            <w:right w:val="none" w:sz="0" w:space="0" w:color="auto"/>
          </w:divBdr>
        </w:div>
      </w:divsChild>
    </w:div>
    <w:div w:id="91123113">
      <w:bodyDiv w:val="1"/>
      <w:marLeft w:val="0"/>
      <w:marRight w:val="0"/>
      <w:marTop w:val="0"/>
      <w:marBottom w:val="0"/>
      <w:divBdr>
        <w:top w:val="none" w:sz="0" w:space="0" w:color="auto"/>
        <w:left w:val="none" w:sz="0" w:space="0" w:color="auto"/>
        <w:bottom w:val="none" w:sz="0" w:space="0" w:color="auto"/>
        <w:right w:val="none" w:sz="0" w:space="0" w:color="auto"/>
      </w:divBdr>
      <w:divsChild>
        <w:div w:id="1292980974">
          <w:marLeft w:val="0"/>
          <w:marRight w:val="0"/>
          <w:marTop w:val="0"/>
          <w:marBottom w:val="0"/>
          <w:divBdr>
            <w:top w:val="none" w:sz="0" w:space="0" w:color="auto"/>
            <w:left w:val="none" w:sz="0" w:space="0" w:color="auto"/>
            <w:bottom w:val="none" w:sz="0" w:space="0" w:color="auto"/>
            <w:right w:val="none" w:sz="0" w:space="0" w:color="auto"/>
          </w:divBdr>
        </w:div>
      </w:divsChild>
    </w:div>
    <w:div w:id="182474345">
      <w:bodyDiv w:val="1"/>
      <w:marLeft w:val="0"/>
      <w:marRight w:val="0"/>
      <w:marTop w:val="0"/>
      <w:marBottom w:val="0"/>
      <w:divBdr>
        <w:top w:val="none" w:sz="0" w:space="0" w:color="auto"/>
        <w:left w:val="none" w:sz="0" w:space="0" w:color="auto"/>
        <w:bottom w:val="none" w:sz="0" w:space="0" w:color="auto"/>
        <w:right w:val="none" w:sz="0" w:space="0" w:color="auto"/>
      </w:divBdr>
      <w:divsChild>
        <w:div w:id="158815075">
          <w:marLeft w:val="0"/>
          <w:marRight w:val="0"/>
          <w:marTop w:val="0"/>
          <w:marBottom w:val="0"/>
          <w:divBdr>
            <w:top w:val="none" w:sz="0" w:space="0" w:color="auto"/>
            <w:left w:val="none" w:sz="0" w:space="0" w:color="auto"/>
            <w:bottom w:val="none" w:sz="0" w:space="0" w:color="auto"/>
            <w:right w:val="none" w:sz="0" w:space="0" w:color="auto"/>
          </w:divBdr>
        </w:div>
      </w:divsChild>
    </w:div>
    <w:div w:id="328293522">
      <w:bodyDiv w:val="1"/>
      <w:marLeft w:val="0"/>
      <w:marRight w:val="0"/>
      <w:marTop w:val="0"/>
      <w:marBottom w:val="0"/>
      <w:divBdr>
        <w:top w:val="none" w:sz="0" w:space="0" w:color="auto"/>
        <w:left w:val="none" w:sz="0" w:space="0" w:color="auto"/>
        <w:bottom w:val="none" w:sz="0" w:space="0" w:color="auto"/>
        <w:right w:val="none" w:sz="0" w:space="0" w:color="auto"/>
      </w:divBdr>
      <w:divsChild>
        <w:div w:id="1881163785">
          <w:marLeft w:val="0"/>
          <w:marRight w:val="0"/>
          <w:marTop w:val="0"/>
          <w:marBottom w:val="0"/>
          <w:divBdr>
            <w:top w:val="none" w:sz="0" w:space="0" w:color="auto"/>
            <w:left w:val="none" w:sz="0" w:space="0" w:color="auto"/>
            <w:bottom w:val="none" w:sz="0" w:space="0" w:color="auto"/>
            <w:right w:val="none" w:sz="0" w:space="0" w:color="auto"/>
          </w:divBdr>
        </w:div>
      </w:divsChild>
    </w:div>
    <w:div w:id="391392650">
      <w:bodyDiv w:val="1"/>
      <w:marLeft w:val="0"/>
      <w:marRight w:val="0"/>
      <w:marTop w:val="0"/>
      <w:marBottom w:val="0"/>
      <w:divBdr>
        <w:top w:val="none" w:sz="0" w:space="0" w:color="auto"/>
        <w:left w:val="none" w:sz="0" w:space="0" w:color="auto"/>
        <w:bottom w:val="none" w:sz="0" w:space="0" w:color="auto"/>
        <w:right w:val="none" w:sz="0" w:space="0" w:color="auto"/>
      </w:divBdr>
      <w:divsChild>
        <w:div w:id="427969825">
          <w:marLeft w:val="0"/>
          <w:marRight w:val="0"/>
          <w:marTop w:val="0"/>
          <w:marBottom w:val="0"/>
          <w:divBdr>
            <w:top w:val="none" w:sz="0" w:space="0" w:color="auto"/>
            <w:left w:val="none" w:sz="0" w:space="0" w:color="auto"/>
            <w:bottom w:val="none" w:sz="0" w:space="0" w:color="auto"/>
            <w:right w:val="none" w:sz="0" w:space="0" w:color="auto"/>
          </w:divBdr>
        </w:div>
      </w:divsChild>
    </w:div>
    <w:div w:id="396440227">
      <w:bodyDiv w:val="1"/>
      <w:marLeft w:val="0"/>
      <w:marRight w:val="0"/>
      <w:marTop w:val="0"/>
      <w:marBottom w:val="0"/>
      <w:divBdr>
        <w:top w:val="none" w:sz="0" w:space="0" w:color="auto"/>
        <w:left w:val="none" w:sz="0" w:space="0" w:color="auto"/>
        <w:bottom w:val="none" w:sz="0" w:space="0" w:color="auto"/>
        <w:right w:val="none" w:sz="0" w:space="0" w:color="auto"/>
      </w:divBdr>
      <w:divsChild>
        <w:div w:id="821310051">
          <w:marLeft w:val="0"/>
          <w:marRight w:val="0"/>
          <w:marTop w:val="0"/>
          <w:marBottom w:val="0"/>
          <w:divBdr>
            <w:top w:val="none" w:sz="0" w:space="0" w:color="auto"/>
            <w:left w:val="none" w:sz="0" w:space="0" w:color="auto"/>
            <w:bottom w:val="none" w:sz="0" w:space="0" w:color="auto"/>
            <w:right w:val="none" w:sz="0" w:space="0" w:color="auto"/>
          </w:divBdr>
        </w:div>
      </w:divsChild>
    </w:div>
    <w:div w:id="404493171">
      <w:bodyDiv w:val="1"/>
      <w:marLeft w:val="0"/>
      <w:marRight w:val="0"/>
      <w:marTop w:val="0"/>
      <w:marBottom w:val="0"/>
      <w:divBdr>
        <w:top w:val="none" w:sz="0" w:space="0" w:color="auto"/>
        <w:left w:val="none" w:sz="0" w:space="0" w:color="auto"/>
        <w:bottom w:val="none" w:sz="0" w:space="0" w:color="auto"/>
        <w:right w:val="none" w:sz="0" w:space="0" w:color="auto"/>
      </w:divBdr>
      <w:divsChild>
        <w:div w:id="992951554">
          <w:marLeft w:val="0"/>
          <w:marRight w:val="0"/>
          <w:marTop w:val="0"/>
          <w:marBottom w:val="0"/>
          <w:divBdr>
            <w:top w:val="none" w:sz="0" w:space="0" w:color="auto"/>
            <w:left w:val="none" w:sz="0" w:space="0" w:color="auto"/>
            <w:bottom w:val="none" w:sz="0" w:space="0" w:color="auto"/>
            <w:right w:val="none" w:sz="0" w:space="0" w:color="auto"/>
          </w:divBdr>
        </w:div>
      </w:divsChild>
    </w:div>
    <w:div w:id="517039490">
      <w:bodyDiv w:val="1"/>
      <w:marLeft w:val="0"/>
      <w:marRight w:val="0"/>
      <w:marTop w:val="0"/>
      <w:marBottom w:val="0"/>
      <w:divBdr>
        <w:top w:val="none" w:sz="0" w:space="0" w:color="auto"/>
        <w:left w:val="none" w:sz="0" w:space="0" w:color="auto"/>
        <w:bottom w:val="none" w:sz="0" w:space="0" w:color="auto"/>
        <w:right w:val="none" w:sz="0" w:space="0" w:color="auto"/>
      </w:divBdr>
      <w:divsChild>
        <w:div w:id="403797411">
          <w:marLeft w:val="0"/>
          <w:marRight w:val="0"/>
          <w:marTop w:val="0"/>
          <w:marBottom w:val="0"/>
          <w:divBdr>
            <w:top w:val="none" w:sz="0" w:space="0" w:color="auto"/>
            <w:left w:val="none" w:sz="0" w:space="0" w:color="auto"/>
            <w:bottom w:val="none" w:sz="0" w:space="0" w:color="auto"/>
            <w:right w:val="none" w:sz="0" w:space="0" w:color="auto"/>
          </w:divBdr>
        </w:div>
      </w:divsChild>
    </w:div>
    <w:div w:id="526062527">
      <w:bodyDiv w:val="1"/>
      <w:marLeft w:val="0"/>
      <w:marRight w:val="0"/>
      <w:marTop w:val="0"/>
      <w:marBottom w:val="0"/>
      <w:divBdr>
        <w:top w:val="none" w:sz="0" w:space="0" w:color="auto"/>
        <w:left w:val="none" w:sz="0" w:space="0" w:color="auto"/>
        <w:bottom w:val="none" w:sz="0" w:space="0" w:color="auto"/>
        <w:right w:val="none" w:sz="0" w:space="0" w:color="auto"/>
      </w:divBdr>
      <w:divsChild>
        <w:div w:id="1395741676">
          <w:marLeft w:val="0"/>
          <w:marRight w:val="0"/>
          <w:marTop w:val="0"/>
          <w:marBottom w:val="0"/>
          <w:divBdr>
            <w:top w:val="none" w:sz="0" w:space="0" w:color="auto"/>
            <w:left w:val="none" w:sz="0" w:space="0" w:color="auto"/>
            <w:bottom w:val="none" w:sz="0" w:space="0" w:color="auto"/>
            <w:right w:val="none" w:sz="0" w:space="0" w:color="auto"/>
          </w:divBdr>
        </w:div>
      </w:divsChild>
    </w:div>
    <w:div w:id="544559404">
      <w:bodyDiv w:val="1"/>
      <w:marLeft w:val="0"/>
      <w:marRight w:val="0"/>
      <w:marTop w:val="0"/>
      <w:marBottom w:val="0"/>
      <w:divBdr>
        <w:top w:val="none" w:sz="0" w:space="0" w:color="auto"/>
        <w:left w:val="none" w:sz="0" w:space="0" w:color="auto"/>
        <w:bottom w:val="none" w:sz="0" w:space="0" w:color="auto"/>
        <w:right w:val="none" w:sz="0" w:space="0" w:color="auto"/>
      </w:divBdr>
      <w:divsChild>
        <w:div w:id="1152989979">
          <w:marLeft w:val="0"/>
          <w:marRight w:val="0"/>
          <w:marTop w:val="0"/>
          <w:marBottom w:val="0"/>
          <w:divBdr>
            <w:top w:val="none" w:sz="0" w:space="0" w:color="auto"/>
            <w:left w:val="none" w:sz="0" w:space="0" w:color="auto"/>
            <w:bottom w:val="none" w:sz="0" w:space="0" w:color="auto"/>
            <w:right w:val="none" w:sz="0" w:space="0" w:color="auto"/>
          </w:divBdr>
        </w:div>
      </w:divsChild>
    </w:div>
    <w:div w:id="592665926">
      <w:bodyDiv w:val="1"/>
      <w:marLeft w:val="0"/>
      <w:marRight w:val="0"/>
      <w:marTop w:val="0"/>
      <w:marBottom w:val="0"/>
      <w:divBdr>
        <w:top w:val="none" w:sz="0" w:space="0" w:color="auto"/>
        <w:left w:val="none" w:sz="0" w:space="0" w:color="auto"/>
        <w:bottom w:val="none" w:sz="0" w:space="0" w:color="auto"/>
        <w:right w:val="none" w:sz="0" w:space="0" w:color="auto"/>
      </w:divBdr>
      <w:divsChild>
        <w:div w:id="1673793705">
          <w:marLeft w:val="0"/>
          <w:marRight w:val="0"/>
          <w:marTop w:val="0"/>
          <w:marBottom w:val="0"/>
          <w:divBdr>
            <w:top w:val="none" w:sz="0" w:space="0" w:color="auto"/>
            <w:left w:val="none" w:sz="0" w:space="0" w:color="auto"/>
            <w:bottom w:val="none" w:sz="0" w:space="0" w:color="auto"/>
            <w:right w:val="none" w:sz="0" w:space="0" w:color="auto"/>
          </w:divBdr>
        </w:div>
      </w:divsChild>
    </w:div>
    <w:div w:id="618998068">
      <w:bodyDiv w:val="1"/>
      <w:marLeft w:val="0"/>
      <w:marRight w:val="0"/>
      <w:marTop w:val="0"/>
      <w:marBottom w:val="0"/>
      <w:divBdr>
        <w:top w:val="none" w:sz="0" w:space="0" w:color="auto"/>
        <w:left w:val="none" w:sz="0" w:space="0" w:color="auto"/>
        <w:bottom w:val="none" w:sz="0" w:space="0" w:color="auto"/>
        <w:right w:val="none" w:sz="0" w:space="0" w:color="auto"/>
      </w:divBdr>
      <w:divsChild>
        <w:div w:id="491868897">
          <w:marLeft w:val="0"/>
          <w:marRight w:val="0"/>
          <w:marTop w:val="0"/>
          <w:marBottom w:val="0"/>
          <w:divBdr>
            <w:top w:val="none" w:sz="0" w:space="0" w:color="auto"/>
            <w:left w:val="none" w:sz="0" w:space="0" w:color="auto"/>
            <w:bottom w:val="none" w:sz="0" w:space="0" w:color="auto"/>
            <w:right w:val="none" w:sz="0" w:space="0" w:color="auto"/>
          </w:divBdr>
        </w:div>
      </w:divsChild>
    </w:div>
    <w:div w:id="728724966">
      <w:bodyDiv w:val="1"/>
      <w:marLeft w:val="0"/>
      <w:marRight w:val="0"/>
      <w:marTop w:val="0"/>
      <w:marBottom w:val="0"/>
      <w:divBdr>
        <w:top w:val="none" w:sz="0" w:space="0" w:color="auto"/>
        <w:left w:val="none" w:sz="0" w:space="0" w:color="auto"/>
        <w:bottom w:val="none" w:sz="0" w:space="0" w:color="auto"/>
        <w:right w:val="none" w:sz="0" w:space="0" w:color="auto"/>
      </w:divBdr>
      <w:divsChild>
        <w:div w:id="337780265">
          <w:marLeft w:val="0"/>
          <w:marRight w:val="0"/>
          <w:marTop w:val="0"/>
          <w:marBottom w:val="0"/>
          <w:divBdr>
            <w:top w:val="none" w:sz="0" w:space="0" w:color="auto"/>
            <w:left w:val="none" w:sz="0" w:space="0" w:color="auto"/>
            <w:bottom w:val="none" w:sz="0" w:space="0" w:color="auto"/>
            <w:right w:val="none" w:sz="0" w:space="0" w:color="auto"/>
          </w:divBdr>
        </w:div>
      </w:divsChild>
    </w:div>
    <w:div w:id="737174684">
      <w:bodyDiv w:val="1"/>
      <w:marLeft w:val="0"/>
      <w:marRight w:val="0"/>
      <w:marTop w:val="0"/>
      <w:marBottom w:val="0"/>
      <w:divBdr>
        <w:top w:val="none" w:sz="0" w:space="0" w:color="auto"/>
        <w:left w:val="none" w:sz="0" w:space="0" w:color="auto"/>
        <w:bottom w:val="none" w:sz="0" w:space="0" w:color="auto"/>
        <w:right w:val="none" w:sz="0" w:space="0" w:color="auto"/>
      </w:divBdr>
      <w:divsChild>
        <w:div w:id="2025669398">
          <w:marLeft w:val="0"/>
          <w:marRight w:val="0"/>
          <w:marTop w:val="0"/>
          <w:marBottom w:val="0"/>
          <w:divBdr>
            <w:top w:val="none" w:sz="0" w:space="0" w:color="auto"/>
            <w:left w:val="none" w:sz="0" w:space="0" w:color="auto"/>
            <w:bottom w:val="none" w:sz="0" w:space="0" w:color="auto"/>
            <w:right w:val="none" w:sz="0" w:space="0" w:color="auto"/>
          </w:divBdr>
        </w:div>
      </w:divsChild>
    </w:div>
    <w:div w:id="752974752">
      <w:bodyDiv w:val="1"/>
      <w:marLeft w:val="0"/>
      <w:marRight w:val="0"/>
      <w:marTop w:val="0"/>
      <w:marBottom w:val="0"/>
      <w:divBdr>
        <w:top w:val="none" w:sz="0" w:space="0" w:color="auto"/>
        <w:left w:val="none" w:sz="0" w:space="0" w:color="auto"/>
        <w:bottom w:val="none" w:sz="0" w:space="0" w:color="auto"/>
        <w:right w:val="none" w:sz="0" w:space="0" w:color="auto"/>
      </w:divBdr>
      <w:divsChild>
        <w:div w:id="61297464">
          <w:marLeft w:val="0"/>
          <w:marRight w:val="0"/>
          <w:marTop w:val="0"/>
          <w:marBottom w:val="0"/>
          <w:divBdr>
            <w:top w:val="none" w:sz="0" w:space="0" w:color="auto"/>
            <w:left w:val="none" w:sz="0" w:space="0" w:color="auto"/>
            <w:bottom w:val="none" w:sz="0" w:space="0" w:color="auto"/>
            <w:right w:val="none" w:sz="0" w:space="0" w:color="auto"/>
          </w:divBdr>
        </w:div>
      </w:divsChild>
    </w:div>
    <w:div w:id="807285571">
      <w:bodyDiv w:val="1"/>
      <w:marLeft w:val="0"/>
      <w:marRight w:val="0"/>
      <w:marTop w:val="0"/>
      <w:marBottom w:val="0"/>
      <w:divBdr>
        <w:top w:val="none" w:sz="0" w:space="0" w:color="auto"/>
        <w:left w:val="none" w:sz="0" w:space="0" w:color="auto"/>
        <w:bottom w:val="none" w:sz="0" w:space="0" w:color="auto"/>
        <w:right w:val="none" w:sz="0" w:space="0" w:color="auto"/>
      </w:divBdr>
      <w:divsChild>
        <w:div w:id="1723946091">
          <w:marLeft w:val="0"/>
          <w:marRight w:val="0"/>
          <w:marTop w:val="0"/>
          <w:marBottom w:val="0"/>
          <w:divBdr>
            <w:top w:val="none" w:sz="0" w:space="0" w:color="auto"/>
            <w:left w:val="none" w:sz="0" w:space="0" w:color="auto"/>
            <w:bottom w:val="none" w:sz="0" w:space="0" w:color="auto"/>
            <w:right w:val="none" w:sz="0" w:space="0" w:color="auto"/>
          </w:divBdr>
        </w:div>
      </w:divsChild>
    </w:div>
    <w:div w:id="847601746">
      <w:bodyDiv w:val="1"/>
      <w:marLeft w:val="0"/>
      <w:marRight w:val="0"/>
      <w:marTop w:val="0"/>
      <w:marBottom w:val="0"/>
      <w:divBdr>
        <w:top w:val="none" w:sz="0" w:space="0" w:color="auto"/>
        <w:left w:val="none" w:sz="0" w:space="0" w:color="auto"/>
        <w:bottom w:val="none" w:sz="0" w:space="0" w:color="auto"/>
        <w:right w:val="none" w:sz="0" w:space="0" w:color="auto"/>
      </w:divBdr>
      <w:divsChild>
        <w:div w:id="844634959">
          <w:marLeft w:val="0"/>
          <w:marRight w:val="0"/>
          <w:marTop w:val="0"/>
          <w:marBottom w:val="0"/>
          <w:divBdr>
            <w:top w:val="none" w:sz="0" w:space="0" w:color="auto"/>
            <w:left w:val="none" w:sz="0" w:space="0" w:color="auto"/>
            <w:bottom w:val="none" w:sz="0" w:space="0" w:color="auto"/>
            <w:right w:val="none" w:sz="0" w:space="0" w:color="auto"/>
          </w:divBdr>
        </w:div>
      </w:divsChild>
    </w:div>
    <w:div w:id="854536073">
      <w:bodyDiv w:val="1"/>
      <w:marLeft w:val="0"/>
      <w:marRight w:val="0"/>
      <w:marTop w:val="0"/>
      <w:marBottom w:val="0"/>
      <w:divBdr>
        <w:top w:val="none" w:sz="0" w:space="0" w:color="auto"/>
        <w:left w:val="none" w:sz="0" w:space="0" w:color="auto"/>
        <w:bottom w:val="none" w:sz="0" w:space="0" w:color="auto"/>
        <w:right w:val="none" w:sz="0" w:space="0" w:color="auto"/>
      </w:divBdr>
      <w:divsChild>
        <w:div w:id="1920408322">
          <w:marLeft w:val="0"/>
          <w:marRight w:val="0"/>
          <w:marTop w:val="0"/>
          <w:marBottom w:val="0"/>
          <w:divBdr>
            <w:top w:val="none" w:sz="0" w:space="0" w:color="auto"/>
            <w:left w:val="none" w:sz="0" w:space="0" w:color="auto"/>
            <w:bottom w:val="none" w:sz="0" w:space="0" w:color="auto"/>
            <w:right w:val="none" w:sz="0" w:space="0" w:color="auto"/>
          </w:divBdr>
        </w:div>
      </w:divsChild>
    </w:div>
    <w:div w:id="940721044">
      <w:bodyDiv w:val="1"/>
      <w:marLeft w:val="0"/>
      <w:marRight w:val="0"/>
      <w:marTop w:val="0"/>
      <w:marBottom w:val="0"/>
      <w:divBdr>
        <w:top w:val="none" w:sz="0" w:space="0" w:color="auto"/>
        <w:left w:val="none" w:sz="0" w:space="0" w:color="auto"/>
        <w:bottom w:val="none" w:sz="0" w:space="0" w:color="auto"/>
        <w:right w:val="none" w:sz="0" w:space="0" w:color="auto"/>
      </w:divBdr>
      <w:divsChild>
        <w:div w:id="1021011443">
          <w:marLeft w:val="0"/>
          <w:marRight w:val="0"/>
          <w:marTop w:val="0"/>
          <w:marBottom w:val="0"/>
          <w:divBdr>
            <w:top w:val="none" w:sz="0" w:space="0" w:color="auto"/>
            <w:left w:val="none" w:sz="0" w:space="0" w:color="auto"/>
            <w:bottom w:val="none" w:sz="0" w:space="0" w:color="auto"/>
            <w:right w:val="none" w:sz="0" w:space="0" w:color="auto"/>
          </w:divBdr>
        </w:div>
      </w:divsChild>
    </w:div>
    <w:div w:id="953754770">
      <w:bodyDiv w:val="1"/>
      <w:marLeft w:val="0"/>
      <w:marRight w:val="0"/>
      <w:marTop w:val="0"/>
      <w:marBottom w:val="0"/>
      <w:divBdr>
        <w:top w:val="none" w:sz="0" w:space="0" w:color="auto"/>
        <w:left w:val="none" w:sz="0" w:space="0" w:color="auto"/>
        <w:bottom w:val="none" w:sz="0" w:space="0" w:color="auto"/>
        <w:right w:val="none" w:sz="0" w:space="0" w:color="auto"/>
      </w:divBdr>
      <w:divsChild>
        <w:div w:id="1300184543">
          <w:marLeft w:val="0"/>
          <w:marRight w:val="0"/>
          <w:marTop w:val="0"/>
          <w:marBottom w:val="0"/>
          <w:divBdr>
            <w:top w:val="none" w:sz="0" w:space="0" w:color="auto"/>
            <w:left w:val="none" w:sz="0" w:space="0" w:color="auto"/>
            <w:bottom w:val="none" w:sz="0" w:space="0" w:color="auto"/>
            <w:right w:val="none" w:sz="0" w:space="0" w:color="auto"/>
          </w:divBdr>
        </w:div>
      </w:divsChild>
    </w:div>
    <w:div w:id="1086920890">
      <w:bodyDiv w:val="1"/>
      <w:marLeft w:val="0"/>
      <w:marRight w:val="0"/>
      <w:marTop w:val="0"/>
      <w:marBottom w:val="0"/>
      <w:divBdr>
        <w:top w:val="none" w:sz="0" w:space="0" w:color="auto"/>
        <w:left w:val="none" w:sz="0" w:space="0" w:color="auto"/>
        <w:bottom w:val="none" w:sz="0" w:space="0" w:color="auto"/>
        <w:right w:val="none" w:sz="0" w:space="0" w:color="auto"/>
      </w:divBdr>
      <w:divsChild>
        <w:div w:id="1420177249">
          <w:marLeft w:val="0"/>
          <w:marRight w:val="0"/>
          <w:marTop w:val="0"/>
          <w:marBottom w:val="0"/>
          <w:divBdr>
            <w:top w:val="none" w:sz="0" w:space="0" w:color="auto"/>
            <w:left w:val="none" w:sz="0" w:space="0" w:color="auto"/>
            <w:bottom w:val="none" w:sz="0" w:space="0" w:color="auto"/>
            <w:right w:val="none" w:sz="0" w:space="0" w:color="auto"/>
          </w:divBdr>
        </w:div>
      </w:divsChild>
    </w:div>
    <w:div w:id="1113592606">
      <w:bodyDiv w:val="1"/>
      <w:marLeft w:val="0"/>
      <w:marRight w:val="0"/>
      <w:marTop w:val="0"/>
      <w:marBottom w:val="0"/>
      <w:divBdr>
        <w:top w:val="none" w:sz="0" w:space="0" w:color="auto"/>
        <w:left w:val="none" w:sz="0" w:space="0" w:color="auto"/>
        <w:bottom w:val="none" w:sz="0" w:space="0" w:color="auto"/>
        <w:right w:val="none" w:sz="0" w:space="0" w:color="auto"/>
      </w:divBdr>
      <w:divsChild>
        <w:div w:id="1986739750">
          <w:marLeft w:val="0"/>
          <w:marRight w:val="0"/>
          <w:marTop w:val="0"/>
          <w:marBottom w:val="0"/>
          <w:divBdr>
            <w:top w:val="none" w:sz="0" w:space="0" w:color="auto"/>
            <w:left w:val="none" w:sz="0" w:space="0" w:color="auto"/>
            <w:bottom w:val="none" w:sz="0" w:space="0" w:color="auto"/>
            <w:right w:val="none" w:sz="0" w:space="0" w:color="auto"/>
          </w:divBdr>
        </w:div>
      </w:divsChild>
    </w:div>
    <w:div w:id="1262686445">
      <w:bodyDiv w:val="1"/>
      <w:marLeft w:val="0"/>
      <w:marRight w:val="0"/>
      <w:marTop w:val="0"/>
      <w:marBottom w:val="0"/>
      <w:divBdr>
        <w:top w:val="none" w:sz="0" w:space="0" w:color="auto"/>
        <w:left w:val="none" w:sz="0" w:space="0" w:color="auto"/>
        <w:bottom w:val="none" w:sz="0" w:space="0" w:color="auto"/>
        <w:right w:val="none" w:sz="0" w:space="0" w:color="auto"/>
      </w:divBdr>
      <w:divsChild>
        <w:div w:id="1814637346">
          <w:marLeft w:val="0"/>
          <w:marRight w:val="0"/>
          <w:marTop w:val="0"/>
          <w:marBottom w:val="0"/>
          <w:divBdr>
            <w:top w:val="none" w:sz="0" w:space="0" w:color="auto"/>
            <w:left w:val="none" w:sz="0" w:space="0" w:color="auto"/>
            <w:bottom w:val="none" w:sz="0" w:space="0" w:color="auto"/>
            <w:right w:val="none" w:sz="0" w:space="0" w:color="auto"/>
          </w:divBdr>
        </w:div>
      </w:divsChild>
    </w:div>
    <w:div w:id="1294097725">
      <w:bodyDiv w:val="1"/>
      <w:marLeft w:val="0"/>
      <w:marRight w:val="0"/>
      <w:marTop w:val="0"/>
      <w:marBottom w:val="0"/>
      <w:divBdr>
        <w:top w:val="none" w:sz="0" w:space="0" w:color="auto"/>
        <w:left w:val="none" w:sz="0" w:space="0" w:color="auto"/>
        <w:bottom w:val="none" w:sz="0" w:space="0" w:color="auto"/>
        <w:right w:val="none" w:sz="0" w:space="0" w:color="auto"/>
      </w:divBdr>
      <w:divsChild>
        <w:div w:id="548306468">
          <w:marLeft w:val="0"/>
          <w:marRight w:val="0"/>
          <w:marTop w:val="0"/>
          <w:marBottom w:val="0"/>
          <w:divBdr>
            <w:top w:val="none" w:sz="0" w:space="0" w:color="auto"/>
            <w:left w:val="none" w:sz="0" w:space="0" w:color="auto"/>
            <w:bottom w:val="none" w:sz="0" w:space="0" w:color="auto"/>
            <w:right w:val="none" w:sz="0" w:space="0" w:color="auto"/>
          </w:divBdr>
        </w:div>
      </w:divsChild>
    </w:div>
    <w:div w:id="1339884638">
      <w:bodyDiv w:val="1"/>
      <w:marLeft w:val="0"/>
      <w:marRight w:val="0"/>
      <w:marTop w:val="0"/>
      <w:marBottom w:val="0"/>
      <w:divBdr>
        <w:top w:val="none" w:sz="0" w:space="0" w:color="auto"/>
        <w:left w:val="none" w:sz="0" w:space="0" w:color="auto"/>
        <w:bottom w:val="none" w:sz="0" w:space="0" w:color="auto"/>
        <w:right w:val="none" w:sz="0" w:space="0" w:color="auto"/>
      </w:divBdr>
      <w:divsChild>
        <w:div w:id="1266694060">
          <w:marLeft w:val="0"/>
          <w:marRight w:val="0"/>
          <w:marTop w:val="0"/>
          <w:marBottom w:val="0"/>
          <w:divBdr>
            <w:top w:val="none" w:sz="0" w:space="0" w:color="auto"/>
            <w:left w:val="none" w:sz="0" w:space="0" w:color="auto"/>
            <w:bottom w:val="none" w:sz="0" w:space="0" w:color="auto"/>
            <w:right w:val="none" w:sz="0" w:space="0" w:color="auto"/>
          </w:divBdr>
        </w:div>
      </w:divsChild>
    </w:div>
    <w:div w:id="1607616416">
      <w:bodyDiv w:val="1"/>
      <w:marLeft w:val="0"/>
      <w:marRight w:val="0"/>
      <w:marTop w:val="0"/>
      <w:marBottom w:val="0"/>
      <w:divBdr>
        <w:top w:val="none" w:sz="0" w:space="0" w:color="auto"/>
        <w:left w:val="none" w:sz="0" w:space="0" w:color="auto"/>
        <w:bottom w:val="none" w:sz="0" w:space="0" w:color="auto"/>
        <w:right w:val="none" w:sz="0" w:space="0" w:color="auto"/>
      </w:divBdr>
      <w:divsChild>
        <w:div w:id="1190492107">
          <w:marLeft w:val="0"/>
          <w:marRight w:val="0"/>
          <w:marTop w:val="0"/>
          <w:marBottom w:val="0"/>
          <w:divBdr>
            <w:top w:val="none" w:sz="0" w:space="0" w:color="auto"/>
            <w:left w:val="none" w:sz="0" w:space="0" w:color="auto"/>
            <w:bottom w:val="none" w:sz="0" w:space="0" w:color="auto"/>
            <w:right w:val="none" w:sz="0" w:space="0" w:color="auto"/>
          </w:divBdr>
        </w:div>
      </w:divsChild>
    </w:div>
    <w:div w:id="1623078410">
      <w:bodyDiv w:val="1"/>
      <w:marLeft w:val="0"/>
      <w:marRight w:val="0"/>
      <w:marTop w:val="0"/>
      <w:marBottom w:val="0"/>
      <w:divBdr>
        <w:top w:val="none" w:sz="0" w:space="0" w:color="auto"/>
        <w:left w:val="none" w:sz="0" w:space="0" w:color="auto"/>
        <w:bottom w:val="none" w:sz="0" w:space="0" w:color="auto"/>
        <w:right w:val="none" w:sz="0" w:space="0" w:color="auto"/>
      </w:divBdr>
      <w:divsChild>
        <w:div w:id="1760446551">
          <w:marLeft w:val="0"/>
          <w:marRight w:val="0"/>
          <w:marTop w:val="0"/>
          <w:marBottom w:val="0"/>
          <w:divBdr>
            <w:top w:val="none" w:sz="0" w:space="0" w:color="auto"/>
            <w:left w:val="none" w:sz="0" w:space="0" w:color="auto"/>
            <w:bottom w:val="none" w:sz="0" w:space="0" w:color="auto"/>
            <w:right w:val="none" w:sz="0" w:space="0" w:color="auto"/>
          </w:divBdr>
        </w:div>
      </w:divsChild>
    </w:div>
    <w:div w:id="1688602181">
      <w:bodyDiv w:val="1"/>
      <w:marLeft w:val="0"/>
      <w:marRight w:val="0"/>
      <w:marTop w:val="0"/>
      <w:marBottom w:val="0"/>
      <w:divBdr>
        <w:top w:val="none" w:sz="0" w:space="0" w:color="auto"/>
        <w:left w:val="none" w:sz="0" w:space="0" w:color="auto"/>
        <w:bottom w:val="none" w:sz="0" w:space="0" w:color="auto"/>
        <w:right w:val="none" w:sz="0" w:space="0" w:color="auto"/>
      </w:divBdr>
      <w:divsChild>
        <w:div w:id="1333339855">
          <w:marLeft w:val="0"/>
          <w:marRight w:val="0"/>
          <w:marTop w:val="0"/>
          <w:marBottom w:val="0"/>
          <w:divBdr>
            <w:top w:val="none" w:sz="0" w:space="0" w:color="auto"/>
            <w:left w:val="none" w:sz="0" w:space="0" w:color="auto"/>
            <w:bottom w:val="none" w:sz="0" w:space="0" w:color="auto"/>
            <w:right w:val="none" w:sz="0" w:space="0" w:color="auto"/>
          </w:divBdr>
        </w:div>
      </w:divsChild>
    </w:div>
    <w:div w:id="1750422514">
      <w:bodyDiv w:val="1"/>
      <w:marLeft w:val="0"/>
      <w:marRight w:val="0"/>
      <w:marTop w:val="0"/>
      <w:marBottom w:val="0"/>
      <w:divBdr>
        <w:top w:val="none" w:sz="0" w:space="0" w:color="auto"/>
        <w:left w:val="none" w:sz="0" w:space="0" w:color="auto"/>
        <w:bottom w:val="none" w:sz="0" w:space="0" w:color="auto"/>
        <w:right w:val="none" w:sz="0" w:space="0" w:color="auto"/>
      </w:divBdr>
      <w:divsChild>
        <w:div w:id="1483156602">
          <w:marLeft w:val="0"/>
          <w:marRight w:val="0"/>
          <w:marTop w:val="0"/>
          <w:marBottom w:val="0"/>
          <w:divBdr>
            <w:top w:val="none" w:sz="0" w:space="0" w:color="auto"/>
            <w:left w:val="none" w:sz="0" w:space="0" w:color="auto"/>
            <w:bottom w:val="none" w:sz="0" w:space="0" w:color="auto"/>
            <w:right w:val="none" w:sz="0" w:space="0" w:color="auto"/>
          </w:divBdr>
        </w:div>
      </w:divsChild>
    </w:div>
    <w:div w:id="1779565127">
      <w:bodyDiv w:val="1"/>
      <w:marLeft w:val="0"/>
      <w:marRight w:val="0"/>
      <w:marTop w:val="0"/>
      <w:marBottom w:val="0"/>
      <w:divBdr>
        <w:top w:val="none" w:sz="0" w:space="0" w:color="auto"/>
        <w:left w:val="none" w:sz="0" w:space="0" w:color="auto"/>
        <w:bottom w:val="none" w:sz="0" w:space="0" w:color="auto"/>
        <w:right w:val="none" w:sz="0" w:space="0" w:color="auto"/>
      </w:divBdr>
      <w:divsChild>
        <w:div w:id="1673869952">
          <w:marLeft w:val="0"/>
          <w:marRight w:val="0"/>
          <w:marTop w:val="0"/>
          <w:marBottom w:val="0"/>
          <w:divBdr>
            <w:top w:val="none" w:sz="0" w:space="0" w:color="auto"/>
            <w:left w:val="none" w:sz="0" w:space="0" w:color="auto"/>
            <w:bottom w:val="none" w:sz="0" w:space="0" w:color="auto"/>
            <w:right w:val="none" w:sz="0" w:space="0" w:color="auto"/>
          </w:divBdr>
        </w:div>
      </w:divsChild>
    </w:div>
    <w:div w:id="1897550574">
      <w:bodyDiv w:val="1"/>
      <w:marLeft w:val="0"/>
      <w:marRight w:val="0"/>
      <w:marTop w:val="0"/>
      <w:marBottom w:val="0"/>
      <w:divBdr>
        <w:top w:val="none" w:sz="0" w:space="0" w:color="auto"/>
        <w:left w:val="none" w:sz="0" w:space="0" w:color="auto"/>
        <w:bottom w:val="none" w:sz="0" w:space="0" w:color="auto"/>
        <w:right w:val="none" w:sz="0" w:space="0" w:color="auto"/>
      </w:divBdr>
      <w:divsChild>
        <w:div w:id="1416168695">
          <w:marLeft w:val="0"/>
          <w:marRight w:val="0"/>
          <w:marTop w:val="0"/>
          <w:marBottom w:val="0"/>
          <w:divBdr>
            <w:top w:val="none" w:sz="0" w:space="0" w:color="auto"/>
            <w:left w:val="none" w:sz="0" w:space="0" w:color="auto"/>
            <w:bottom w:val="none" w:sz="0" w:space="0" w:color="auto"/>
            <w:right w:val="none" w:sz="0" w:space="0" w:color="auto"/>
          </w:divBdr>
        </w:div>
      </w:divsChild>
    </w:div>
    <w:div w:id="1940143765">
      <w:bodyDiv w:val="1"/>
      <w:marLeft w:val="0"/>
      <w:marRight w:val="0"/>
      <w:marTop w:val="0"/>
      <w:marBottom w:val="0"/>
      <w:divBdr>
        <w:top w:val="none" w:sz="0" w:space="0" w:color="auto"/>
        <w:left w:val="none" w:sz="0" w:space="0" w:color="auto"/>
        <w:bottom w:val="none" w:sz="0" w:space="0" w:color="auto"/>
        <w:right w:val="none" w:sz="0" w:space="0" w:color="auto"/>
      </w:divBdr>
      <w:divsChild>
        <w:div w:id="479074649">
          <w:marLeft w:val="0"/>
          <w:marRight w:val="0"/>
          <w:marTop w:val="0"/>
          <w:marBottom w:val="0"/>
          <w:divBdr>
            <w:top w:val="none" w:sz="0" w:space="0" w:color="auto"/>
            <w:left w:val="none" w:sz="0" w:space="0" w:color="auto"/>
            <w:bottom w:val="none" w:sz="0" w:space="0" w:color="auto"/>
            <w:right w:val="none" w:sz="0" w:space="0" w:color="auto"/>
          </w:divBdr>
        </w:div>
      </w:divsChild>
    </w:div>
    <w:div w:id="2039305864">
      <w:bodyDiv w:val="1"/>
      <w:marLeft w:val="0"/>
      <w:marRight w:val="0"/>
      <w:marTop w:val="0"/>
      <w:marBottom w:val="0"/>
      <w:divBdr>
        <w:top w:val="none" w:sz="0" w:space="0" w:color="auto"/>
        <w:left w:val="none" w:sz="0" w:space="0" w:color="auto"/>
        <w:bottom w:val="none" w:sz="0" w:space="0" w:color="auto"/>
        <w:right w:val="none" w:sz="0" w:space="0" w:color="auto"/>
      </w:divBdr>
      <w:divsChild>
        <w:div w:id="5410929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1155</TotalTime>
  <Pages>4</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Zunde, Dmitri</cp:lastModifiedBy>
  <cp:revision>80</cp:revision>
  <cp:lastPrinted>2024-07-22T07:20:00Z</cp:lastPrinted>
  <dcterms:created xsi:type="dcterms:W3CDTF">2024-09-23T11:59:00Z</dcterms:created>
  <dcterms:modified xsi:type="dcterms:W3CDTF">2026-02-20T12:03:00Z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126b41-51bb-428a-b581-ce6985e7cc0a_Enabled">
    <vt:lpwstr>true</vt:lpwstr>
  </property>
  <property fmtid="{D5CDD505-2E9C-101B-9397-08002B2CF9AE}" pid="3" name="MSIP_Label_54126b41-51bb-428a-b581-ce6985e7cc0a_SetDate">
    <vt:lpwstr>2026-02-18T05:16:22Z</vt:lpwstr>
  </property>
  <property fmtid="{D5CDD505-2E9C-101B-9397-08002B2CF9AE}" pid="4" name="MSIP_Label_54126b41-51bb-428a-b581-ce6985e7cc0a_Method">
    <vt:lpwstr>Privileged</vt:lpwstr>
  </property>
  <property fmtid="{D5CDD505-2E9C-101B-9397-08002B2CF9AE}" pid="5" name="MSIP_Label_54126b41-51bb-428a-b581-ce6985e7cc0a_Name">
    <vt:lpwstr>Non-Business</vt:lpwstr>
  </property>
  <property fmtid="{D5CDD505-2E9C-101B-9397-08002B2CF9AE}" pid="6" name="MSIP_Label_54126b41-51bb-428a-b581-ce6985e7cc0a_SiteId">
    <vt:lpwstr>d584a4b7-b1f2-4714-a578-fd4d43c146a6</vt:lpwstr>
  </property>
  <property fmtid="{D5CDD505-2E9C-101B-9397-08002B2CF9AE}" pid="7" name="MSIP_Label_54126b41-51bb-428a-b581-ce6985e7cc0a_ActionId">
    <vt:lpwstr>86278afe-7d35-4e61-9021-026075c80638</vt:lpwstr>
  </property>
  <property fmtid="{D5CDD505-2E9C-101B-9397-08002B2CF9AE}" pid="8" name="MSIP_Label_54126b41-51bb-428a-b581-ce6985e7cc0a_ContentBits">
    <vt:lpwstr>0</vt:lpwstr>
  </property>
  <property fmtid="{D5CDD505-2E9C-101B-9397-08002B2CF9AE}" pid="9" name="MSIP_Label_54126b41-51bb-428a-b581-ce6985e7cc0a_Tag">
    <vt:lpwstr>10, 0, 1, 1</vt:lpwstr>
  </property>
</Properties>
</file>