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7"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EAGE Middle East Geomechanics Workshop</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br w:type="textWrapping"/>
    </w:r>
    <w:r w:rsidDel="00000000" w:rsidR="00000000" w:rsidRPr="00000000">
      <w:rPr>
        <w:sz w:val="20"/>
        <w:szCs w:val="20"/>
        <w:rtl w:val="0"/>
      </w:rPr>
      <w:t xml:space="preserve">1-3 March 2022, Abu Dhabi,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UAE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lZrUKKrdArCIxFMffJUIC1bZQ==">AMUW2mU5BWA7JqNX2pJawRTd35wzb0oU1c7H82VvLl3aNdxiZ6bZyo0bA9yiXB9OcPMiVAtMYoZBFAZv9sCPz80QdmUhSIKk7A5k/oaPCAEQSmQaCmBXy7n+2iokSaJws328r/SGVtECKW7z4FucFG6mYyebMoSvCRtyuGwl37CLRhbSwn/eleHH/3u2Ns4Hyw9RvRCSHZLdspiZ7dnGFwoIU4dRpJmg4hNsAo7zMfkXJYvUs/Zcszx/2R0z4aX4Ro4UzeItI/ligyRRqTRGo0HmPQ2Bm2a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2020-10-04T11:07:00Z</dcterms:created>
  <dc:creator>Marjolein van Kraanen</dc:creator>
</cp:coreProperties>
</file>