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0675" w14:textId="3512C266" w:rsidR="004D542E" w:rsidRPr="00791E35" w:rsidRDefault="004D542E" w:rsidP="00DF3C15">
      <w:pPr>
        <w:jc w:val="center"/>
        <w:rPr>
          <w:rFonts w:ascii="Calibri" w:hAnsi="Calibri" w:cs="Calibri"/>
          <w:b/>
          <w:bCs/>
          <w:sz w:val="28"/>
          <w:szCs w:val="28"/>
        </w:rPr>
      </w:pPr>
      <w:r w:rsidRPr="00791E35">
        <w:rPr>
          <w:rFonts w:ascii="Calibri" w:hAnsi="Calibri" w:cs="Calibri"/>
          <w:b/>
          <w:bCs/>
          <w:sz w:val="28"/>
          <w:szCs w:val="28"/>
        </w:rPr>
        <w:t>Stereospecific Radical Bromination of β-Aryl Alcohols with Thiourea Additives</w:t>
      </w:r>
    </w:p>
    <w:p w14:paraId="29A70F20" w14:textId="4C0EDA0A" w:rsidR="00853B00" w:rsidRPr="00B367CC" w:rsidRDefault="006E5575" w:rsidP="00DF3C15">
      <w:pPr>
        <w:jc w:val="center"/>
        <w:rPr>
          <w:rFonts w:ascii="Calibri" w:hAnsi="Calibri" w:cs="Calibri"/>
          <w:sz w:val="24"/>
          <w:szCs w:val="24"/>
        </w:rPr>
      </w:pPr>
      <w:r>
        <w:rPr>
          <w:rFonts w:ascii="Calibri" w:hAnsi="Calibri" w:cs="Calibri"/>
          <w:sz w:val="24"/>
          <w:szCs w:val="24"/>
          <w:u w:val="single"/>
        </w:rPr>
        <w:t>Habib Assy</w:t>
      </w:r>
      <w:r w:rsidR="00B367CC">
        <w:rPr>
          <w:rFonts w:ascii="Calibri" w:hAnsi="Calibri" w:cs="Calibri"/>
          <w:sz w:val="24"/>
          <w:szCs w:val="24"/>
          <w:u w:val="single"/>
        </w:rPr>
        <w:t xml:space="preserve"> </w:t>
      </w:r>
      <w:r w:rsidR="00DF3C15" w:rsidRPr="00791E35">
        <w:rPr>
          <w:rFonts w:ascii="Calibri" w:hAnsi="Calibri" w:cs="Calibri"/>
          <w:sz w:val="24"/>
          <w:szCs w:val="24"/>
          <w:vertAlign w:val="superscript"/>
        </w:rPr>
        <w:t>a</w:t>
      </w:r>
      <w:r w:rsidR="00DF3C15">
        <w:rPr>
          <w:rFonts w:ascii="Calibri" w:hAnsi="Calibri" w:cs="Calibri"/>
          <w:sz w:val="24"/>
          <w:szCs w:val="24"/>
        </w:rPr>
        <w:t>,</w:t>
      </w:r>
      <w:r w:rsidR="00853B00" w:rsidRPr="00D76F1C">
        <w:rPr>
          <w:rFonts w:ascii="Calibri" w:hAnsi="Calibri" w:cs="Calibri"/>
          <w:sz w:val="24"/>
          <w:szCs w:val="24"/>
        </w:rPr>
        <w:t xml:space="preserve"> </w:t>
      </w:r>
      <w:r w:rsidR="00B367CC" w:rsidRPr="00B140B8">
        <w:rPr>
          <w:rFonts w:ascii="Calibri" w:hAnsi="Calibri" w:cs="Calibri"/>
          <w:sz w:val="24"/>
          <w:szCs w:val="24"/>
        </w:rPr>
        <w:t>N. Gabriel</w:t>
      </w:r>
      <w:r w:rsidR="00B140B8" w:rsidRPr="00B140B8">
        <w:rPr>
          <w:rFonts w:ascii="Calibri" w:hAnsi="Calibri" w:cs="Calibri"/>
          <w:sz w:val="24"/>
          <w:szCs w:val="24"/>
        </w:rPr>
        <w:t xml:space="preserve"> Lemcoff</w:t>
      </w:r>
      <w:r w:rsidR="00B367CC">
        <w:rPr>
          <w:rFonts w:ascii="Calibri" w:hAnsi="Calibri" w:cs="Calibri"/>
          <w:sz w:val="24"/>
          <w:szCs w:val="24"/>
        </w:rPr>
        <w:t xml:space="preserve"> </w:t>
      </w:r>
      <w:r w:rsidR="00DF3C15" w:rsidRPr="00DF3C15">
        <w:rPr>
          <w:rFonts w:ascii="Calibri" w:hAnsi="Calibri" w:cs="Calibri"/>
          <w:sz w:val="24"/>
          <w:szCs w:val="24"/>
          <w:vertAlign w:val="superscript"/>
        </w:rPr>
        <w:t>a</w:t>
      </w:r>
      <w:r w:rsidR="00B367CC" w:rsidRPr="00B367CC">
        <w:rPr>
          <w:rFonts w:ascii="Calibri" w:hAnsi="Calibri" w:cs="Calibri"/>
          <w:sz w:val="24"/>
          <w:szCs w:val="24"/>
        </w:rPr>
        <w:t>,</w:t>
      </w:r>
      <w:r w:rsidR="00B367CC" w:rsidRPr="00DF3C15">
        <w:rPr>
          <w:rFonts w:ascii="Calibri" w:hAnsi="Calibri" w:cs="Calibri"/>
          <w:sz w:val="24"/>
          <w:szCs w:val="24"/>
        </w:rPr>
        <w:t xml:space="preserve"> Ofer Reany</w:t>
      </w:r>
      <w:r w:rsidR="00B367CC">
        <w:rPr>
          <w:rFonts w:ascii="Calibri" w:hAnsi="Calibri" w:cs="Calibri"/>
          <w:sz w:val="24"/>
          <w:szCs w:val="24"/>
        </w:rPr>
        <w:t xml:space="preserve"> </w:t>
      </w:r>
      <w:r w:rsidR="00B367CC">
        <w:rPr>
          <w:rFonts w:ascii="Calibri" w:hAnsi="Calibri" w:cs="Calibri"/>
          <w:sz w:val="24"/>
          <w:szCs w:val="24"/>
          <w:vertAlign w:val="superscript"/>
        </w:rPr>
        <w:t>b</w:t>
      </w:r>
    </w:p>
    <w:p w14:paraId="08FC0835" w14:textId="77777777" w:rsidR="00853B00" w:rsidRPr="00D76F1C" w:rsidRDefault="00853B00" w:rsidP="00853B00">
      <w:pPr>
        <w:jc w:val="center"/>
        <w:rPr>
          <w:rFonts w:ascii="Calibri" w:hAnsi="Calibri" w:cs="Calibri"/>
          <w:sz w:val="24"/>
          <w:szCs w:val="24"/>
        </w:rPr>
      </w:pPr>
    </w:p>
    <w:p w14:paraId="47D39AF7" w14:textId="2129341C" w:rsidR="00853B00" w:rsidRPr="003B1DA7" w:rsidRDefault="00DF3C15" w:rsidP="00853B00">
      <w:pPr>
        <w:jc w:val="center"/>
        <w:rPr>
          <w:rFonts w:ascii="Calibri" w:hAnsi="Calibri" w:cs="Calibri"/>
          <w:i/>
          <w:iCs/>
          <w:sz w:val="22"/>
          <w:szCs w:val="22"/>
        </w:rPr>
      </w:pPr>
      <w:r w:rsidRPr="003B1DA7">
        <w:rPr>
          <w:rFonts w:ascii="Calibri" w:hAnsi="Calibri" w:cs="Calibri"/>
          <w:i/>
          <w:iCs/>
          <w:sz w:val="22"/>
          <w:szCs w:val="22"/>
          <w:vertAlign w:val="superscript"/>
        </w:rPr>
        <w:t>a</w:t>
      </w:r>
      <w:r w:rsidR="00B140B8" w:rsidRPr="003B1DA7">
        <w:rPr>
          <w:rFonts w:ascii="Calibri" w:hAnsi="Calibri" w:cs="Calibri"/>
          <w:i/>
          <w:iCs/>
          <w:sz w:val="22"/>
          <w:szCs w:val="22"/>
        </w:rPr>
        <w:t xml:space="preserve">Chemistry department, Ben Gurion </w:t>
      </w:r>
      <w:r w:rsidR="00226DAB" w:rsidRPr="003B1DA7">
        <w:rPr>
          <w:rFonts w:ascii="Calibri" w:hAnsi="Calibri" w:cs="Calibri"/>
          <w:i/>
          <w:iCs/>
          <w:sz w:val="22"/>
          <w:szCs w:val="22"/>
        </w:rPr>
        <w:t>U</w:t>
      </w:r>
      <w:r w:rsidR="00B140B8" w:rsidRPr="003B1DA7">
        <w:rPr>
          <w:rFonts w:ascii="Calibri" w:hAnsi="Calibri" w:cs="Calibri"/>
          <w:i/>
          <w:iCs/>
          <w:sz w:val="22"/>
          <w:szCs w:val="22"/>
        </w:rPr>
        <w:t>niversity of the Negev, Beer-Sheba 84105, Israel</w:t>
      </w:r>
      <w:r w:rsidR="00B2025B" w:rsidRPr="003B1DA7">
        <w:rPr>
          <w:rFonts w:ascii="Calibri" w:hAnsi="Calibri" w:cs="Calibri"/>
          <w:i/>
          <w:iCs/>
          <w:sz w:val="22"/>
          <w:szCs w:val="22"/>
        </w:rPr>
        <w:t>.</w:t>
      </w:r>
      <w:r w:rsidR="003B1DA7">
        <w:rPr>
          <w:rFonts w:ascii="Calibri" w:hAnsi="Calibri" w:cs="Calibri"/>
          <w:i/>
          <w:iCs/>
          <w:sz w:val="22"/>
          <w:szCs w:val="22"/>
        </w:rPr>
        <w:br/>
      </w:r>
      <w:r w:rsidR="00112E14" w:rsidRPr="003B1DA7">
        <w:rPr>
          <w:rFonts w:ascii="Calibri" w:hAnsi="Calibri" w:cs="Calibri"/>
          <w:i/>
          <w:iCs/>
          <w:sz w:val="22"/>
          <w:szCs w:val="22"/>
        </w:rPr>
        <w:t xml:space="preserve"> </w:t>
      </w:r>
      <w:r w:rsidR="00112E14" w:rsidRPr="003B1DA7">
        <w:rPr>
          <w:rFonts w:ascii="Calibri" w:hAnsi="Calibri" w:cs="Calibri"/>
          <w:i/>
          <w:iCs/>
          <w:sz w:val="22"/>
          <w:szCs w:val="22"/>
          <w:vertAlign w:val="superscript"/>
        </w:rPr>
        <w:t>b</w:t>
      </w:r>
      <w:r w:rsidR="00112E14" w:rsidRPr="003B1DA7">
        <w:rPr>
          <w:rFonts w:ascii="Calibri" w:hAnsi="Calibri" w:cs="Calibri"/>
          <w:i/>
          <w:iCs/>
          <w:sz w:val="22"/>
          <w:szCs w:val="22"/>
        </w:rPr>
        <w:t>Department of Natural Sciences, The Open University of Israel, Ra'anana 4353701, Israel</w:t>
      </w:r>
    </w:p>
    <w:p w14:paraId="689BB1EC" w14:textId="44C0D94F" w:rsidR="00853B00" w:rsidRPr="003B1DA7" w:rsidRDefault="00DF3C15" w:rsidP="002D76FA">
      <w:pPr>
        <w:spacing w:after="120"/>
        <w:jc w:val="center"/>
        <w:rPr>
          <w:i/>
          <w:iCs/>
          <w:u w:val="single"/>
        </w:rPr>
      </w:pPr>
      <w:r w:rsidRPr="00DF3C15">
        <w:rPr>
          <w:rStyle w:val="Hyperlink"/>
          <w:rFonts w:ascii="Calibri" w:hAnsi="Calibri" w:cs="Calibri"/>
          <w:i/>
          <w:iCs/>
          <w:color w:val="auto"/>
          <w:sz w:val="24"/>
          <w:szCs w:val="24"/>
        </w:rPr>
        <w:t>assyh@post.bgu.ac.il</w:t>
      </w:r>
    </w:p>
    <w:p w14:paraId="5B869679" w14:textId="27D4C6F9" w:rsidR="00285DCB" w:rsidRPr="00285DCB" w:rsidRDefault="00285DCB" w:rsidP="00791E35">
      <w:pPr>
        <w:pStyle w:val="AbstractReferences"/>
        <w:spacing w:after="120"/>
        <w:ind w:left="0" w:firstLine="720"/>
        <w:jc w:val="both"/>
        <w:rPr>
          <w:rFonts w:asciiTheme="minorHAnsi" w:hAnsiTheme="minorHAnsi" w:cstheme="minorHAnsi"/>
          <w:sz w:val="24"/>
          <w:szCs w:val="24"/>
        </w:rPr>
      </w:pPr>
      <w:r w:rsidRPr="00285DCB">
        <w:rPr>
          <w:rFonts w:asciiTheme="minorHAnsi" w:hAnsiTheme="minorHAnsi" w:cstheme="minorHAnsi"/>
          <w:sz w:val="24"/>
          <w:szCs w:val="24"/>
        </w:rPr>
        <w:t xml:space="preserve">Halogen-containing organic molecules have received significant attention as important intermediates in the chemical and pharmaceutical industries. Many halogenated natural products exhibit unique bioactivity and show promise as potential drug candidates. Consequently, </w:t>
      </w:r>
      <w:proofErr w:type="spellStart"/>
      <w:r w:rsidRPr="00285DCB">
        <w:rPr>
          <w:rFonts w:asciiTheme="minorHAnsi" w:hAnsiTheme="minorHAnsi" w:cstheme="minorHAnsi"/>
          <w:sz w:val="24"/>
          <w:szCs w:val="24"/>
        </w:rPr>
        <w:t>stereocontrolled</w:t>
      </w:r>
      <w:proofErr w:type="spellEnd"/>
      <w:r w:rsidRPr="00285DCB">
        <w:rPr>
          <w:rFonts w:asciiTheme="minorHAnsi" w:hAnsiTheme="minorHAnsi" w:cstheme="minorHAnsi"/>
          <w:sz w:val="24"/>
          <w:szCs w:val="24"/>
        </w:rPr>
        <w:t xml:space="preserve"> halogenation of drug leads has emerged as a valuable strategy for generating natural products with enhanced bioactivity and target specificity.</w:t>
      </w:r>
      <w:r>
        <w:rPr>
          <w:rFonts w:asciiTheme="minorHAnsi" w:hAnsiTheme="minorHAnsi" w:cstheme="minorHAnsi"/>
          <w:sz w:val="24"/>
          <w:szCs w:val="24"/>
        </w:rPr>
        <w:t>[1]</w:t>
      </w:r>
      <w:r w:rsidRPr="00285DCB">
        <w:rPr>
          <w:rFonts w:asciiTheme="minorHAnsi" w:hAnsiTheme="minorHAnsi" w:cstheme="minorHAnsi"/>
          <w:sz w:val="24"/>
          <w:szCs w:val="24"/>
        </w:rPr>
        <w:t xml:space="preserve"> This has created strong interest in developing new protocols for stereospecific and stereoselective halogenation reactions under mild conditions.</w:t>
      </w:r>
    </w:p>
    <w:p w14:paraId="0FBEB01E" w14:textId="31C5CD4D" w:rsidR="00D806E6" w:rsidRPr="00CF4594" w:rsidRDefault="00285DCB" w:rsidP="00285DCB">
      <w:pPr>
        <w:pStyle w:val="AbstractReferences"/>
        <w:spacing w:after="120"/>
        <w:ind w:left="0" w:firstLine="0"/>
        <w:jc w:val="both"/>
        <w:rPr>
          <w:rFonts w:asciiTheme="minorHAnsi" w:hAnsiTheme="minorHAnsi" w:cstheme="minorHAnsi"/>
          <w:sz w:val="24"/>
          <w:szCs w:val="24"/>
        </w:rPr>
      </w:pPr>
      <w:r w:rsidRPr="00285DCB">
        <w:rPr>
          <w:rFonts w:asciiTheme="minorHAnsi" w:hAnsiTheme="minorHAnsi" w:cstheme="minorHAnsi"/>
          <w:sz w:val="24"/>
          <w:szCs w:val="24"/>
        </w:rPr>
        <w:t>In our previous work,</w:t>
      </w:r>
      <w:r>
        <w:rPr>
          <w:rFonts w:asciiTheme="minorHAnsi" w:hAnsiTheme="minorHAnsi" w:cstheme="minorHAnsi"/>
          <w:sz w:val="24"/>
          <w:szCs w:val="24"/>
        </w:rPr>
        <w:t>[2]</w:t>
      </w:r>
      <w:r w:rsidRPr="00285DCB">
        <w:rPr>
          <w:rFonts w:asciiTheme="minorHAnsi" w:hAnsiTheme="minorHAnsi" w:cstheme="minorHAnsi"/>
          <w:sz w:val="24"/>
          <w:szCs w:val="24"/>
        </w:rPr>
        <w:t xml:space="preserve"> we demonstrated a method for directly converting a broad range of alcohols to alkyl bromides and chlorides. This transformation uses substoichiometric amounts of thioureas and </w:t>
      </w:r>
      <w:r w:rsidRPr="00791E35">
        <w:rPr>
          <w:rFonts w:asciiTheme="minorHAnsi" w:hAnsiTheme="minorHAnsi" w:cstheme="minorHAnsi"/>
          <w:i/>
          <w:iCs/>
          <w:sz w:val="24"/>
          <w:szCs w:val="24"/>
        </w:rPr>
        <w:t>N</w:t>
      </w:r>
      <w:r>
        <w:rPr>
          <w:rFonts w:asciiTheme="minorHAnsi" w:hAnsiTheme="minorHAnsi" w:cstheme="minorHAnsi"/>
          <w:sz w:val="24"/>
          <w:szCs w:val="24"/>
        </w:rPr>
        <w:t>-</w:t>
      </w:r>
      <w:r w:rsidRPr="00285DCB">
        <w:rPr>
          <w:rFonts w:asciiTheme="minorHAnsi" w:hAnsiTheme="minorHAnsi" w:cstheme="minorHAnsi"/>
          <w:sz w:val="24"/>
          <w:szCs w:val="24"/>
        </w:rPr>
        <w:t>halosuccinimides (NXS, where X = Br or Cl) as halogen sources in a single step. Notably, when conducting bromination of chiral secondary alcohols in apolar solvents, we observed unexpected stereochemical preservation rather than racemization. This observation prompted us to investigate the stereochemical aspects of th</w:t>
      </w:r>
      <w:r>
        <w:rPr>
          <w:rFonts w:asciiTheme="minorHAnsi" w:hAnsiTheme="minorHAnsi" w:cstheme="minorHAnsi"/>
          <w:sz w:val="24"/>
          <w:szCs w:val="24"/>
        </w:rPr>
        <w:t>is important</w:t>
      </w:r>
      <w:r w:rsidRPr="00285DCB">
        <w:rPr>
          <w:rFonts w:asciiTheme="minorHAnsi" w:hAnsiTheme="minorHAnsi" w:cstheme="minorHAnsi"/>
          <w:sz w:val="24"/>
          <w:szCs w:val="24"/>
        </w:rPr>
        <w:t xml:space="preserve"> </w:t>
      </w:r>
      <w:r>
        <w:rPr>
          <w:rFonts w:asciiTheme="minorHAnsi" w:hAnsiTheme="minorHAnsi" w:cstheme="minorHAnsi"/>
          <w:sz w:val="24"/>
          <w:szCs w:val="24"/>
        </w:rPr>
        <w:t>halogenation</w:t>
      </w:r>
      <w:r w:rsidRPr="00285DCB">
        <w:rPr>
          <w:rFonts w:asciiTheme="minorHAnsi" w:hAnsiTheme="minorHAnsi" w:cstheme="minorHAnsi"/>
          <w:sz w:val="24"/>
          <w:szCs w:val="24"/>
        </w:rPr>
        <w:t xml:space="preserve"> reaction in detail.</w:t>
      </w:r>
      <w:r>
        <w:rPr>
          <w:rFonts w:asciiTheme="minorHAnsi" w:hAnsiTheme="minorHAnsi" w:cstheme="minorHAnsi"/>
          <w:sz w:val="24"/>
          <w:szCs w:val="24"/>
        </w:rPr>
        <w:t xml:space="preserve"> In order to facilitate the characterization of the products we decided to work with compounds containing an additional asymmetric center to obtain diastereomers. To our great surprise</w:t>
      </w:r>
      <w:r w:rsidR="0006432D" w:rsidRPr="002D76FA">
        <w:rPr>
          <w:rFonts w:asciiTheme="minorHAnsi" w:hAnsiTheme="minorHAnsi" w:cstheme="minorHAnsi"/>
          <w:sz w:val="24"/>
          <w:szCs w:val="24"/>
        </w:rPr>
        <w:t>, bromination of (±)-</w:t>
      </w:r>
      <w:proofErr w:type="spellStart"/>
      <w:r w:rsidR="0006432D" w:rsidRPr="002D76FA">
        <w:rPr>
          <w:rFonts w:asciiTheme="minorHAnsi" w:hAnsiTheme="minorHAnsi" w:cstheme="minorHAnsi"/>
          <w:i/>
          <w:iCs/>
          <w:sz w:val="24"/>
          <w:szCs w:val="24"/>
        </w:rPr>
        <w:t>threo</w:t>
      </w:r>
      <w:proofErr w:type="spellEnd"/>
      <w:r w:rsidR="0006432D" w:rsidRPr="002D76FA">
        <w:rPr>
          <w:rFonts w:asciiTheme="minorHAnsi" w:hAnsiTheme="minorHAnsi" w:cstheme="minorHAnsi"/>
          <w:sz w:val="24"/>
          <w:szCs w:val="24"/>
        </w:rPr>
        <w:t>- or (±)-</w:t>
      </w:r>
      <w:r w:rsidR="0006432D" w:rsidRPr="002D76FA">
        <w:rPr>
          <w:rFonts w:asciiTheme="minorHAnsi" w:hAnsiTheme="minorHAnsi" w:cstheme="minorHAnsi"/>
          <w:i/>
          <w:iCs/>
          <w:sz w:val="24"/>
          <w:szCs w:val="24"/>
        </w:rPr>
        <w:t>erythro</w:t>
      </w:r>
      <w:r w:rsidR="0006432D" w:rsidRPr="002D76FA">
        <w:rPr>
          <w:rFonts w:asciiTheme="minorHAnsi" w:hAnsiTheme="minorHAnsi" w:cstheme="minorHAnsi"/>
          <w:sz w:val="24"/>
          <w:szCs w:val="24"/>
        </w:rPr>
        <w:t xml:space="preserve">-3-phenyl-2-butanols revealed </w:t>
      </w:r>
      <w:r w:rsidRPr="00791E35">
        <w:rPr>
          <w:rFonts w:asciiTheme="minorHAnsi" w:hAnsiTheme="minorHAnsi" w:cstheme="minorHAnsi"/>
          <w:i/>
          <w:iCs/>
          <w:sz w:val="24"/>
          <w:szCs w:val="24"/>
        </w:rPr>
        <w:t>exclusively</w:t>
      </w:r>
      <w:r>
        <w:rPr>
          <w:rFonts w:asciiTheme="minorHAnsi" w:hAnsiTheme="minorHAnsi" w:cstheme="minorHAnsi"/>
          <w:sz w:val="24"/>
          <w:szCs w:val="24"/>
        </w:rPr>
        <w:t xml:space="preserve"> </w:t>
      </w:r>
      <w:r w:rsidR="0006432D" w:rsidRPr="002D76FA">
        <w:rPr>
          <w:rFonts w:asciiTheme="minorHAnsi" w:hAnsiTheme="minorHAnsi" w:cstheme="minorHAnsi"/>
          <w:sz w:val="24"/>
          <w:szCs w:val="24"/>
        </w:rPr>
        <w:t>a single diastereomeric brominated product with retention of configuration</w:t>
      </w:r>
      <w:r w:rsidR="003D25DB" w:rsidRPr="00CF4594">
        <w:rPr>
          <w:rFonts w:asciiTheme="minorHAnsi" w:hAnsiTheme="minorHAnsi" w:cstheme="minorHAnsi"/>
          <w:sz w:val="24"/>
          <w:szCs w:val="24"/>
        </w:rPr>
        <w:t xml:space="preserve">. </w:t>
      </w:r>
      <w:r w:rsidR="00FD2AAD" w:rsidRPr="00CF4594">
        <w:rPr>
          <w:rFonts w:asciiTheme="minorHAnsi" w:hAnsiTheme="minorHAnsi" w:cstheme="minorHAnsi"/>
          <w:sz w:val="24"/>
          <w:szCs w:val="24"/>
        </w:rPr>
        <w:t>The scope of these reactions was</w:t>
      </w:r>
      <w:r w:rsidR="00053067" w:rsidRPr="00CF4594">
        <w:rPr>
          <w:rFonts w:asciiTheme="minorHAnsi" w:hAnsiTheme="minorHAnsi" w:cstheme="minorHAnsi"/>
          <w:sz w:val="24"/>
          <w:szCs w:val="24"/>
        </w:rPr>
        <w:t xml:space="preserve"> </w:t>
      </w:r>
      <w:r w:rsidR="00FD2AAD" w:rsidRPr="00CF4594">
        <w:rPr>
          <w:rFonts w:asciiTheme="minorHAnsi" w:hAnsiTheme="minorHAnsi" w:cstheme="minorHAnsi"/>
          <w:sz w:val="24"/>
          <w:szCs w:val="24"/>
        </w:rPr>
        <w:t xml:space="preserve">expanded on several </w:t>
      </w:r>
      <w:r w:rsidR="00FD2AAD" w:rsidRPr="002D76FA">
        <w:rPr>
          <w:rFonts w:ascii="Symbol" w:hAnsi="Symbol" w:cstheme="minorHAnsi"/>
          <w:sz w:val="24"/>
          <w:szCs w:val="24"/>
        </w:rPr>
        <w:t></w:t>
      </w:r>
      <w:r w:rsidR="00FD2AAD" w:rsidRPr="00CF4594">
        <w:rPr>
          <w:rFonts w:asciiTheme="minorHAnsi" w:hAnsiTheme="minorHAnsi" w:cstheme="minorHAnsi"/>
          <w:sz w:val="24"/>
          <w:szCs w:val="24"/>
        </w:rPr>
        <w:t>-aryl alcohols. During these studies an</w:t>
      </w:r>
      <w:r w:rsidR="00053067" w:rsidRPr="00CF4594">
        <w:rPr>
          <w:rFonts w:asciiTheme="minorHAnsi" w:hAnsiTheme="minorHAnsi" w:cstheme="minorHAnsi"/>
          <w:sz w:val="24"/>
          <w:szCs w:val="24"/>
        </w:rPr>
        <w:t xml:space="preserve"> </w:t>
      </w:r>
      <w:r w:rsidR="00FD2AAD" w:rsidRPr="00CF4594">
        <w:rPr>
          <w:rFonts w:asciiTheme="minorHAnsi" w:hAnsiTheme="minorHAnsi" w:cstheme="minorHAnsi"/>
          <w:sz w:val="24"/>
          <w:szCs w:val="24"/>
        </w:rPr>
        <w:t>unexpected stereospecific 1,2-migration of the phenyl group was</w:t>
      </w:r>
      <w:r w:rsidR="00053067" w:rsidRPr="00CF4594">
        <w:rPr>
          <w:rFonts w:asciiTheme="minorHAnsi" w:hAnsiTheme="minorHAnsi" w:cstheme="minorHAnsi"/>
          <w:sz w:val="24"/>
          <w:szCs w:val="24"/>
        </w:rPr>
        <w:t xml:space="preserve"> </w:t>
      </w:r>
      <w:r>
        <w:rPr>
          <w:rFonts w:asciiTheme="minorHAnsi" w:hAnsiTheme="minorHAnsi" w:cstheme="minorHAnsi"/>
          <w:sz w:val="24"/>
          <w:szCs w:val="24"/>
        </w:rPr>
        <w:t>discovered</w:t>
      </w:r>
      <w:r w:rsidR="00075672" w:rsidRPr="00285DCB">
        <w:rPr>
          <w:rFonts w:asciiTheme="minorHAnsi" w:hAnsiTheme="minorHAnsi" w:cstheme="minorHAnsi"/>
          <w:sz w:val="24"/>
          <w:szCs w:val="24"/>
        </w:rPr>
        <w:t>.</w:t>
      </w:r>
      <w:r w:rsidR="005364A0" w:rsidRPr="00791E35">
        <w:rPr>
          <w:rFonts w:asciiTheme="minorHAnsi" w:hAnsiTheme="minorHAnsi" w:cstheme="minorHAnsi"/>
          <w:sz w:val="24"/>
          <w:szCs w:val="24"/>
        </w:rPr>
        <w:t>[</w:t>
      </w:r>
      <w:r w:rsidR="00226D82" w:rsidRPr="00791E35">
        <w:rPr>
          <w:rFonts w:asciiTheme="minorHAnsi" w:hAnsiTheme="minorHAnsi" w:cstheme="minorHAnsi"/>
          <w:sz w:val="24"/>
          <w:szCs w:val="24"/>
        </w:rPr>
        <w:t>3</w:t>
      </w:r>
      <w:r w:rsidR="005364A0" w:rsidRPr="00791E35">
        <w:rPr>
          <w:rFonts w:asciiTheme="minorHAnsi" w:hAnsiTheme="minorHAnsi" w:cstheme="minorHAnsi"/>
          <w:sz w:val="24"/>
          <w:szCs w:val="24"/>
        </w:rPr>
        <w:t>]</w:t>
      </w:r>
      <w:r w:rsidR="00AD350F" w:rsidRPr="002D76FA">
        <w:rPr>
          <w:rFonts w:asciiTheme="minorHAnsi" w:hAnsiTheme="minorHAnsi" w:cstheme="minorHAnsi"/>
          <w:sz w:val="24"/>
          <w:szCs w:val="24"/>
          <w:vertAlign w:val="superscript"/>
        </w:rPr>
        <w:t xml:space="preserve"> </w:t>
      </w:r>
      <w:r w:rsidR="003917C4" w:rsidRPr="00CF4594">
        <w:rPr>
          <w:rFonts w:asciiTheme="minorHAnsi" w:hAnsiTheme="minorHAnsi" w:cstheme="minorHAnsi"/>
          <w:sz w:val="24"/>
          <w:szCs w:val="24"/>
        </w:rPr>
        <w:t xml:space="preserve">The proposed mechanism of the </w:t>
      </w:r>
      <w:r>
        <w:rPr>
          <w:rFonts w:asciiTheme="minorHAnsi" w:hAnsiTheme="minorHAnsi" w:cstheme="minorHAnsi"/>
          <w:sz w:val="24"/>
          <w:szCs w:val="24"/>
        </w:rPr>
        <w:t xml:space="preserve">extraordinary </w:t>
      </w:r>
      <w:r w:rsidR="003917C4" w:rsidRPr="00CF4594">
        <w:rPr>
          <w:rFonts w:asciiTheme="minorHAnsi" w:hAnsiTheme="minorHAnsi" w:cstheme="minorHAnsi"/>
          <w:sz w:val="24"/>
          <w:szCs w:val="24"/>
        </w:rPr>
        <w:t>1,2-phenyl</w:t>
      </w:r>
      <w:r w:rsidR="00075672" w:rsidRPr="00CF4594">
        <w:rPr>
          <w:rFonts w:asciiTheme="minorHAnsi" w:hAnsiTheme="minorHAnsi" w:cstheme="minorHAnsi"/>
          <w:sz w:val="24"/>
          <w:szCs w:val="24"/>
        </w:rPr>
        <w:t xml:space="preserve"> </w:t>
      </w:r>
      <w:r w:rsidR="003917C4" w:rsidRPr="00CF4594">
        <w:rPr>
          <w:rFonts w:asciiTheme="minorHAnsi" w:hAnsiTheme="minorHAnsi" w:cstheme="minorHAnsi"/>
          <w:sz w:val="24"/>
          <w:szCs w:val="24"/>
        </w:rPr>
        <w:t xml:space="preserve">migration involves the formation of a </w:t>
      </w:r>
      <w:proofErr w:type="gramStart"/>
      <w:r w:rsidR="003917C4" w:rsidRPr="00CF4594">
        <w:rPr>
          <w:rFonts w:asciiTheme="minorHAnsi" w:hAnsiTheme="minorHAnsi" w:cstheme="minorHAnsi"/>
          <w:sz w:val="24"/>
          <w:szCs w:val="24"/>
        </w:rPr>
        <w:t>spiro[</w:t>
      </w:r>
      <w:proofErr w:type="gramEnd"/>
      <w:r w:rsidR="003917C4" w:rsidRPr="00CF4594">
        <w:rPr>
          <w:rFonts w:asciiTheme="minorHAnsi" w:hAnsiTheme="minorHAnsi" w:cstheme="minorHAnsi"/>
          <w:sz w:val="24"/>
          <w:szCs w:val="24"/>
        </w:rPr>
        <w:t>2,5]octadienyl radical,</w:t>
      </w:r>
      <w:r w:rsidR="00075672" w:rsidRPr="00CF4594">
        <w:rPr>
          <w:rFonts w:asciiTheme="minorHAnsi" w:hAnsiTheme="minorHAnsi" w:cstheme="minorHAnsi"/>
          <w:sz w:val="24"/>
          <w:szCs w:val="24"/>
        </w:rPr>
        <w:t xml:space="preserve"> </w:t>
      </w:r>
      <w:r w:rsidR="003917C4" w:rsidRPr="00CF4594">
        <w:rPr>
          <w:rFonts w:asciiTheme="minorHAnsi" w:hAnsiTheme="minorHAnsi" w:cstheme="minorHAnsi"/>
          <w:sz w:val="24"/>
          <w:szCs w:val="24"/>
        </w:rPr>
        <w:t>which is then attacked by a bromide radical at any of the two</w:t>
      </w:r>
      <w:r w:rsidR="00075672" w:rsidRPr="00CF4594">
        <w:rPr>
          <w:rFonts w:asciiTheme="minorHAnsi" w:hAnsiTheme="minorHAnsi" w:cstheme="minorHAnsi"/>
          <w:sz w:val="24"/>
          <w:szCs w:val="24"/>
        </w:rPr>
        <w:t xml:space="preserve"> </w:t>
      </w:r>
      <w:r w:rsidR="003917C4" w:rsidRPr="00CF4594">
        <w:rPr>
          <w:rFonts w:asciiTheme="minorHAnsi" w:hAnsiTheme="minorHAnsi" w:cstheme="minorHAnsi"/>
          <w:sz w:val="24"/>
          <w:szCs w:val="24"/>
        </w:rPr>
        <w:t>cyclopropyl positions</w:t>
      </w:r>
      <w:r>
        <w:rPr>
          <w:rFonts w:asciiTheme="minorHAnsi" w:hAnsiTheme="minorHAnsi" w:cstheme="minorHAnsi"/>
          <w:sz w:val="24"/>
          <w:szCs w:val="24"/>
        </w:rPr>
        <w:t xml:space="preserve"> anti to the phenyl position</w:t>
      </w:r>
      <w:r w:rsidR="003917C4" w:rsidRPr="00CF4594">
        <w:rPr>
          <w:rFonts w:asciiTheme="minorHAnsi" w:hAnsiTheme="minorHAnsi" w:cstheme="minorHAnsi"/>
          <w:sz w:val="24"/>
          <w:szCs w:val="24"/>
        </w:rPr>
        <w:t>, leading to products that</w:t>
      </w:r>
      <w:r w:rsidR="00075672" w:rsidRPr="00CF4594">
        <w:rPr>
          <w:rFonts w:asciiTheme="minorHAnsi" w:hAnsiTheme="minorHAnsi" w:cstheme="minorHAnsi"/>
          <w:sz w:val="24"/>
          <w:szCs w:val="24"/>
        </w:rPr>
        <w:t xml:space="preserve"> </w:t>
      </w:r>
      <w:r w:rsidR="003917C4" w:rsidRPr="00CF4594">
        <w:rPr>
          <w:rFonts w:asciiTheme="minorHAnsi" w:hAnsiTheme="minorHAnsi" w:cstheme="minorHAnsi"/>
          <w:sz w:val="24"/>
          <w:szCs w:val="24"/>
        </w:rPr>
        <w:t>retain the stereoisomeric configuration of the starting material.</w:t>
      </w:r>
    </w:p>
    <w:p w14:paraId="225C31AF" w14:textId="24F88543" w:rsidR="008A7DF6" w:rsidRDefault="00570745" w:rsidP="00791E35">
      <w:pPr>
        <w:pStyle w:val="AbstractReferences"/>
        <w:ind w:left="0" w:firstLine="0"/>
        <w:jc w:val="cente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6D1D245B" wp14:editId="21CA4FEA">
            <wp:extent cx="5759450" cy="2439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2439035"/>
                    </a:xfrm>
                    <a:prstGeom prst="rect">
                      <a:avLst/>
                    </a:prstGeom>
                  </pic:spPr>
                </pic:pic>
              </a:graphicData>
            </a:graphic>
          </wp:inline>
        </w:drawing>
      </w:r>
    </w:p>
    <w:p w14:paraId="1C1EBA35" w14:textId="17174327" w:rsidR="003B1DA7" w:rsidRPr="00485F85" w:rsidRDefault="00BE7BB0" w:rsidP="002D76FA">
      <w:pPr>
        <w:spacing w:before="120" w:after="120"/>
        <w:rPr>
          <w:rFonts w:ascii="Calibri" w:hAnsi="Calibri" w:cs="Calibri"/>
          <w:sz w:val="22"/>
          <w:szCs w:val="22"/>
        </w:rPr>
      </w:pPr>
      <w:r>
        <w:rPr>
          <w:rFonts w:ascii="Calibri" w:hAnsi="Calibri" w:cs="Calibri"/>
          <w:b/>
          <w:bCs/>
          <w:sz w:val="22"/>
          <w:szCs w:val="22"/>
        </w:rPr>
        <w:t>References</w:t>
      </w:r>
      <w:r w:rsidR="003B1DA7" w:rsidRPr="00936194">
        <w:rPr>
          <w:rFonts w:ascii="Calibri" w:hAnsi="Calibri" w:cs="Calibri"/>
          <w:b/>
          <w:bCs/>
          <w:sz w:val="22"/>
          <w:szCs w:val="22"/>
        </w:rPr>
        <w:t>.</w:t>
      </w:r>
      <w:r w:rsidR="003B1DA7" w:rsidRPr="00485F85">
        <w:t xml:space="preserve"> </w:t>
      </w:r>
    </w:p>
    <w:p w14:paraId="394A1FD8" w14:textId="18676BCA" w:rsidR="008A7DF6" w:rsidRPr="008A7DF6" w:rsidRDefault="008A7DF6" w:rsidP="008A7DF6">
      <w:pPr>
        <w:spacing w:line="240" w:lineRule="atLeast"/>
        <w:ind w:left="425" w:hanging="425"/>
        <w:jc w:val="both"/>
        <w:rPr>
          <w:rFonts w:asciiTheme="minorHAnsi" w:hAnsiTheme="minorHAnsi" w:cstheme="minorHAnsi"/>
        </w:rPr>
      </w:pPr>
      <w:r w:rsidRPr="008A7DF6">
        <w:rPr>
          <w:rFonts w:asciiTheme="minorHAnsi" w:hAnsiTheme="minorHAnsi" w:cstheme="minorHAnsi"/>
        </w:rPr>
        <w:t>[</w:t>
      </w:r>
      <w:r w:rsidR="00226D82">
        <w:rPr>
          <w:rFonts w:asciiTheme="minorHAnsi" w:hAnsiTheme="minorHAnsi" w:cstheme="minorHAnsi"/>
        </w:rPr>
        <w:t>1</w:t>
      </w:r>
      <w:r w:rsidRPr="008A7DF6">
        <w:rPr>
          <w:rFonts w:asciiTheme="minorHAnsi" w:hAnsiTheme="minorHAnsi" w:cstheme="minorHAnsi"/>
        </w:rPr>
        <w:t>]</w:t>
      </w:r>
      <w:r>
        <w:rPr>
          <w:rFonts w:asciiTheme="minorHAnsi" w:hAnsiTheme="minorHAnsi" w:cstheme="minorHAnsi"/>
        </w:rPr>
        <w:t xml:space="preserve"> </w:t>
      </w:r>
      <w:r w:rsidRPr="008A7DF6">
        <w:rPr>
          <w:rFonts w:asciiTheme="minorHAnsi" w:hAnsiTheme="minorHAnsi" w:cstheme="minorHAnsi"/>
        </w:rPr>
        <w:t xml:space="preserve">T. Huo, X. Zhao, Z. Cheng, J. Wei, M. Zhu, X. Dou, N. Jiao, </w:t>
      </w:r>
      <w:r w:rsidRPr="008A7DF6">
        <w:rPr>
          <w:rFonts w:asciiTheme="minorHAnsi" w:hAnsiTheme="minorHAnsi" w:cstheme="minorHAnsi"/>
          <w:i/>
          <w:iCs/>
        </w:rPr>
        <w:t>Acta Pharmaceutica Sinica</w:t>
      </w:r>
      <w:r w:rsidRPr="008A7DF6">
        <w:rPr>
          <w:rFonts w:asciiTheme="minorHAnsi" w:hAnsiTheme="minorHAnsi" w:cstheme="minorHAnsi"/>
        </w:rPr>
        <w:t xml:space="preserve"> B, </w:t>
      </w:r>
      <w:r w:rsidRPr="008A7DF6">
        <w:rPr>
          <w:rFonts w:asciiTheme="minorHAnsi" w:hAnsiTheme="minorHAnsi" w:cstheme="minorHAnsi"/>
          <w:b/>
          <w:bCs/>
        </w:rPr>
        <w:t>2024</w:t>
      </w:r>
      <w:r w:rsidRPr="008A7DF6">
        <w:rPr>
          <w:rFonts w:asciiTheme="minorHAnsi" w:hAnsiTheme="minorHAnsi" w:cstheme="minorHAnsi"/>
        </w:rPr>
        <w:t xml:space="preserve">, </w:t>
      </w:r>
      <w:r w:rsidRPr="008A7DF6">
        <w:rPr>
          <w:rFonts w:asciiTheme="minorHAnsi" w:hAnsiTheme="minorHAnsi" w:cstheme="minorHAnsi"/>
          <w:i/>
          <w:iCs/>
        </w:rPr>
        <w:t>14,</w:t>
      </w:r>
      <w:r w:rsidRPr="008A7DF6">
        <w:rPr>
          <w:rFonts w:asciiTheme="minorHAnsi" w:hAnsiTheme="minorHAnsi" w:cstheme="minorHAnsi"/>
        </w:rPr>
        <w:t xml:space="preserve"> 1030-1076.</w:t>
      </w:r>
    </w:p>
    <w:p w14:paraId="5B4FC927" w14:textId="529ED011" w:rsidR="008A7DF6" w:rsidRDefault="008A7DF6" w:rsidP="002D76FA">
      <w:pPr>
        <w:pStyle w:val="BodyText"/>
        <w:ind w:left="284" w:hanging="284"/>
        <w:rPr>
          <w:rFonts w:asciiTheme="minorHAnsi" w:hAnsiTheme="minorHAnsi" w:cstheme="minorHAnsi"/>
          <w:lang w:bidi="he-IL"/>
        </w:rPr>
      </w:pPr>
      <w:r w:rsidRPr="008A7DF6">
        <w:rPr>
          <w:rFonts w:asciiTheme="minorHAnsi" w:hAnsiTheme="minorHAnsi" w:cstheme="minorHAnsi"/>
          <w:lang w:bidi="he-IL"/>
        </w:rPr>
        <w:t>[</w:t>
      </w:r>
      <w:r w:rsidR="00BE7BB0">
        <w:rPr>
          <w:rFonts w:asciiTheme="minorHAnsi" w:hAnsiTheme="minorHAnsi" w:cstheme="minorHAnsi"/>
          <w:lang w:bidi="he-IL"/>
        </w:rPr>
        <w:t>2</w:t>
      </w:r>
      <w:r>
        <w:rPr>
          <w:rFonts w:asciiTheme="minorHAnsi" w:hAnsiTheme="minorHAnsi" w:cstheme="minorHAnsi"/>
          <w:lang w:bidi="he-IL"/>
        </w:rPr>
        <w:t xml:space="preserve">] </w:t>
      </w:r>
      <w:r w:rsidRPr="008A7DF6">
        <w:rPr>
          <w:rFonts w:asciiTheme="minorHAnsi" w:hAnsiTheme="minorHAnsi" w:cstheme="minorHAnsi"/>
          <w:lang w:bidi="he-IL"/>
        </w:rPr>
        <w:t xml:space="preserve">A. R. Mohite, S. R. Phatake, P. Dubey, M. Agbaria I. A. Shames, N. G. Lemcoff, O. Reany, </w:t>
      </w:r>
      <w:r w:rsidRPr="002D76FA">
        <w:rPr>
          <w:rFonts w:asciiTheme="minorHAnsi" w:hAnsiTheme="minorHAnsi" w:cstheme="minorHAnsi"/>
          <w:i/>
          <w:iCs/>
          <w:lang w:bidi="he-IL"/>
        </w:rPr>
        <w:t>J. Org. Chem</w:t>
      </w:r>
      <w:r w:rsidRPr="008A7DF6">
        <w:rPr>
          <w:rFonts w:asciiTheme="minorHAnsi" w:hAnsiTheme="minorHAnsi" w:cstheme="minorHAnsi"/>
          <w:lang w:bidi="he-IL"/>
        </w:rPr>
        <w:t xml:space="preserve">. </w:t>
      </w:r>
      <w:r w:rsidRPr="008A7DF6">
        <w:rPr>
          <w:rFonts w:asciiTheme="minorHAnsi" w:hAnsiTheme="minorHAnsi" w:cstheme="minorHAnsi"/>
          <w:b/>
          <w:bCs/>
          <w:lang w:bidi="he-IL"/>
        </w:rPr>
        <w:t>2020</w:t>
      </w:r>
      <w:r w:rsidRPr="008A7DF6">
        <w:rPr>
          <w:rFonts w:asciiTheme="minorHAnsi" w:hAnsiTheme="minorHAnsi" w:cstheme="minorHAnsi"/>
          <w:lang w:bidi="he-IL"/>
        </w:rPr>
        <w:t xml:space="preserve">, </w:t>
      </w:r>
      <w:r w:rsidRPr="002D76FA">
        <w:rPr>
          <w:rFonts w:asciiTheme="minorHAnsi" w:hAnsiTheme="minorHAnsi" w:cstheme="minorHAnsi"/>
          <w:i/>
          <w:iCs/>
          <w:lang w:bidi="he-IL"/>
        </w:rPr>
        <w:t>85</w:t>
      </w:r>
      <w:r w:rsidRPr="008A7DF6">
        <w:rPr>
          <w:rFonts w:asciiTheme="minorHAnsi" w:hAnsiTheme="minorHAnsi" w:cstheme="minorHAnsi"/>
          <w:lang w:bidi="he-IL"/>
        </w:rPr>
        <w:t>, 12901-12911.</w:t>
      </w:r>
    </w:p>
    <w:p w14:paraId="29F10952" w14:textId="2AEC2D7C" w:rsidR="003D25DB" w:rsidRPr="003B1DA7" w:rsidRDefault="008A7DF6" w:rsidP="0003799C">
      <w:pPr>
        <w:pStyle w:val="BodyText"/>
        <w:rPr>
          <w:rFonts w:asciiTheme="minorHAnsi" w:hAnsiTheme="minorHAnsi" w:cstheme="minorHAnsi"/>
          <w:lang w:bidi="he-IL"/>
        </w:rPr>
      </w:pPr>
      <w:r w:rsidRPr="008A7DF6">
        <w:rPr>
          <w:rFonts w:asciiTheme="minorHAnsi" w:hAnsiTheme="minorHAnsi" w:cstheme="minorHAnsi"/>
          <w:lang w:bidi="he-IL"/>
        </w:rPr>
        <w:t>[</w:t>
      </w:r>
      <w:r w:rsidR="00BE7BB0">
        <w:rPr>
          <w:rFonts w:asciiTheme="minorHAnsi" w:hAnsiTheme="minorHAnsi" w:cstheme="minorHAnsi"/>
          <w:lang w:bidi="he-IL"/>
        </w:rPr>
        <w:t>3</w:t>
      </w:r>
      <w:r w:rsidRPr="008A7DF6">
        <w:rPr>
          <w:rFonts w:asciiTheme="minorHAnsi" w:hAnsiTheme="minorHAnsi" w:cstheme="minorHAnsi"/>
          <w:lang w:bidi="he-IL"/>
        </w:rPr>
        <w:t>]</w:t>
      </w:r>
      <w:r w:rsidR="00586967">
        <w:rPr>
          <w:rFonts w:asciiTheme="minorHAnsi" w:hAnsiTheme="minorHAnsi" w:cstheme="minorHAnsi"/>
          <w:lang w:bidi="he-IL"/>
        </w:rPr>
        <w:t xml:space="preserve"> </w:t>
      </w:r>
      <w:r w:rsidR="0003799C" w:rsidRPr="00BE7BB0">
        <w:rPr>
          <w:rFonts w:asciiTheme="minorHAnsi" w:hAnsiTheme="minorHAnsi" w:cstheme="minorHAnsi"/>
          <w:lang w:bidi="he-IL"/>
        </w:rPr>
        <w:t>H. Assy, U. K. Mishra, T. Rösler, R. Khurana, N. G. Lemcoff, O</w:t>
      </w:r>
      <w:r w:rsidR="000C250F" w:rsidRPr="00BE7BB0">
        <w:rPr>
          <w:rFonts w:asciiTheme="minorHAnsi" w:hAnsiTheme="minorHAnsi" w:cstheme="minorHAnsi"/>
          <w:lang w:bidi="he-IL"/>
        </w:rPr>
        <w:t>.</w:t>
      </w:r>
      <w:r w:rsidR="0003799C" w:rsidRPr="00BE7BB0">
        <w:rPr>
          <w:rFonts w:asciiTheme="minorHAnsi" w:hAnsiTheme="minorHAnsi" w:cstheme="minorHAnsi"/>
          <w:lang w:bidi="he-IL"/>
        </w:rPr>
        <w:t xml:space="preserve"> Reany</w:t>
      </w:r>
      <w:r w:rsidR="000C250F" w:rsidRPr="00BE7BB0">
        <w:rPr>
          <w:rFonts w:asciiTheme="minorHAnsi" w:hAnsiTheme="minorHAnsi" w:cstheme="minorHAnsi"/>
          <w:lang w:bidi="he-IL"/>
        </w:rPr>
        <w:t xml:space="preserve">, </w:t>
      </w:r>
      <w:r w:rsidR="000C250F" w:rsidRPr="002D76FA">
        <w:rPr>
          <w:rFonts w:asciiTheme="minorHAnsi" w:hAnsiTheme="minorHAnsi" w:cstheme="minorHAnsi"/>
          <w:i/>
          <w:iCs/>
          <w:lang w:bidi="he-IL"/>
        </w:rPr>
        <w:t>Chem. Eur.</w:t>
      </w:r>
      <w:r w:rsidR="00CC70CE" w:rsidRPr="002D76FA">
        <w:rPr>
          <w:rFonts w:asciiTheme="minorHAnsi" w:hAnsiTheme="minorHAnsi" w:cstheme="minorHAnsi"/>
          <w:i/>
          <w:iCs/>
          <w:lang w:bidi="he-IL"/>
        </w:rPr>
        <w:t xml:space="preserve"> </w:t>
      </w:r>
      <w:r w:rsidR="000C250F" w:rsidRPr="002D76FA">
        <w:rPr>
          <w:rFonts w:asciiTheme="minorHAnsi" w:hAnsiTheme="minorHAnsi" w:cstheme="minorHAnsi"/>
          <w:i/>
          <w:iCs/>
          <w:lang w:bidi="he-IL"/>
        </w:rPr>
        <w:t>J.</w:t>
      </w:r>
      <w:r w:rsidR="00151E51" w:rsidRPr="00BE7BB0">
        <w:rPr>
          <w:rFonts w:asciiTheme="minorHAnsi" w:hAnsiTheme="minorHAnsi" w:cstheme="minorHAnsi"/>
          <w:lang w:bidi="he-IL"/>
        </w:rPr>
        <w:t xml:space="preserve"> </w:t>
      </w:r>
      <w:r w:rsidR="00151E51" w:rsidRPr="00BE7BB0">
        <w:rPr>
          <w:rFonts w:asciiTheme="minorHAnsi" w:hAnsiTheme="minorHAnsi" w:cstheme="minorHAnsi"/>
          <w:b/>
          <w:bCs/>
          <w:lang w:bidi="he-IL"/>
        </w:rPr>
        <w:t>2025</w:t>
      </w:r>
      <w:r w:rsidR="00151E51" w:rsidRPr="00BE7BB0">
        <w:rPr>
          <w:rFonts w:asciiTheme="minorHAnsi" w:hAnsiTheme="minorHAnsi" w:cstheme="minorHAnsi"/>
          <w:lang w:bidi="he-IL"/>
        </w:rPr>
        <w:t xml:space="preserve">, </w:t>
      </w:r>
      <w:r w:rsidR="00CC70CE" w:rsidRPr="002D76FA">
        <w:rPr>
          <w:rFonts w:asciiTheme="minorHAnsi" w:eastAsiaTheme="minorHAnsi" w:hAnsiTheme="minorHAnsi" w:cstheme="minorHAnsi"/>
          <w:lang w:val="en-IL" w:bidi="he-IL"/>
        </w:rPr>
        <w:t>e</w:t>
      </w:r>
      <w:proofErr w:type="gramStart"/>
      <w:r w:rsidR="00CC70CE" w:rsidRPr="002D76FA">
        <w:rPr>
          <w:rFonts w:asciiTheme="minorHAnsi" w:eastAsiaTheme="minorHAnsi" w:hAnsiTheme="minorHAnsi" w:cstheme="minorHAnsi"/>
          <w:lang w:val="en-IL" w:bidi="he-IL"/>
        </w:rPr>
        <w:t>202403831</w:t>
      </w:r>
      <w:r w:rsidR="000C250F">
        <w:rPr>
          <w:rFonts w:asciiTheme="minorHAnsi" w:hAnsiTheme="minorHAnsi" w:cstheme="minorHAnsi"/>
          <w:lang w:bidi="he-IL"/>
        </w:rPr>
        <w:t xml:space="preserve"> </w:t>
      </w:r>
      <w:r w:rsidRPr="008A7DF6">
        <w:rPr>
          <w:rFonts w:asciiTheme="minorHAnsi" w:hAnsiTheme="minorHAnsi" w:cstheme="minorHAnsi"/>
          <w:lang w:bidi="he-IL"/>
        </w:rPr>
        <w:t>.</w:t>
      </w:r>
      <w:proofErr w:type="gramEnd"/>
    </w:p>
    <w:sectPr w:rsidR="003D25DB" w:rsidRPr="003B1DA7" w:rsidSect="006B0A92">
      <w:pgSz w:w="11906" w:h="16838" w:code="9"/>
      <w:pgMar w:top="141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1713" w14:textId="77777777" w:rsidR="005B57FE" w:rsidRDefault="005B57FE" w:rsidP="00877819">
      <w:r>
        <w:separator/>
      </w:r>
    </w:p>
  </w:endnote>
  <w:endnote w:type="continuationSeparator" w:id="0">
    <w:p w14:paraId="65857DF2" w14:textId="77777777" w:rsidR="005B57FE" w:rsidRDefault="005B57FE" w:rsidP="00877819">
      <w:r>
        <w:continuationSeparator/>
      </w:r>
    </w:p>
  </w:endnote>
  <w:endnote w:type="continuationNotice" w:id="1">
    <w:p w14:paraId="50F95726" w14:textId="77777777" w:rsidR="005B57FE" w:rsidRDefault="005B5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63D1" w14:textId="77777777" w:rsidR="005B57FE" w:rsidRDefault="005B57FE" w:rsidP="00877819">
      <w:r>
        <w:separator/>
      </w:r>
    </w:p>
  </w:footnote>
  <w:footnote w:type="continuationSeparator" w:id="0">
    <w:p w14:paraId="3A6D9C85" w14:textId="77777777" w:rsidR="005B57FE" w:rsidRDefault="005B57FE" w:rsidP="00877819">
      <w:r>
        <w:continuationSeparator/>
      </w:r>
    </w:p>
  </w:footnote>
  <w:footnote w:type="continuationNotice" w:id="1">
    <w:p w14:paraId="0445CFF0" w14:textId="77777777" w:rsidR="005B57FE" w:rsidRDefault="005B57F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2MDIzMrY0NjczszRX0lEKTi0uzszPAykwrAUA9OZL9CwAAAA="/>
  </w:docVars>
  <w:rsids>
    <w:rsidRoot w:val="00200EEF"/>
    <w:rsid w:val="00011483"/>
    <w:rsid w:val="00025E69"/>
    <w:rsid w:val="0002642B"/>
    <w:rsid w:val="00030678"/>
    <w:rsid w:val="0003799C"/>
    <w:rsid w:val="00050FFF"/>
    <w:rsid w:val="000520A8"/>
    <w:rsid w:val="00053067"/>
    <w:rsid w:val="00061CD8"/>
    <w:rsid w:val="0006432D"/>
    <w:rsid w:val="00065CDA"/>
    <w:rsid w:val="00073E60"/>
    <w:rsid w:val="00075672"/>
    <w:rsid w:val="00086415"/>
    <w:rsid w:val="000868EE"/>
    <w:rsid w:val="000A0875"/>
    <w:rsid w:val="000C250F"/>
    <w:rsid w:val="000C6999"/>
    <w:rsid w:val="000E4618"/>
    <w:rsid w:val="00100DC2"/>
    <w:rsid w:val="001032C2"/>
    <w:rsid w:val="001121F4"/>
    <w:rsid w:val="00112E14"/>
    <w:rsid w:val="0011417A"/>
    <w:rsid w:val="001223F9"/>
    <w:rsid w:val="00133182"/>
    <w:rsid w:val="001356A5"/>
    <w:rsid w:val="001474E2"/>
    <w:rsid w:val="00151E51"/>
    <w:rsid w:val="0015342C"/>
    <w:rsid w:val="00166BA2"/>
    <w:rsid w:val="00173453"/>
    <w:rsid w:val="001750D7"/>
    <w:rsid w:val="0018632A"/>
    <w:rsid w:val="00192620"/>
    <w:rsid w:val="00197260"/>
    <w:rsid w:val="001B25E5"/>
    <w:rsid w:val="001B4E67"/>
    <w:rsid w:val="001C118C"/>
    <w:rsid w:val="001D3308"/>
    <w:rsid w:val="001E1D68"/>
    <w:rsid w:val="001F0867"/>
    <w:rsid w:val="001F5F19"/>
    <w:rsid w:val="00200EEF"/>
    <w:rsid w:val="00206E3C"/>
    <w:rsid w:val="0021280D"/>
    <w:rsid w:val="00226D82"/>
    <w:rsid w:val="00226DAB"/>
    <w:rsid w:val="00230303"/>
    <w:rsid w:val="00234B8C"/>
    <w:rsid w:val="00242770"/>
    <w:rsid w:val="00254494"/>
    <w:rsid w:val="002661ED"/>
    <w:rsid w:val="002727F9"/>
    <w:rsid w:val="00285DCB"/>
    <w:rsid w:val="002A234E"/>
    <w:rsid w:val="002B317D"/>
    <w:rsid w:val="002D403A"/>
    <w:rsid w:val="002D76FA"/>
    <w:rsid w:val="002E39E7"/>
    <w:rsid w:val="00300D5E"/>
    <w:rsid w:val="00301FE2"/>
    <w:rsid w:val="00320573"/>
    <w:rsid w:val="00373EFF"/>
    <w:rsid w:val="00373F19"/>
    <w:rsid w:val="00390723"/>
    <w:rsid w:val="003917C4"/>
    <w:rsid w:val="003944DF"/>
    <w:rsid w:val="003A16DD"/>
    <w:rsid w:val="003A31D1"/>
    <w:rsid w:val="003A3BAA"/>
    <w:rsid w:val="003A4431"/>
    <w:rsid w:val="003A6175"/>
    <w:rsid w:val="003B1DA7"/>
    <w:rsid w:val="003D25DB"/>
    <w:rsid w:val="003E12E2"/>
    <w:rsid w:val="003F0BFD"/>
    <w:rsid w:val="003F2C09"/>
    <w:rsid w:val="003F2D09"/>
    <w:rsid w:val="003F63B5"/>
    <w:rsid w:val="00411613"/>
    <w:rsid w:val="00414449"/>
    <w:rsid w:val="00416B2B"/>
    <w:rsid w:val="004255ED"/>
    <w:rsid w:val="00435E0F"/>
    <w:rsid w:val="0044065D"/>
    <w:rsid w:val="00445E53"/>
    <w:rsid w:val="00453D5B"/>
    <w:rsid w:val="00456E02"/>
    <w:rsid w:val="00471EAE"/>
    <w:rsid w:val="0047508F"/>
    <w:rsid w:val="00481DCA"/>
    <w:rsid w:val="0048555F"/>
    <w:rsid w:val="00485F85"/>
    <w:rsid w:val="00487BA4"/>
    <w:rsid w:val="00492C98"/>
    <w:rsid w:val="004B49D2"/>
    <w:rsid w:val="004B5D74"/>
    <w:rsid w:val="004C1AB8"/>
    <w:rsid w:val="004C633B"/>
    <w:rsid w:val="004D542E"/>
    <w:rsid w:val="004E047A"/>
    <w:rsid w:val="004F6E6E"/>
    <w:rsid w:val="00502BB3"/>
    <w:rsid w:val="005058BE"/>
    <w:rsid w:val="005304BD"/>
    <w:rsid w:val="005341A3"/>
    <w:rsid w:val="00535EBA"/>
    <w:rsid w:val="005364A0"/>
    <w:rsid w:val="00570745"/>
    <w:rsid w:val="005740D0"/>
    <w:rsid w:val="00577C0B"/>
    <w:rsid w:val="00584724"/>
    <w:rsid w:val="00586967"/>
    <w:rsid w:val="005A0C97"/>
    <w:rsid w:val="005B57FE"/>
    <w:rsid w:val="005D5147"/>
    <w:rsid w:val="005E6607"/>
    <w:rsid w:val="0060153D"/>
    <w:rsid w:val="00603F64"/>
    <w:rsid w:val="00607BFE"/>
    <w:rsid w:val="006163E8"/>
    <w:rsid w:val="00620B64"/>
    <w:rsid w:val="00652D89"/>
    <w:rsid w:val="00661AA8"/>
    <w:rsid w:val="006638CA"/>
    <w:rsid w:val="00664DDB"/>
    <w:rsid w:val="00674F56"/>
    <w:rsid w:val="006762B6"/>
    <w:rsid w:val="00682A42"/>
    <w:rsid w:val="00684A85"/>
    <w:rsid w:val="00686717"/>
    <w:rsid w:val="00687C30"/>
    <w:rsid w:val="00692E41"/>
    <w:rsid w:val="00692E53"/>
    <w:rsid w:val="00696676"/>
    <w:rsid w:val="006B0A92"/>
    <w:rsid w:val="006B5FC5"/>
    <w:rsid w:val="006D017A"/>
    <w:rsid w:val="006D7715"/>
    <w:rsid w:val="006E5575"/>
    <w:rsid w:val="006E7469"/>
    <w:rsid w:val="006F062D"/>
    <w:rsid w:val="00703679"/>
    <w:rsid w:val="00712054"/>
    <w:rsid w:val="007178FE"/>
    <w:rsid w:val="00725013"/>
    <w:rsid w:val="007430BE"/>
    <w:rsid w:val="00743B59"/>
    <w:rsid w:val="00750CC4"/>
    <w:rsid w:val="00764CDA"/>
    <w:rsid w:val="00765E6D"/>
    <w:rsid w:val="007662CD"/>
    <w:rsid w:val="00770696"/>
    <w:rsid w:val="007761DB"/>
    <w:rsid w:val="00787858"/>
    <w:rsid w:val="00791E35"/>
    <w:rsid w:val="00792068"/>
    <w:rsid w:val="00792BA5"/>
    <w:rsid w:val="00793F03"/>
    <w:rsid w:val="007C7AA3"/>
    <w:rsid w:val="007D0788"/>
    <w:rsid w:val="007F0401"/>
    <w:rsid w:val="00814EFD"/>
    <w:rsid w:val="008241D8"/>
    <w:rsid w:val="00836E5B"/>
    <w:rsid w:val="00844C0D"/>
    <w:rsid w:val="00845CA5"/>
    <w:rsid w:val="00853B00"/>
    <w:rsid w:val="00864B57"/>
    <w:rsid w:val="00872EC6"/>
    <w:rsid w:val="00877819"/>
    <w:rsid w:val="00892B56"/>
    <w:rsid w:val="008A1798"/>
    <w:rsid w:val="008A7DF6"/>
    <w:rsid w:val="008E06ED"/>
    <w:rsid w:val="008E3554"/>
    <w:rsid w:val="008F37F5"/>
    <w:rsid w:val="00901E4B"/>
    <w:rsid w:val="00902A00"/>
    <w:rsid w:val="0091503F"/>
    <w:rsid w:val="009223A4"/>
    <w:rsid w:val="00922EA2"/>
    <w:rsid w:val="00936194"/>
    <w:rsid w:val="009429C2"/>
    <w:rsid w:val="00987E17"/>
    <w:rsid w:val="009A4775"/>
    <w:rsid w:val="009B1FCC"/>
    <w:rsid w:val="009D0D56"/>
    <w:rsid w:val="009E587F"/>
    <w:rsid w:val="009F4EB0"/>
    <w:rsid w:val="00A02BC3"/>
    <w:rsid w:val="00A07D88"/>
    <w:rsid w:val="00A450B9"/>
    <w:rsid w:val="00A55903"/>
    <w:rsid w:val="00A62ADC"/>
    <w:rsid w:val="00A64B4A"/>
    <w:rsid w:val="00A7159A"/>
    <w:rsid w:val="00A71F97"/>
    <w:rsid w:val="00AB6970"/>
    <w:rsid w:val="00AC18AA"/>
    <w:rsid w:val="00AC56F4"/>
    <w:rsid w:val="00AC6921"/>
    <w:rsid w:val="00AD007D"/>
    <w:rsid w:val="00AD1135"/>
    <w:rsid w:val="00AD350F"/>
    <w:rsid w:val="00AF4BEC"/>
    <w:rsid w:val="00AF4BF3"/>
    <w:rsid w:val="00B02840"/>
    <w:rsid w:val="00B06BDD"/>
    <w:rsid w:val="00B06E9A"/>
    <w:rsid w:val="00B12FC2"/>
    <w:rsid w:val="00B140B8"/>
    <w:rsid w:val="00B17F4F"/>
    <w:rsid w:val="00B2025B"/>
    <w:rsid w:val="00B351C8"/>
    <w:rsid w:val="00B361BA"/>
    <w:rsid w:val="00B3622D"/>
    <w:rsid w:val="00B367CC"/>
    <w:rsid w:val="00B36EFA"/>
    <w:rsid w:val="00B44735"/>
    <w:rsid w:val="00B46A84"/>
    <w:rsid w:val="00B56C39"/>
    <w:rsid w:val="00B57282"/>
    <w:rsid w:val="00B579DF"/>
    <w:rsid w:val="00B639C1"/>
    <w:rsid w:val="00B703B0"/>
    <w:rsid w:val="00B757B8"/>
    <w:rsid w:val="00B91E8C"/>
    <w:rsid w:val="00BB3666"/>
    <w:rsid w:val="00BB39A5"/>
    <w:rsid w:val="00BD7BFB"/>
    <w:rsid w:val="00BE1E65"/>
    <w:rsid w:val="00BE7BB0"/>
    <w:rsid w:val="00C048EF"/>
    <w:rsid w:val="00C06CF2"/>
    <w:rsid w:val="00C135FA"/>
    <w:rsid w:val="00C13D49"/>
    <w:rsid w:val="00C45AF6"/>
    <w:rsid w:val="00C66E9E"/>
    <w:rsid w:val="00C810DF"/>
    <w:rsid w:val="00C84D1D"/>
    <w:rsid w:val="00C97821"/>
    <w:rsid w:val="00CB0AEC"/>
    <w:rsid w:val="00CC43BB"/>
    <w:rsid w:val="00CC70CE"/>
    <w:rsid w:val="00CD066A"/>
    <w:rsid w:val="00CE06EC"/>
    <w:rsid w:val="00CE502B"/>
    <w:rsid w:val="00CF4594"/>
    <w:rsid w:val="00D024F2"/>
    <w:rsid w:val="00D36D05"/>
    <w:rsid w:val="00D37B0F"/>
    <w:rsid w:val="00D37C75"/>
    <w:rsid w:val="00D41BA8"/>
    <w:rsid w:val="00D5153F"/>
    <w:rsid w:val="00D55B87"/>
    <w:rsid w:val="00D56621"/>
    <w:rsid w:val="00D71680"/>
    <w:rsid w:val="00D806E6"/>
    <w:rsid w:val="00D82D2C"/>
    <w:rsid w:val="00D94D00"/>
    <w:rsid w:val="00DA060F"/>
    <w:rsid w:val="00DB5936"/>
    <w:rsid w:val="00DF31C9"/>
    <w:rsid w:val="00DF3C15"/>
    <w:rsid w:val="00DF3E9C"/>
    <w:rsid w:val="00DF4365"/>
    <w:rsid w:val="00DF53E2"/>
    <w:rsid w:val="00DF64A3"/>
    <w:rsid w:val="00DF7144"/>
    <w:rsid w:val="00E0095E"/>
    <w:rsid w:val="00E11E29"/>
    <w:rsid w:val="00E22E0C"/>
    <w:rsid w:val="00E47CC8"/>
    <w:rsid w:val="00E663F0"/>
    <w:rsid w:val="00E75338"/>
    <w:rsid w:val="00E76ED3"/>
    <w:rsid w:val="00E848B4"/>
    <w:rsid w:val="00E84B26"/>
    <w:rsid w:val="00E87570"/>
    <w:rsid w:val="00E93934"/>
    <w:rsid w:val="00EA01F5"/>
    <w:rsid w:val="00EB279E"/>
    <w:rsid w:val="00EB5672"/>
    <w:rsid w:val="00EC4F37"/>
    <w:rsid w:val="00EE5F3B"/>
    <w:rsid w:val="00EF1E54"/>
    <w:rsid w:val="00EF378C"/>
    <w:rsid w:val="00F10F2C"/>
    <w:rsid w:val="00F41932"/>
    <w:rsid w:val="00F6052B"/>
    <w:rsid w:val="00F71FD6"/>
    <w:rsid w:val="00F96665"/>
    <w:rsid w:val="00F96B6B"/>
    <w:rsid w:val="00F97ADD"/>
    <w:rsid w:val="00FA51C3"/>
    <w:rsid w:val="00FA74DC"/>
    <w:rsid w:val="00FB249A"/>
    <w:rsid w:val="00FB4847"/>
    <w:rsid w:val="00FB575C"/>
    <w:rsid w:val="00FD1EDD"/>
    <w:rsid w:val="00FD2AAD"/>
    <w:rsid w:val="00FE5759"/>
    <w:rsid w:val="00FE6DFE"/>
    <w:rsid w:val="00FF24BB"/>
    <w:rsid w:val="00FF6B68"/>
    <w:rsid w:val="00FF77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CC3B6"/>
  <w15:docId w15:val="{69BEAB36-581A-440F-A7C7-DD4BF44F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B0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53B0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3B00"/>
    <w:rPr>
      <w:rFonts w:ascii="Times New Roman" w:eastAsia="Times New Roman" w:hAnsi="Times New Roman" w:cs="Times New Roman"/>
      <w:b/>
      <w:bCs/>
      <w:sz w:val="20"/>
      <w:szCs w:val="20"/>
    </w:rPr>
  </w:style>
  <w:style w:type="paragraph" w:styleId="BodyText">
    <w:name w:val="Body Text"/>
    <w:basedOn w:val="Normal"/>
    <w:link w:val="BodyTextChar"/>
    <w:rsid w:val="00853B00"/>
    <w:pPr>
      <w:jc w:val="both"/>
    </w:pPr>
  </w:style>
  <w:style w:type="character" w:customStyle="1" w:styleId="BodyTextChar">
    <w:name w:val="Body Text Char"/>
    <w:basedOn w:val="DefaultParagraphFont"/>
    <w:link w:val="BodyText"/>
    <w:rsid w:val="00853B00"/>
    <w:rPr>
      <w:rFonts w:ascii="Times New Roman" w:eastAsia="Times New Roman" w:hAnsi="Times New Roman" w:cs="Times New Roman"/>
      <w:sz w:val="20"/>
      <w:szCs w:val="20"/>
    </w:rPr>
  </w:style>
  <w:style w:type="character" w:styleId="Hyperlink">
    <w:name w:val="Hyperlink"/>
    <w:rsid w:val="00853B00"/>
    <w:rPr>
      <w:color w:val="0000FF"/>
      <w:u w:val="single"/>
    </w:rPr>
  </w:style>
  <w:style w:type="paragraph" w:customStyle="1" w:styleId="AbstractReferences">
    <w:name w:val="AbstractReferences"/>
    <w:basedOn w:val="Normal"/>
    <w:qFormat/>
    <w:rsid w:val="00814EFD"/>
    <w:pPr>
      <w:ind w:left="284" w:hanging="284"/>
    </w:pPr>
    <w:rPr>
      <w:sz w:val="22"/>
      <w:szCs w:val="22"/>
    </w:rPr>
  </w:style>
  <w:style w:type="character" w:styleId="UnresolvedMention">
    <w:name w:val="Unresolved Mention"/>
    <w:basedOn w:val="DefaultParagraphFont"/>
    <w:uiPriority w:val="99"/>
    <w:semiHidden/>
    <w:unhideWhenUsed/>
    <w:rsid w:val="00692E53"/>
    <w:rPr>
      <w:color w:val="605E5C"/>
      <w:shd w:val="clear" w:color="auto" w:fill="E1DFDD"/>
    </w:rPr>
  </w:style>
  <w:style w:type="paragraph" w:styleId="Header">
    <w:name w:val="header"/>
    <w:basedOn w:val="Normal"/>
    <w:link w:val="HeaderChar"/>
    <w:uiPriority w:val="99"/>
    <w:unhideWhenUsed/>
    <w:rsid w:val="00877819"/>
    <w:pPr>
      <w:tabs>
        <w:tab w:val="center" w:pos="4513"/>
        <w:tab w:val="right" w:pos="9026"/>
      </w:tabs>
    </w:pPr>
  </w:style>
  <w:style w:type="character" w:customStyle="1" w:styleId="HeaderChar">
    <w:name w:val="Header Char"/>
    <w:basedOn w:val="DefaultParagraphFont"/>
    <w:link w:val="Header"/>
    <w:uiPriority w:val="99"/>
    <w:rsid w:val="0087781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77819"/>
    <w:pPr>
      <w:tabs>
        <w:tab w:val="center" w:pos="4513"/>
        <w:tab w:val="right" w:pos="9026"/>
      </w:tabs>
    </w:pPr>
  </w:style>
  <w:style w:type="character" w:customStyle="1" w:styleId="FooterChar">
    <w:name w:val="Footer Char"/>
    <w:basedOn w:val="DefaultParagraphFont"/>
    <w:link w:val="Footer"/>
    <w:uiPriority w:val="99"/>
    <w:rsid w:val="00877819"/>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764CDA"/>
    <w:rPr>
      <w:color w:val="800080" w:themeColor="followedHyperlink"/>
      <w:u w:val="single"/>
    </w:rPr>
  </w:style>
  <w:style w:type="paragraph" w:customStyle="1" w:styleId="References">
    <w:name w:val="References"/>
    <w:basedOn w:val="Normal"/>
    <w:qFormat/>
    <w:rsid w:val="008A7DF6"/>
    <w:pPr>
      <w:spacing w:line="200" w:lineRule="exact"/>
      <w:ind w:left="425" w:hanging="425"/>
      <w:jc w:val="both"/>
    </w:pPr>
    <w:rPr>
      <w:rFonts w:ascii="Arial" w:eastAsia="MS Mincho" w:hAnsi="Arial"/>
      <w:sz w:val="14"/>
      <w:szCs w:val="14"/>
      <w:lang w:val="en-GB" w:eastAsia="ja-JP"/>
    </w:rPr>
  </w:style>
  <w:style w:type="paragraph" w:styleId="Revision">
    <w:name w:val="Revision"/>
    <w:hidden/>
    <w:uiPriority w:val="99"/>
    <w:semiHidden/>
    <w:rsid w:val="00050FF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85056">
      <w:bodyDiv w:val="1"/>
      <w:marLeft w:val="0"/>
      <w:marRight w:val="0"/>
      <w:marTop w:val="0"/>
      <w:marBottom w:val="0"/>
      <w:divBdr>
        <w:top w:val="none" w:sz="0" w:space="0" w:color="auto"/>
        <w:left w:val="none" w:sz="0" w:space="0" w:color="auto"/>
        <w:bottom w:val="none" w:sz="0" w:space="0" w:color="auto"/>
        <w:right w:val="none" w:sz="0" w:space="0" w:color="auto"/>
      </w:divBdr>
      <w:divsChild>
        <w:div w:id="241528166">
          <w:marLeft w:val="0"/>
          <w:marRight w:val="0"/>
          <w:marTop w:val="0"/>
          <w:marBottom w:val="0"/>
          <w:divBdr>
            <w:top w:val="none" w:sz="0" w:space="0" w:color="auto"/>
            <w:left w:val="none" w:sz="0" w:space="0" w:color="auto"/>
            <w:bottom w:val="none" w:sz="0" w:space="0" w:color="auto"/>
            <w:right w:val="none" w:sz="0" w:space="0" w:color="auto"/>
          </w:divBdr>
        </w:div>
      </w:divsChild>
    </w:div>
    <w:div w:id="1030956015">
      <w:bodyDiv w:val="1"/>
      <w:marLeft w:val="0"/>
      <w:marRight w:val="0"/>
      <w:marTop w:val="0"/>
      <w:marBottom w:val="0"/>
      <w:divBdr>
        <w:top w:val="none" w:sz="0" w:space="0" w:color="auto"/>
        <w:left w:val="none" w:sz="0" w:space="0" w:color="auto"/>
        <w:bottom w:val="none" w:sz="0" w:space="0" w:color="auto"/>
        <w:right w:val="none" w:sz="0" w:space="0" w:color="auto"/>
      </w:divBdr>
    </w:div>
    <w:div w:id="209743179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F4E11F17EE6B4D8FEA97AE817069A3" ma:contentTypeVersion="10" ma:contentTypeDescription="Create a new document." ma:contentTypeScope="" ma:versionID="b3a339dfc8b4228e9eef6c54633767d6">
  <xsd:schema xmlns:xsd="http://www.w3.org/2001/XMLSchema" xmlns:xs="http://www.w3.org/2001/XMLSchema" xmlns:p="http://schemas.microsoft.com/office/2006/metadata/properties" xmlns:ns2="023f7638-7696-48c6-aa84-a6188211b6c0" xmlns:ns3="7cc4201a-cb4f-4847-a4eb-e8bb73e3a637" targetNamespace="http://schemas.microsoft.com/office/2006/metadata/properties" ma:root="true" ma:fieldsID="50e96f893af76aa5b805e6abca3ac4fe" ns2:_="" ns3:_="">
    <xsd:import namespace="023f7638-7696-48c6-aa84-a6188211b6c0"/>
    <xsd:import namespace="7cc4201a-cb4f-4847-a4eb-e8bb73e3a63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f7638-7696-48c6-aa84-a6188211b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f15d7e9-da90-449b-8052-bacb1922583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c4201a-cb4f-4847-a4eb-e8bb73e3a63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793a0aa-1c49-4669-92b8-33b24a7b76bc}" ma:internalName="TaxCatchAll" ma:showField="CatchAllData" ma:web="7cc4201a-cb4f-4847-a4eb-e8bb73e3a6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3f7638-7696-48c6-aa84-a6188211b6c0">
      <Terms xmlns="http://schemas.microsoft.com/office/infopath/2007/PartnerControls"/>
    </lcf76f155ced4ddcb4097134ff3c332f>
    <TaxCatchAll xmlns="7cc4201a-cb4f-4847-a4eb-e8bb73e3a637" xsi:nil="true"/>
  </documentManagement>
</p:properties>
</file>

<file path=customXml/itemProps1.xml><?xml version="1.0" encoding="utf-8"?>
<ds:datastoreItem xmlns:ds="http://schemas.openxmlformats.org/officeDocument/2006/customXml" ds:itemID="{CFF9B931-6918-428D-93D1-9C0A02712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f7638-7696-48c6-aa84-a6188211b6c0"/>
    <ds:schemaRef ds:uri="7cc4201a-cb4f-4847-a4eb-e8bb73e3a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74B3C-AAFF-429A-A71A-D104F2A3A2DC}">
  <ds:schemaRefs>
    <ds:schemaRef ds:uri="http://schemas.microsoft.com/sharepoint/v3/contenttype/forms"/>
  </ds:schemaRefs>
</ds:datastoreItem>
</file>

<file path=customXml/itemProps3.xml><?xml version="1.0" encoding="utf-8"?>
<ds:datastoreItem xmlns:ds="http://schemas.openxmlformats.org/officeDocument/2006/customXml" ds:itemID="{F5593F6F-4E93-422A-B1BD-C59652B39E7D}">
  <ds:schemaRefs>
    <ds:schemaRef ds:uri="http://schemas.openxmlformats.org/officeDocument/2006/bibliography"/>
  </ds:schemaRefs>
</ds:datastoreItem>
</file>

<file path=customXml/itemProps4.xml><?xml version="1.0" encoding="utf-8"?>
<ds:datastoreItem xmlns:ds="http://schemas.openxmlformats.org/officeDocument/2006/customXml" ds:itemID="{1949844B-913D-4A96-863C-41177AB98806}">
  <ds:schemaRefs>
    <ds:schemaRef ds:uri="http://schemas.microsoft.com/office/2006/metadata/properties"/>
    <ds:schemaRef ds:uri="http://schemas.microsoft.com/office/infopath/2007/PartnerControls"/>
    <ds:schemaRef ds:uri="023f7638-7696-48c6-aa84-a6188211b6c0"/>
    <ds:schemaRef ds:uri="7cc4201a-cb4f-4847-a4eb-e8bb73e3a63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UiB</Company>
  <LinksUpToDate>false</LinksUpToDate>
  <CharactersWithSpaces>2676</CharactersWithSpaces>
  <SharedDoc>false</SharedDoc>
  <HyperlinkBase/>
  <HLinks>
    <vt:vector size="6" baseType="variant">
      <vt:variant>
        <vt:i4>6815762</vt:i4>
      </vt:variant>
      <vt:variant>
        <vt:i4>0</vt:i4>
      </vt:variant>
      <vt:variant>
        <vt:i4>0</vt:i4>
      </vt:variant>
      <vt:variant>
        <vt:i4>5</vt:i4>
      </vt:variant>
      <vt:variant>
        <vt:lpwstr>mailto:Presenting.Author@domain.com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Foscato</dc:creator>
  <cp:keywords/>
  <dc:description/>
  <cp:lastModifiedBy>חביב עאסי</cp:lastModifiedBy>
  <cp:revision>3</cp:revision>
  <dcterms:created xsi:type="dcterms:W3CDTF">2025-01-14T11:18:00Z</dcterms:created>
  <dcterms:modified xsi:type="dcterms:W3CDTF">2025-01-14T18:51:00Z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0x0101005AF4E11F17EE6B4D8FEA97AE817069A3</vt:lpwstr>
  </property>
  <property fmtid="{D5CDD505-2E9C-101B-9397-08002B2CF9AE}" pid="3" name="MediaServiceImageTags">
    <vt:lpwstr/>
  </property>
  <property fmtid="{D5CDD505-2E9C-101B-9397-08002B2CF9AE}" pid="4" name="Order">
    <vt:r8>1200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GrammarlyDocumentId">
    <vt:lpwstr>2a60ed1b9a5541f7afbc63d0acdb389836838fbd1f4a6548912754a59e86c833</vt:lpwstr>
  </property>
  <property fmtid="{D5CDD505-2E9C-101B-9397-08002B2CF9AE}" pid="12" name="_NewReviewCycle">
    <vt:lpwstr/>
  </property>
</Properties>
</file>