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0206" w14:textId="1A1ABDA2" w:rsidR="00FC4EF5" w:rsidRPr="00D36602" w:rsidRDefault="00D36602">
      <w:pPr>
        <w:rPr>
          <w:sz w:val="22"/>
          <w:szCs w:val="22"/>
        </w:rPr>
      </w:pPr>
      <w:r w:rsidRPr="00D36602">
        <w:rPr>
          <w:color w:val="222222"/>
          <w:sz w:val="22"/>
          <w:szCs w:val="22"/>
        </w:rPr>
        <w:br/>
      </w:r>
      <w:r w:rsidRPr="00D36602">
        <w:rPr>
          <w:color w:val="222222"/>
          <w:sz w:val="22"/>
          <w:szCs w:val="22"/>
        </w:rPr>
        <w:br/>
      </w:r>
      <w:r w:rsidRPr="00D36602">
        <w:rPr>
          <w:color w:val="222222"/>
          <w:sz w:val="22"/>
          <w:szCs w:val="22"/>
        </w:rPr>
        <w:br/>
      </w:r>
      <w:proofErr w:type="spellStart"/>
      <w:r>
        <w:rPr>
          <w:color w:val="222222"/>
          <w:sz w:val="22"/>
          <w:szCs w:val="22"/>
          <w:shd w:val="clear" w:color="auto" w:fill="FFFFFF"/>
        </w:rPr>
        <w:t>Objectives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: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Nakaseomyces</w:t>
      </w:r>
      <w:proofErr w:type="spellEnd"/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glabratus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color w:val="222222"/>
          <w:sz w:val="22"/>
          <w:szCs w:val="22"/>
          <w:shd w:val="clear" w:color="auto" w:fill="FFFFFF"/>
        </w:rPr>
        <w:t>(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formerly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Candida</w:t>
      </w:r>
      <w:proofErr w:type="spellEnd"/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glabrata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emerging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multidrug-resistant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yeast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associated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with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high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mortality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in invasive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infections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though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rare in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Latin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America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poses a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significant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therapeutic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challenge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report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first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confirmed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case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echinocandin-resistant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N.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glabratus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in Colombia,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detailing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its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clinical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microbiological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and molecular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characteristics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. </w:t>
      </w:r>
      <w:r w:rsidRPr="00D36602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36602">
        <w:rPr>
          <w:color w:val="222222"/>
          <w:sz w:val="22"/>
          <w:szCs w:val="22"/>
        </w:rPr>
        <w:br/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To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describe a case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persistent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candidemia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due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to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echinocandin-resistant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N.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glabratus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analyze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its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mechanism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discuss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implications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for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antifungal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stewardship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laboratory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detection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resource-limited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settings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. </w:t>
      </w:r>
      <w:r w:rsidRPr="00D36602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36602">
        <w:rPr>
          <w:color w:val="222222"/>
          <w:sz w:val="22"/>
          <w:szCs w:val="22"/>
        </w:rPr>
        <w:br/>
      </w:r>
      <w:r w:rsidRPr="00D36602">
        <w:rPr>
          <w:color w:val="222222"/>
          <w:sz w:val="22"/>
          <w:szCs w:val="22"/>
        </w:rPr>
        <w:br/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Materials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Methods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: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 A 72-year-old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woman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with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diabetes,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hypertension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recurrent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UTIs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developed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septic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shock after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lithotripsy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Initial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urine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blood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cultures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grew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N.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glabratus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Despite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empiric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caspofungin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candidemia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persisted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Identification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susceptibility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testing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were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performed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using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VITEK-2® and CLSI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broth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microdilution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Whole-genome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sequencing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identified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resistance-associated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mutations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. </w:t>
      </w:r>
      <w:r w:rsidRPr="00D36602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36602">
        <w:rPr>
          <w:color w:val="222222"/>
          <w:sz w:val="22"/>
          <w:szCs w:val="22"/>
        </w:rPr>
        <w:br/>
      </w:r>
      <w:r w:rsidRPr="00D36602">
        <w:rPr>
          <w:color w:val="222222"/>
          <w:sz w:val="22"/>
          <w:szCs w:val="22"/>
        </w:rPr>
        <w:br/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Results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: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isolate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was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to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caspofungin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but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susceptible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to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amphotericin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B (MIC: 0.5 µg/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)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voriconazole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(MIC: 0.25 µg/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).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Blood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cultures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remained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positive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for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21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days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until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liposomal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amphotericin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B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was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initiated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Genomic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analysis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revealed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FKS2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hotspot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mutation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(R655G), a rare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mechanism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conferring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Figure 1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patient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improved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after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catheter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removal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targeted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therapy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. </w:t>
      </w:r>
      <w:r w:rsidRPr="00D36602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D36602">
        <w:rPr>
          <w:color w:val="222222"/>
          <w:sz w:val="22"/>
          <w:szCs w:val="22"/>
        </w:rPr>
        <w:br/>
      </w:r>
      <w:r w:rsidRPr="00D36602">
        <w:rPr>
          <w:color w:val="222222"/>
          <w:sz w:val="22"/>
          <w:szCs w:val="22"/>
        </w:rPr>
        <w:br/>
      </w:r>
      <w:proofErr w:type="spellStart"/>
      <w:r>
        <w:rPr>
          <w:color w:val="222222"/>
          <w:sz w:val="22"/>
          <w:szCs w:val="22"/>
          <w:shd w:val="clear" w:color="auto" w:fill="FFFFFF"/>
        </w:rPr>
        <w:t>Conclusion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: 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This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case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highlights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emergence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in Colombia,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likely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driven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prior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antifungal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exposure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biofilm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formation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indwelling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devices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R655G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mutation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though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uncommon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reduces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glucan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synthase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susceptibility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leading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to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therapeutic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failure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Automated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systems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e.g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., VITEK-2®)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may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miss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such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underscoring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need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for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molecular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confirmation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refractory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cases. </w:t>
      </w:r>
      <w:r w:rsidRPr="00D36602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>
        <w:rPr>
          <w:color w:val="222222"/>
          <w:sz w:val="22"/>
          <w:szCs w:val="22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This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is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first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report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echinocandin-resistant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i/>
          <w:iCs/>
          <w:color w:val="222222"/>
          <w:sz w:val="22"/>
          <w:szCs w:val="22"/>
          <w:shd w:val="clear" w:color="auto" w:fill="FFFFFF"/>
        </w:rPr>
        <w:t xml:space="preserve">N. </w:t>
      </w:r>
      <w:proofErr w:type="spellStart"/>
      <w:r w:rsidRPr="00D36602">
        <w:rPr>
          <w:i/>
          <w:iCs/>
          <w:color w:val="222222"/>
          <w:sz w:val="22"/>
          <w:szCs w:val="22"/>
          <w:shd w:val="clear" w:color="auto" w:fill="FFFFFF"/>
        </w:rPr>
        <w:t>glabratus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36602">
        <w:rPr>
          <w:color w:val="222222"/>
          <w:sz w:val="22"/>
          <w:szCs w:val="22"/>
          <w:shd w:val="clear" w:color="auto" w:fill="FFFFFF"/>
        </w:rPr>
        <w:t xml:space="preserve">in Colombia,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emphasizing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importance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antifungal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stewardship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advanced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diagnostics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and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surveillance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Liposomal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amphotericin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B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remains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salvage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option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but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resistance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detection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requires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broth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microdilution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and FKS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sequencing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high-risk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36602">
        <w:rPr>
          <w:color w:val="222222"/>
          <w:sz w:val="22"/>
          <w:szCs w:val="22"/>
          <w:shd w:val="clear" w:color="auto" w:fill="FFFFFF"/>
        </w:rPr>
        <w:t>patients</w:t>
      </w:r>
      <w:proofErr w:type="spellEnd"/>
      <w:r w:rsidRPr="00D36602">
        <w:rPr>
          <w:color w:val="222222"/>
          <w:sz w:val="22"/>
          <w:szCs w:val="22"/>
          <w:shd w:val="clear" w:color="auto" w:fill="FFFFFF"/>
        </w:rPr>
        <w:t>. </w:t>
      </w:r>
    </w:p>
    <w:sectPr w:rsidR="00FC4EF5" w:rsidRPr="00D36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02"/>
    <w:rsid w:val="00041E36"/>
    <w:rsid w:val="00384DE2"/>
    <w:rsid w:val="00AB50C1"/>
    <w:rsid w:val="00D3045A"/>
    <w:rsid w:val="00D36602"/>
    <w:rsid w:val="00D85915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C4AC1"/>
  <w15:chartTrackingRefBased/>
  <w15:docId w15:val="{7B3C9388-D0CA-2549-9783-6861676B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6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6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66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66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66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66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66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6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6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6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6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66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66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66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66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66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6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66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3660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D36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66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66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66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6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66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660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D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1911</Characters>
  <Application>Microsoft Office Word</Application>
  <DocSecurity>0</DocSecurity>
  <Lines>40</Lines>
  <Paragraphs>11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Millán Oñate</dc:creator>
  <cp:keywords/>
  <dc:description/>
  <cp:lastModifiedBy>José Millán Oñate</cp:lastModifiedBy>
  <cp:revision>3</cp:revision>
  <dcterms:created xsi:type="dcterms:W3CDTF">2025-05-01T05:04:00Z</dcterms:created>
  <dcterms:modified xsi:type="dcterms:W3CDTF">2025-05-01T05:08:00Z</dcterms:modified>
</cp:coreProperties>
</file>