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B8332" w14:textId="41768DC7" w:rsidR="00996CD7" w:rsidRPr="006054CD" w:rsidRDefault="00983C1F" w:rsidP="00407CDE">
      <w:pPr>
        <w:spacing w:line="360" w:lineRule="auto"/>
        <w:jc w:val="both"/>
        <w:rPr>
          <w:rFonts w:ascii="Arial" w:eastAsia="Times New Roman" w:hAnsi="Arial" w:cs="Arial"/>
        </w:rPr>
      </w:pPr>
      <w:r w:rsidRPr="006054CD">
        <w:rPr>
          <w:rFonts w:ascii="Arial" w:hAnsi="Arial" w:cs="Arial"/>
          <w:b/>
          <w:bCs/>
        </w:rPr>
        <w:t>Ob</w:t>
      </w:r>
      <w:r w:rsidR="00996CD7" w:rsidRPr="006054CD">
        <w:rPr>
          <w:rFonts w:ascii="Arial" w:hAnsi="Arial" w:cs="Arial"/>
          <w:b/>
          <w:bCs/>
        </w:rPr>
        <w:t>jectives</w:t>
      </w:r>
      <w:r w:rsidR="00996CD7" w:rsidRPr="006054CD">
        <w:rPr>
          <w:rFonts w:ascii="Arial" w:hAnsi="Arial" w:cs="Arial"/>
        </w:rPr>
        <w:t>:</w:t>
      </w:r>
      <w:r w:rsidR="00407CDE" w:rsidRPr="006054CD">
        <w:rPr>
          <w:rFonts w:ascii="Arial" w:hAnsi="Arial" w:cs="Arial"/>
        </w:rPr>
        <w:t xml:space="preserve"> </w:t>
      </w:r>
      <w:r w:rsidR="00407CDE" w:rsidRPr="006054CD">
        <w:rPr>
          <w:rFonts w:ascii="Arial" w:eastAsia="Times New Roman" w:hAnsi="Arial" w:cs="Arial"/>
        </w:rPr>
        <w:t xml:space="preserve">To evaluate the effects of immunotherapy in treating recurrent vulvovaginal </w:t>
      </w:r>
      <w:r w:rsidR="00407CDE" w:rsidRPr="006054CD">
        <w:rPr>
          <w:rFonts w:ascii="Arial" w:eastAsia="Times New Roman" w:hAnsi="Arial" w:cs="Arial"/>
          <w:color w:val="000000"/>
        </w:rPr>
        <w:t xml:space="preserve">candidiasis (RVVC) in </w:t>
      </w:r>
      <w:r w:rsidR="00407CDE" w:rsidRPr="006054CD">
        <w:rPr>
          <w:rFonts w:ascii="Arial" w:eastAsia="Times New Roman" w:hAnsi="Arial" w:cs="Arial"/>
        </w:rPr>
        <w:t xml:space="preserve">patients which are refractory to conventional treatment, identify </w:t>
      </w:r>
      <w:r w:rsidR="00407CDE" w:rsidRPr="006054CD">
        <w:rPr>
          <w:rFonts w:ascii="Arial" w:eastAsia="Times New Roman" w:hAnsi="Arial" w:cs="Arial"/>
          <w:i/>
        </w:rPr>
        <w:t>Candida</w:t>
      </w:r>
      <w:r w:rsidR="00407CDE" w:rsidRPr="006054CD">
        <w:rPr>
          <w:rFonts w:ascii="Arial" w:eastAsia="Times New Roman" w:hAnsi="Arial" w:cs="Arial"/>
        </w:rPr>
        <w:t xml:space="preserve"> species involved and, verify the efficiency </w:t>
      </w:r>
      <w:r w:rsidR="00407CDE" w:rsidRPr="006054CD">
        <w:rPr>
          <w:rFonts w:ascii="Arial" w:eastAsia="Times New Roman" w:hAnsi="Arial" w:cs="Arial"/>
          <w:color w:val="000000"/>
        </w:rPr>
        <w:t xml:space="preserve">of this treatment </w:t>
      </w:r>
      <w:r w:rsidR="00407CDE" w:rsidRPr="006054CD">
        <w:rPr>
          <w:rFonts w:ascii="Arial" w:eastAsia="Times New Roman" w:hAnsi="Arial" w:cs="Arial"/>
        </w:rPr>
        <w:t>in different species.</w:t>
      </w:r>
    </w:p>
    <w:p w14:paraId="4A165CD5" w14:textId="7C29E7AD" w:rsidR="00996CD7" w:rsidRPr="006054CD" w:rsidRDefault="00996CD7" w:rsidP="00407CDE">
      <w:pPr>
        <w:spacing w:line="360" w:lineRule="auto"/>
        <w:jc w:val="both"/>
        <w:rPr>
          <w:rFonts w:ascii="Arial" w:eastAsia="Times New Roman" w:hAnsi="Arial" w:cs="Arial"/>
        </w:rPr>
      </w:pPr>
      <w:r w:rsidRPr="006054CD">
        <w:rPr>
          <w:rFonts w:ascii="Arial" w:hAnsi="Arial" w:cs="Arial"/>
          <w:b/>
          <w:bCs/>
        </w:rPr>
        <w:t>Materials &amp; Methods:</w:t>
      </w:r>
      <w:r w:rsidR="00407CDE" w:rsidRPr="006054CD">
        <w:rPr>
          <w:rFonts w:ascii="Arial" w:hAnsi="Arial" w:cs="Arial"/>
          <w:b/>
          <w:bCs/>
        </w:rPr>
        <w:t xml:space="preserve"> </w:t>
      </w:r>
      <w:r w:rsidR="00407CDE" w:rsidRPr="006054CD">
        <w:rPr>
          <w:rFonts w:ascii="Arial" w:eastAsia="Times New Roman" w:hAnsi="Arial" w:cs="Arial"/>
        </w:rPr>
        <w:t xml:space="preserve">Patients </w:t>
      </w:r>
      <w:r w:rsidR="00407CDE" w:rsidRPr="006054CD">
        <w:rPr>
          <w:rFonts w:ascii="Arial" w:eastAsia="Times New Roman" w:hAnsi="Arial" w:cs="Arial"/>
          <w:color w:val="000000"/>
        </w:rPr>
        <w:t xml:space="preserve">with RVVC due </w:t>
      </w:r>
      <w:r w:rsidR="00407CDE" w:rsidRPr="006054CD">
        <w:rPr>
          <w:rFonts w:ascii="Arial" w:eastAsia="Times New Roman" w:hAnsi="Arial" w:cs="Arial"/>
        </w:rPr>
        <w:t xml:space="preserve">to </w:t>
      </w:r>
      <w:r w:rsidR="00407CDE" w:rsidRPr="006054CD">
        <w:rPr>
          <w:rFonts w:ascii="Arial" w:eastAsia="Times New Roman" w:hAnsi="Arial" w:cs="Arial"/>
          <w:i/>
        </w:rPr>
        <w:t>Candida</w:t>
      </w:r>
      <w:r w:rsidR="00407CDE" w:rsidRPr="006054CD">
        <w:rPr>
          <w:rFonts w:ascii="Arial" w:eastAsia="Times New Roman" w:hAnsi="Arial" w:cs="Arial"/>
        </w:rPr>
        <w:t xml:space="preserve"> spp., referred to the Immunotherapy Center – IMUNOCENTRO, in Passo Fundo (RS, Brazil), were included in the study. The fungal samples collected at the beginning of the treatment were identified by molecular sequencing the ITS region of RNA, and sequences were compared in genomic banks. The patients received immunotherapy for two years, as formulated by Anthygenus laboratory, containing soluble antigens and lysates from: </w:t>
      </w:r>
      <w:r w:rsidR="00407CDE" w:rsidRPr="006054CD">
        <w:rPr>
          <w:rFonts w:ascii="Arial" w:eastAsia="Times New Roman" w:hAnsi="Arial" w:cs="Arial"/>
          <w:i/>
        </w:rPr>
        <w:t>Nakaseomyces glabratus</w:t>
      </w:r>
      <w:r w:rsidR="00407CDE" w:rsidRPr="006054CD">
        <w:rPr>
          <w:rFonts w:ascii="Arial" w:eastAsia="Times New Roman" w:hAnsi="Arial" w:cs="Arial"/>
        </w:rPr>
        <w:t xml:space="preserve"> (</w:t>
      </w:r>
      <w:r w:rsidR="00407CDE" w:rsidRPr="006054CD">
        <w:rPr>
          <w:rFonts w:ascii="Arial" w:eastAsia="Times New Roman" w:hAnsi="Arial" w:cs="Arial"/>
          <w:i/>
        </w:rPr>
        <w:t>Candida glabrata</w:t>
      </w:r>
      <w:r w:rsidR="00407CDE" w:rsidRPr="006054CD">
        <w:rPr>
          <w:rFonts w:ascii="Arial" w:eastAsia="Times New Roman" w:hAnsi="Arial" w:cs="Arial"/>
        </w:rPr>
        <w:t xml:space="preserve">), </w:t>
      </w:r>
      <w:r w:rsidR="00407CDE" w:rsidRPr="006054CD">
        <w:rPr>
          <w:rFonts w:ascii="Arial" w:eastAsia="Times New Roman" w:hAnsi="Arial" w:cs="Arial"/>
          <w:i/>
        </w:rPr>
        <w:t>Candida tropicalis</w:t>
      </w:r>
      <w:r w:rsidR="00407CDE" w:rsidRPr="006054CD">
        <w:rPr>
          <w:rFonts w:ascii="Arial" w:eastAsia="Times New Roman" w:hAnsi="Arial" w:cs="Arial"/>
        </w:rPr>
        <w:t xml:space="preserve"> and Candida</w:t>
      </w:r>
      <w:r w:rsidR="00407CDE" w:rsidRPr="006054CD">
        <w:rPr>
          <w:rFonts w:ascii="Arial" w:eastAsia="Times New Roman" w:hAnsi="Arial" w:cs="Arial"/>
          <w:i/>
        </w:rPr>
        <w:t xml:space="preserve"> albicans</w:t>
      </w:r>
      <w:r w:rsidR="00407CDE" w:rsidRPr="006054CD">
        <w:rPr>
          <w:rFonts w:ascii="Arial" w:eastAsia="Times New Roman" w:hAnsi="Arial" w:cs="Arial"/>
        </w:rPr>
        <w:t>. The samples were prepared from lysate of these 3 yeasts and soluble antigens obtained by Heat Shock Protein (HSPs) process. The application was subcutaneous, weekly, with progressive doses of 0.1 mL to 0.5 mL.</w:t>
      </w:r>
    </w:p>
    <w:p w14:paraId="47A39DAE" w14:textId="77777777" w:rsidR="00407CDE" w:rsidRPr="006054CD" w:rsidRDefault="00996CD7" w:rsidP="00407CDE">
      <w:pPr>
        <w:spacing w:line="360" w:lineRule="auto"/>
        <w:jc w:val="both"/>
        <w:rPr>
          <w:rFonts w:ascii="Arial" w:eastAsia="Times New Roman" w:hAnsi="Arial" w:cs="Arial"/>
        </w:rPr>
      </w:pPr>
      <w:r w:rsidRPr="006054CD">
        <w:rPr>
          <w:rFonts w:ascii="Arial" w:hAnsi="Arial" w:cs="Arial"/>
          <w:b/>
          <w:bCs/>
        </w:rPr>
        <w:t>Results</w:t>
      </w:r>
      <w:r w:rsidRPr="006054CD">
        <w:rPr>
          <w:rFonts w:ascii="Arial" w:hAnsi="Arial" w:cs="Arial"/>
        </w:rPr>
        <w:t>:</w:t>
      </w:r>
      <w:r w:rsidR="00407CDE" w:rsidRPr="006054CD">
        <w:rPr>
          <w:rFonts w:ascii="Arial" w:hAnsi="Arial" w:cs="Arial"/>
        </w:rPr>
        <w:t xml:space="preserve"> </w:t>
      </w:r>
      <w:r w:rsidR="00407CDE" w:rsidRPr="006054CD">
        <w:rPr>
          <w:rFonts w:ascii="Arial" w:eastAsia="Times New Roman" w:hAnsi="Arial" w:cs="Arial"/>
        </w:rPr>
        <w:t xml:space="preserve">Of the fifty women with </w:t>
      </w:r>
      <w:r w:rsidR="00407CDE" w:rsidRPr="006054CD">
        <w:rPr>
          <w:rFonts w:ascii="Arial" w:eastAsia="Times New Roman" w:hAnsi="Arial" w:cs="Arial"/>
          <w:color w:val="000000"/>
        </w:rPr>
        <w:t>RVVC c</w:t>
      </w:r>
      <w:r w:rsidR="00407CDE" w:rsidRPr="006054CD">
        <w:rPr>
          <w:rFonts w:ascii="Arial" w:eastAsia="Times New Roman" w:hAnsi="Arial" w:cs="Arial"/>
        </w:rPr>
        <w:t xml:space="preserve">onfirmed by direct mycological examination and molecular identification for </w:t>
      </w:r>
      <w:r w:rsidR="00407CDE" w:rsidRPr="006054CD">
        <w:rPr>
          <w:rFonts w:ascii="Arial" w:eastAsia="Times New Roman" w:hAnsi="Arial" w:cs="Arial"/>
          <w:i/>
        </w:rPr>
        <w:t>Candida</w:t>
      </w:r>
      <w:r w:rsidR="00407CDE" w:rsidRPr="006054CD">
        <w:rPr>
          <w:rFonts w:ascii="Arial" w:eastAsia="Times New Roman" w:hAnsi="Arial" w:cs="Arial"/>
        </w:rPr>
        <w:t xml:space="preserve"> spp.: The mean age was 34 years with SD 10.37. The majority were married (54%) and completed higher education (70%). 56.0% reported the habit of cleaning the vulva once a day and 74% washed it with regular soap. 98% were sexually active and 60% had pregnancies. In addition, 62% had a diagnosis of rhinitis. A positive skin test for </w:t>
      </w:r>
      <w:r w:rsidR="00407CDE" w:rsidRPr="006054CD">
        <w:rPr>
          <w:rFonts w:ascii="Arial" w:eastAsia="Times New Roman" w:hAnsi="Arial" w:cs="Arial"/>
          <w:i/>
        </w:rPr>
        <w:t>Candida</w:t>
      </w:r>
      <w:r w:rsidR="00407CDE" w:rsidRPr="006054CD">
        <w:rPr>
          <w:rFonts w:ascii="Arial" w:eastAsia="Times New Roman" w:hAnsi="Arial" w:cs="Arial"/>
        </w:rPr>
        <w:t xml:space="preserve"> was observed in 44% of the patients. Regarding VVC, 54% of the participants had lived with it for more than five years. Most of them (56%) had four to eight episodes per year. In each episode, approximately 58% had up to seven symptoms, with sensitivity being the most common symptom, present in 100% of the cases (Table 1). After undergoing immunotherapy treatment for a period of two years, most patients (62%) showed complete recovery. Another eight patients (16%) reported partial improvement, reducing the number of episodes, while ten (20%) showed no improvement and one (2%) reported worsening of the clinical condition. </w:t>
      </w:r>
      <w:r w:rsidR="00407CDE" w:rsidRPr="006054CD">
        <w:rPr>
          <w:rFonts w:ascii="Arial" w:eastAsia="Times New Roman" w:hAnsi="Arial" w:cs="Arial"/>
          <w:color w:val="000000"/>
        </w:rPr>
        <w:t xml:space="preserve">Species identification was: </w:t>
      </w:r>
      <w:r w:rsidR="00407CDE" w:rsidRPr="006054CD">
        <w:rPr>
          <w:rFonts w:ascii="Arial" w:eastAsia="Times New Roman" w:hAnsi="Arial" w:cs="Arial"/>
          <w:i/>
        </w:rPr>
        <w:t>Candida albicans</w:t>
      </w:r>
      <w:r w:rsidR="00407CDE" w:rsidRPr="006054CD">
        <w:rPr>
          <w:rFonts w:ascii="Arial" w:eastAsia="Times New Roman" w:hAnsi="Arial" w:cs="Arial"/>
        </w:rPr>
        <w:t xml:space="preserve"> in 25 cases (50%), </w:t>
      </w:r>
      <w:r w:rsidR="00407CDE" w:rsidRPr="006054CD">
        <w:rPr>
          <w:rFonts w:ascii="Arial" w:eastAsia="Times New Roman" w:hAnsi="Arial" w:cs="Arial"/>
          <w:i/>
        </w:rPr>
        <w:t>Nakaseomyces glabratus</w:t>
      </w:r>
      <w:r w:rsidR="00407CDE" w:rsidRPr="006054CD">
        <w:rPr>
          <w:rFonts w:ascii="Arial" w:eastAsia="Times New Roman" w:hAnsi="Arial" w:cs="Arial"/>
        </w:rPr>
        <w:t xml:space="preserve"> (</w:t>
      </w:r>
      <w:r w:rsidR="00407CDE" w:rsidRPr="006054CD">
        <w:rPr>
          <w:rFonts w:ascii="Arial" w:eastAsia="Times New Roman" w:hAnsi="Arial" w:cs="Arial"/>
          <w:i/>
        </w:rPr>
        <w:t>Candida glabrata</w:t>
      </w:r>
      <w:r w:rsidR="00407CDE" w:rsidRPr="006054CD">
        <w:rPr>
          <w:rFonts w:ascii="Arial" w:eastAsia="Times New Roman" w:hAnsi="Arial" w:cs="Arial"/>
        </w:rPr>
        <w:t xml:space="preserve">) in 10 cases (20%), </w:t>
      </w:r>
      <w:r w:rsidR="00407CDE" w:rsidRPr="006054CD">
        <w:rPr>
          <w:rFonts w:ascii="Arial" w:eastAsia="Times New Roman" w:hAnsi="Arial" w:cs="Arial"/>
          <w:i/>
        </w:rPr>
        <w:t>Candida krusei</w:t>
      </w:r>
      <w:r w:rsidR="00407CDE" w:rsidRPr="006054CD">
        <w:rPr>
          <w:rFonts w:ascii="Arial" w:eastAsia="Times New Roman" w:hAnsi="Arial" w:cs="Arial"/>
        </w:rPr>
        <w:t xml:space="preserve"> and </w:t>
      </w:r>
      <w:r w:rsidR="00407CDE" w:rsidRPr="006054CD">
        <w:rPr>
          <w:rFonts w:ascii="Arial" w:eastAsia="Times New Roman" w:hAnsi="Arial" w:cs="Arial"/>
          <w:i/>
        </w:rPr>
        <w:t>Candida tropicalis</w:t>
      </w:r>
      <w:r w:rsidR="00407CDE" w:rsidRPr="006054CD">
        <w:rPr>
          <w:rFonts w:ascii="Arial" w:eastAsia="Times New Roman" w:hAnsi="Arial" w:cs="Arial"/>
        </w:rPr>
        <w:t xml:space="preserve">, </w:t>
      </w:r>
      <w:r w:rsidR="00407CDE" w:rsidRPr="006054CD">
        <w:rPr>
          <w:rFonts w:ascii="Arial" w:eastAsia="Times New Roman" w:hAnsi="Arial" w:cs="Arial"/>
          <w:color w:val="000000"/>
        </w:rPr>
        <w:t xml:space="preserve">in 6 cases each (12%), and </w:t>
      </w:r>
      <w:r w:rsidR="00407CDE" w:rsidRPr="006054CD">
        <w:rPr>
          <w:rFonts w:ascii="Arial" w:eastAsia="Times New Roman" w:hAnsi="Arial" w:cs="Arial"/>
          <w:i/>
          <w:color w:val="000000"/>
        </w:rPr>
        <w:t>Candida dubliniensis</w:t>
      </w:r>
      <w:r w:rsidR="00407CDE" w:rsidRPr="006054CD">
        <w:rPr>
          <w:rFonts w:ascii="Arial" w:eastAsia="Times New Roman" w:hAnsi="Arial" w:cs="Arial"/>
          <w:color w:val="000000"/>
        </w:rPr>
        <w:t xml:space="preserve">, in 3 cases (6%). </w:t>
      </w:r>
      <w:r w:rsidR="00407CDE" w:rsidRPr="006054CD">
        <w:rPr>
          <w:rFonts w:ascii="Arial" w:eastAsia="Times New Roman" w:hAnsi="Arial" w:cs="Arial"/>
        </w:rPr>
        <w:t>The patients</w:t>
      </w:r>
      <w:r w:rsidR="00407CDE" w:rsidRPr="006054CD">
        <w:rPr>
          <w:rFonts w:ascii="Arial" w:eastAsia="Times New Roman" w:hAnsi="Arial" w:cs="Arial"/>
          <w:color w:val="000000"/>
        </w:rPr>
        <w:t xml:space="preserve"> infected with </w:t>
      </w:r>
      <w:r w:rsidR="00407CDE" w:rsidRPr="006054CD">
        <w:rPr>
          <w:rFonts w:ascii="Arial" w:eastAsia="Times New Roman" w:hAnsi="Arial" w:cs="Arial"/>
          <w:i/>
          <w:color w:val="000000"/>
        </w:rPr>
        <w:t>C. dubliniensis,</w:t>
      </w:r>
      <w:r w:rsidR="00407CDE" w:rsidRPr="006054CD">
        <w:rPr>
          <w:rFonts w:ascii="Arial" w:eastAsia="Times New Roman" w:hAnsi="Arial" w:cs="Arial"/>
          <w:color w:val="000000"/>
        </w:rPr>
        <w:t xml:space="preserve"> reach</w:t>
      </w:r>
      <w:r w:rsidR="00407CDE" w:rsidRPr="006054CD">
        <w:rPr>
          <w:rFonts w:ascii="Arial" w:eastAsia="Times New Roman" w:hAnsi="Arial" w:cs="Arial"/>
        </w:rPr>
        <w:t>ed</w:t>
      </w:r>
      <w:r w:rsidR="00407CDE" w:rsidRPr="006054CD">
        <w:rPr>
          <w:rFonts w:ascii="Arial" w:eastAsia="Times New Roman" w:hAnsi="Arial" w:cs="Arial"/>
          <w:color w:val="000000"/>
        </w:rPr>
        <w:t xml:space="preserve"> 100% </w:t>
      </w:r>
      <w:r w:rsidR="00407CDE" w:rsidRPr="006054CD">
        <w:rPr>
          <w:rFonts w:ascii="Arial" w:eastAsia="Times New Roman" w:hAnsi="Arial" w:cs="Arial"/>
        </w:rPr>
        <w:t>recovery</w:t>
      </w:r>
      <w:r w:rsidR="00407CDE" w:rsidRPr="006054CD">
        <w:rPr>
          <w:rFonts w:ascii="Arial" w:eastAsia="Times New Roman" w:hAnsi="Arial" w:cs="Arial"/>
          <w:color w:val="000000"/>
        </w:rPr>
        <w:t xml:space="preserve">. The species </w:t>
      </w:r>
      <w:r w:rsidR="00407CDE" w:rsidRPr="006054CD">
        <w:rPr>
          <w:rFonts w:ascii="Arial" w:eastAsia="Times New Roman" w:hAnsi="Arial" w:cs="Arial"/>
          <w:i/>
        </w:rPr>
        <w:t>Nakaseomyces glabratus</w:t>
      </w:r>
      <w:r w:rsidR="00407CDE" w:rsidRPr="006054CD">
        <w:rPr>
          <w:rFonts w:ascii="Arial" w:eastAsia="Times New Roman" w:hAnsi="Arial" w:cs="Arial"/>
        </w:rPr>
        <w:t xml:space="preserve"> and </w:t>
      </w:r>
      <w:r w:rsidR="00407CDE" w:rsidRPr="006054CD">
        <w:rPr>
          <w:rFonts w:ascii="Arial" w:eastAsia="Times New Roman" w:hAnsi="Arial" w:cs="Arial"/>
          <w:i/>
        </w:rPr>
        <w:t>C. krusei</w:t>
      </w:r>
      <w:r w:rsidR="00407CDE" w:rsidRPr="006054CD">
        <w:rPr>
          <w:rFonts w:ascii="Arial" w:eastAsia="Times New Roman" w:hAnsi="Arial" w:cs="Arial"/>
        </w:rPr>
        <w:t xml:space="preserve"> were associated with the highest rates of lack of response to treatment, representing 27.3% and 18.2%, respectively, of the cases that did not respond positively to treatment (Graph-1).</w:t>
      </w:r>
    </w:p>
    <w:p w14:paraId="5DB64525" w14:textId="77777777" w:rsidR="00996CD7" w:rsidRPr="006054CD" w:rsidRDefault="00996CD7">
      <w:pPr>
        <w:rPr>
          <w:rFonts w:ascii="Arial" w:hAnsi="Arial" w:cs="Arial"/>
        </w:rPr>
      </w:pPr>
    </w:p>
    <w:p w14:paraId="2CCA7E56" w14:textId="77777777" w:rsidR="00407CDE" w:rsidRPr="006054CD" w:rsidRDefault="00996CD7" w:rsidP="00407CDE">
      <w:pPr>
        <w:spacing w:line="360" w:lineRule="auto"/>
        <w:jc w:val="both"/>
        <w:rPr>
          <w:rFonts w:ascii="Arial" w:eastAsia="Times New Roman" w:hAnsi="Arial" w:cs="Arial"/>
          <w:color w:val="000000"/>
        </w:rPr>
      </w:pPr>
      <w:r w:rsidRPr="006054CD">
        <w:rPr>
          <w:rFonts w:ascii="Arial" w:hAnsi="Arial" w:cs="Arial"/>
          <w:b/>
          <w:bCs/>
        </w:rPr>
        <w:t>Conclusions</w:t>
      </w:r>
      <w:r w:rsidRPr="006054CD">
        <w:rPr>
          <w:rFonts w:ascii="Arial" w:hAnsi="Arial" w:cs="Arial"/>
        </w:rPr>
        <w:t>:</w:t>
      </w:r>
      <w:r w:rsidR="00407CDE" w:rsidRPr="006054CD">
        <w:rPr>
          <w:rFonts w:ascii="Arial" w:hAnsi="Arial" w:cs="Arial"/>
        </w:rPr>
        <w:t xml:space="preserve"> </w:t>
      </w:r>
      <w:r w:rsidR="00407CDE" w:rsidRPr="006054CD">
        <w:rPr>
          <w:rFonts w:ascii="Arial" w:eastAsia="Times New Roman" w:hAnsi="Arial" w:cs="Arial"/>
          <w:color w:val="000000"/>
        </w:rPr>
        <w:t xml:space="preserve">Immunotherapy has been shown to be an effective strategy for RVVC, with most patients showing improvement after two years of treatment. The response varied according to the </w:t>
      </w:r>
      <w:r w:rsidR="00407CDE" w:rsidRPr="006054CD">
        <w:rPr>
          <w:rFonts w:ascii="Arial" w:eastAsia="Times New Roman" w:hAnsi="Arial" w:cs="Arial"/>
          <w:i/>
          <w:color w:val="000000"/>
        </w:rPr>
        <w:t>Candida</w:t>
      </w:r>
      <w:r w:rsidR="00407CDE" w:rsidRPr="006054CD">
        <w:rPr>
          <w:rFonts w:ascii="Arial" w:eastAsia="Times New Roman" w:hAnsi="Arial" w:cs="Arial"/>
          <w:color w:val="000000"/>
        </w:rPr>
        <w:t xml:space="preserve"> species, with </w:t>
      </w:r>
      <w:r w:rsidR="00407CDE" w:rsidRPr="006054CD">
        <w:rPr>
          <w:rFonts w:ascii="Arial" w:eastAsia="Times New Roman" w:hAnsi="Arial" w:cs="Arial"/>
          <w:i/>
          <w:color w:val="000000"/>
        </w:rPr>
        <w:t>C. dubliniensis</w:t>
      </w:r>
      <w:r w:rsidR="00407CDE" w:rsidRPr="006054CD">
        <w:rPr>
          <w:rFonts w:ascii="Arial" w:eastAsia="Times New Roman" w:hAnsi="Arial" w:cs="Arial"/>
          <w:color w:val="000000"/>
        </w:rPr>
        <w:t xml:space="preserve"> being highly sensitive, while </w:t>
      </w:r>
      <w:r w:rsidR="00407CDE" w:rsidRPr="006054CD">
        <w:rPr>
          <w:rFonts w:ascii="Arial" w:eastAsia="Times New Roman" w:hAnsi="Arial" w:cs="Arial"/>
          <w:i/>
          <w:color w:val="000000"/>
        </w:rPr>
        <w:t xml:space="preserve">Nakaseomyces </w:t>
      </w:r>
      <w:r w:rsidR="00407CDE" w:rsidRPr="006054CD">
        <w:rPr>
          <w:rFonts w:ascii="Arial" w:eastAsia="Times New Roman" w:hAnsi="Arial" w:cs="Arial"/>
          <w:i/>
          <w:color w:val="000000"/>
        </w:rPr>
        <w:lastRenderedPageBreak/>
        <w:t>glabratus</w:t>
      </w:r>
      <w:r w:rsidR="00407CDE" w:rsidRPr="006054CD">
        <w:rPr>
          <w:rFonts w:ascii="Arial" w:eastAsia="Times New Roman" w:hAnsi="Arial" w:cs="Arial"/>
          <w:color w:val="000000"/>
        </w:rPr>
        <w:t xml:space="preserve"> and </w:t>
      </w:r>
      <w:r w:rsidR="00407CDE" w:rsidRPr="006054CD">
        <w:rPr>
          <w:rFonts w:ascii="Arial" w:eastAsia="Times New Roman" w:hAnsi="Arial" w:cs="Arial"/>
          <w:i/>
          <w:color w:val="000000"/>
        </w:rPr>
        <w:t>C. krusei</w:t>
      </w:r>
      <w:r w:rsidR="00407CDE" w:rsidRPr="006054CD">
        <w:rPr>
          <w:rFonts w:ascii="Arial" w:eastAsia="Times New Roman" w:hAnsi="Arial" w:cs="Arial"/>
          <w:color w:val="000000"/>
        </w:rPr>
        <w:t xml:space="preserve"> showing greater resistance. These results reinforce the importance of identifying the fungal species before starting treatment, as this can guide a more targeted and effective approach. Immunotherapy </w:t>
      </w:r>
      <w:r w:rsidR="00407CDE" w:rsidRPr="006054CD">
        <w:rPr>
          <w:rFonts w:ascii="Arial" w:eastAsia="Times New Roman" w:hAnsi="Arial" w:cs="Arial"/>
        </w:rPr>
        <w:t>is</w:t>
      </w:r>
      <w:r w:rsidR="00407CDE" w:rsidRPr="006054CD">
        <w:rPr>
          <w:rFonts w:ascii="Arial" w:eastAsia="Times New Roman" w:hAnsi="Arial" w:cs="Arial"/>
          <w:color w:val="000000"/>
        </w:rPr>
        <w:t xml:space="preserve"> a promising alternative, especially for cases that do not respond to traditional antifungals, contributing to more effective management of RVVC.</w:t>
      </w:r>
    </w:p>
    <w:tbl>
      <w:tblPr>
        <w:tblW w:w="8924" w:type="dxa"/>
        <w:tblInd w:w="-431" w:type="dxa"/>
        <w:tblBorders>
          <w:top w:val="nil"/>
          <w:left w:val="nil"/>
          <w:bottom w:val="nil"/>
          <w:right w:val="nil"/>
          <w:insideH w:val="nil"/>
          <w:insideV w:val="nil"/>
        </w:tblBorders>
        <w:tblLayout w:type="fixed"/>
        <w:tblLook w:val="0400" w:firstRow="0" w:lastRow="0" w:firstColumn="0" w:lastColumn="0" w:noHBand="0" w:noVBand="1"/>
      </w:tblPr>
      <w:tblGrid>
        <w:gridCol w:w="1694"/>
        <w:gridCol w:w="1694"/>
        <w:gridCol w:w="1697"/>
        <w:gridCol w:w="1281"/>
        <w:gridCol w:w="1279"/>
        <w:gridCol w:w="1279"/>
      </w:tblGrid>
      <w:tr w:rsidR="00407CDE" w:rsidRPr="006054CD" w14:paraId="4CA0A57B" w14:textId="77777777" w:rsidTr="00964682">
        <w:tc>
          <w:tcPr>
            <w:tcW w:w="1694" w:type="dxa"/>
          </w:tcPr>
          <w:p w14:paraId="6F5D6FF9" w14:textId="77777777" w:rsidR="00407CDE" w:rsidRPr="006054CD" w:rsidRDefault="00407CDE" w:rsidP="00964682">
            <w:pPr>
              <w:spacing w:line="240" w:lineRule="auto"/>
              <w:rPr>
                <w:rFonts w:ascii="Arial" w:eastAsia="Times New Roman" w:hAnsi="Arial" w:cs="Arial"/>
              </w:rPr>
            </w:pPr>
          </w:p>
        </w:tc>
        <w:tc>
          <w:tcPr>
            <w:tcW w:w="1694" w:type="dxa"/>
          </w:tcPr>
          <w:p w14:paraId="6E9D8F47" w14:textId="77777777" w:rsidR="00407CDE" w:rsidRPr="006054CD" w:rsidRDefault="00407CDE" w:rsidP="00964682">
            <w:pPr>
              <w:spacing w:line="240" w:lineRule="auto"/>
              <w:rPr>
                <w:rFonts w:ascii="Arial" w:eastAsia="Times New Roman" w:hAnsi="Arial" w:cs="Arial"/>
              </w:rPr>
            </w:pPr>
            <w:r w:rsidRPr="006054CD">
              <w:rPr>
                <w:rFonts w:ascii="Arial" w:eastAsia="Times New Roman" w:hAnsi="Arial" w:cs="Arial"/>
              </w:rPr>
              <w:t xml:space="preserve"> </w:t>
            </w:r>
          </w:p>
        </w:tc>
        <w:tc>
          <w:tcPr>
            <w:tcW w:w="1697" w:type="dxa"/>
          </w:tcPr>
          <w:p w14:paraId="2D8E7F52" w14:textId="77777777" w:rsidR="00407CDE" w:rsidRPr="006054CD" w:rsidRDefault="00407CDE" w:rsidP="00964682">
            <w:pPr>
              <w:spacing w:line="240" w:lineRule="auto"/>
              <w:rPr>
                <w:rFonts w:ascii="Arial" w:eastAsia="Times New Roman" w:hAnsi="Arial" w:cs="Arial"/>
              </w:rPr>
            </w:pPr>
            <w:r w:rsidRPr="006054CD">
              <w:rPr>
                <w:rFonts w:ascii="Arial" w:eastAsia="Times New Roman" w:hAnsi="Arial" w:cs="Arial"/>
              </w:rPr>
              <w:t xml:space="preserve"> </w:t>
            </w:r>
          </w:p>
        </w:tc>
        <w:tc>
          <w:tcPr>
            <w:tcW w:w="1281" w:type="dxa"/>
          </w:tcPr>
          <w:p w14:paraId="4EB72F40" w14:textId="77777777" w:rsidR="00407CDE" w:rsidRPr="006054CD" w:rsidRDefault="00407CDE" w:rsidP="00964682">
            <w:pPr>
              <w:spacing w:line="240" w:lineRule="auto"/>
              <w:rPr>
                <w:rFonts w:ascii="Arial" w:eastAsia="Times New Roman" w:hAnsi="Arial" w:cs="Arial"/>
              </w:rPr>
            </w:pPr>
            <w:r w:rsidRPr="006054CD">
              <w:rPr>
                <w:rFonts w:ascii="Arial" w:eastAsia="Times New Roman" w:hAnsi="Arial" w:cs="Arial"/>
              </w:rPr>
              <w:t xml:space="preserve"> </w:t>
            </w:r>
          </w:p>
        </w:tc>
        <w:tc>
          <w:tcPr>
            <w:tcW w:w="1279" w:type="dxa"/>
          </w:tcPr>
          <w:p w14:paraId="649C8882" w14:textId="77777777" w:rsidR="00407CDE" w:rsidRPr="006054CD" w:rsidRDefault="00407CDE" w:rsidP="00964682">
            <w:pPr>
              <w:spacing w:line="240" w:lineRule="auto"/>
              <w:rPr>
                <w:rFonts w:ascii="Arial" w:eastAsia="Times New Roman" w:hAnsi="Arial" w:cs="Arial"/>
              </w:rPr>
            </w:pPr>
          </w:p>
        </w:tc>
        <w:tc>
          <w:tcPr>
            <w:tcW w:w="1279" w:type="dxa"/>
          </w:tcPr>
          <w:p w14:paraId="642DD065" w14:textId="77777777" w:rsidR="00407CDE" w:rsidRPr="006054CD" w:rsidRDefault="00407CDE" w:rsidP="00964682">
            <w:pPr>
              <w:spacing w:line="240" w:lineRule="auto"/>
              <w:rPr>
                <w:rFonts w:ascii="Arial" w:eastAsia="Times New Roman" w:hAnsi="Arial" w:cs="Arial"/>
              </w:rPr>
            </w:pPr>
          </w:p>
        </w:tc>
      </w:tr>
    </w:tbl>
    <w:p w14:paraId="39F156DA" w14:textId="49F94403" w:rsidR="00996CD7" w:rsidRPr="006054CD" w:rsidRDefault="00996CD7">
      <w:pPr>
        <w:rPr>
          <w:rFonts w:ascii="Arial" w:hAnsi="Arial" w:cs="Arial"/>
        </w:rPr>
      </w:pPr>
    </w:p>
    <w:p w14:paraId="7A9DB120" w14:textId="77777777" w:rsidR="00996CD7" w:rsidRPr="006054CD" w:rsidRDefault="00996CD7">
      <w:pPr>
        <w:rPr>
          <w:rFonts w:ascii="Arial" w:hAnsi="Arial" w:cs="Arial"/>
        </w:rPr>
      </w:pPr>
    </w:p>
    <w:p w14:paraId="0EA100DB" w14:textId="77777777" w:rsidR="00996CD7" w:rsidRPr="006054CD" w:rsidRDefault="00996CD7">
      <w:pPr>
        <w:rPr>
          <w:rFonts w:ascii="Arial" w:hAnsi="Arial" w:cs="Arial"/>
        </w:rPr>
      </w:pPr>
    </w:p>
    <w:p w14:paraId="13D01230" w14:textId="4C82C409" w:rsidR="00996CD7" w:rsidRPr="006054CD" w:rsidRDefault="00996CD7">
      <w:pPr>
        <w:rPr>
          <w:rFonts w:ascii="Arial" w:hAnsi="Arial" w:cs="Arial"/>
        </w:rPr>
      </w:pPr>
    </w:p>
    <w:sectPr w:rsidR="00996CD7" w:rsidRPr="006054CD" w:rsidSect="0084097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D7"/>
    <w:rsid w:val="00407CDE"/>
    <w:rsid w:val="005B610D"/>
    <w:rsid w:val="006054CD"/>
    <w:rsid w:val="006C2EE9"/>
    <w:rsid w:val="007F1E21"/>
    <w:rsid w:val="0084097F"/>
    <w:rsid w:val="00983C1F"/>
    <w:rsid w:val="00996CD7"/>
    <w:rsid w:val="00CA78D8"/>
    <w:rsid w:val="00D26E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284C"/>
  <w15:chartTrackingRefBased/>
  <w15:docId w15:val="{119751DD-D57F-43FF-8127-F26A5325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E5BB6B2551204E90E87C9C4CC28D74" ma:contentTypeVersion="17" ma:contentTypeDescription="Een nieuw document maken." ma:contentTypeScope="" ma:versionID="94655affa9f5700b87be3031a122f1e2">
  <xsd:schema xmlns:xsd="http://www.w3.org/2001/XMLSchema" xmlns:xs="http://www.w3.org/2001/XMLSchema" xmlns:p="http://schemas.microsoft.com/office/2006/metadata/properties" xmlns:ns2="07d8587c-0836-4532-90f7-764b32c417a5" xmlns:ns3="70ec7d87-6c4d-40da-98cd-7b9ec8f457dc" xmlns:ns4="04cdc74e-25b3-4bba-ac0d-2981243ccd36" targetNamespace="http://schemas.microsoft.com/office/2006/metadata/properties" ma:root="true" ma:fieldsID="2d53a2a53c1f85a7d94802fbf0278ba1" ns2:_="" ns3:_="" ns4:_="">
    <xsd:import namespace="07d8587c-0836-4532-90f7-764b32c417a5"/>
    <xsd:import namespace="70ec7d87-6c4d-40da-98cd-7b9ec8f457dc"/>
    <xsd:import namespace="04cdc74e-25b3-4bba-ac0d-2981243ccd36"/>
    <xsd:element name="properties">
      <xsd:complexType>
        <xsd:sequence>
          <xsd:element name="documentManagement">
            <xsd:complexType>
              <xsd:all>
                <xsd:element ref="ns2:TaxKeywordTaxHTField" minOccurs="0"/>
                <xsd:element ref="ns2:TaxCatchAll" minOccurs="0"/>
                <xsd:element ref="ns3:Archief"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2:SharedWithUsers" minOccurs="0"/>
                <xsd:element ref="ns2:SharedWithDetails"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8587c-0836-4532-90f7-764b32c417a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Ondernemingstrefwoorden" ma:fieldId="{23f27201-bee3-471e-b2e7-b64fd8b7ca38}" ma:taxonomyMulti="true" ma:sspId="d324aff7-e125-433d-a6aa-4640c31b86e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1f32c97d-f913-4fd3-989e-eb9e1bc4521e}" ma:internalName="TaxCatchAll" ma:showField="CatchAllData" ma:web="07d8587c-0836-4532-90f7-764b32c417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ec7d87-6c4d-40da-98cd-7b9ec8f457dc" elementFormDefault="qualified">
    <xsd:import namespace="http://schemas.microsoft.com/office/2006/documentManagement/types"/>
    <xsd:import namespace="http://schemas.microsoft.com/office/infopath/2007/PartnerControls"/>
    <xsd:element name="Archief" ma:index="11" nillable="true" ma:displayName="Archief" ma:default="0" ma:description="Deze kolom geeft aan of een document gearchiveerd is." ma:indexed="true" ma:internalName="Archief">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4cdc74e-25b3-4bba-ac0d-2981243ccd3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07d8587c-0836-4532-90f7-764b32c417a5">
      <Terms xmlns="http://schemas.microsoft.com/office/infopath/2007/PartnerControls"/>
    </TaxKeywordTaxHTField>
    <TaxCatchAll xmlns="07d8587c-0836-4532-90f7-764b32c417a5" xsi:nil="true"/>
    <Archief xmlns="70ec7d87-6c4d-40da-98cd-7b9ec8f457dc">false</Archie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9916A124-A321-466F-B56B-5101A4D28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8587c-0836-4532-90f7-764b32c417a5"/>
    <ds:schemaRef ds:uri="70ec7d87-6c4d-40da-98cd-7b9ec8f457dc"/>
    <ds:schemaRef ds:uri="04cdc74e-25b3-4bba-ac0d-2981243cc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3028C-AC82-48B4-B312-BC32F8C1D313}">
  <ds:schemaRefs>
    <ds:schemaRef ds:uri="http://schemas.microsoft.com/office/2006/metadata/properties"/>
    <ds:schemaRef ds:uri="http://schemas.microsoft.com/office/infopath/2007/PartnerControls"/>
    <ds:schemaRef ds:uri="07d8587c-0836-4532-90f7-764b32c417a5"/>
    <ds:schemaRef ds:uri="70ec7d87-6c4d-40da-98cd-7b9ec8f457dc"/>
  </ds:schemaRefs>
</ds:datastoreItem>
</file>

<file path=customXml/itemProps3.xml><?xml version="1.0" encoding="utf-8"?>
<ds:datastoreItem xmlns:ds="http://schemas.openxmlformats.org/officeDocument/2006/customXml" ds:itemID="{84B56781-83AC-4604-B26E-0CA3757FED9F}">
  <ds:schemaRefs>
    <ds:schemaRef ds:uri="http://schemas.microsoft.com/sharepoint/v3/contenttype/forms"/>
  </ds:schemaRefs>
</ds:datastoreItem>
</file>

<file path=customXml/itemProps4.xml><?xml version="1.0" encoding="utf-8"?>
<ds:datastoreItem xmlns:ds="http://schemas.openxmlformats.org/officeDocument/2006/customXml" ds:itemID="{FFE541AE-39F1-44BF-94A2-B02F1A3C8D35}">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518</Words>
  <Characters>2801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van Borrendam</dc:creator>
  <cp:keywords/>
  <dc:description/>
  <cp:lastModifiedBy>Microsoft Office User</cp:lastModifiedBy>
  <cp:revision>5</cp:revision>
  <dcterms:created xsi:type="dcterms:W3CDTF">2021-02-19T15:06:00Z</dcterms:created>
  <dcterms:modified xsi:type="dcterms:W3CDTF">2025-04-25T17:38:00Z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0x010100A1E5BB6B2551204E90E87C9C4CC28D74</vt:lpwstr>
  </property>
</Properties>
</file>