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B1ABE">
      <w:pPr>
        <w:jc w:val="both"/>
        <w:rPr>
          <w:rFonts w:ascii="Arial" w:hAnsi="Arial" w:cs="Arial"/>
        </w:rPr>
      </w:pPr>
      <w:r>
        <w:rPr>
          <w:rFonts w:ascii="Arial" w:hAnsi="Arial" w:cs="Arial"/>
          <w:b/>
          <w:bCs/>
          <w:lang w:val="en-US"/>
        </w:rPr>
        <w:t>Introduction:</w:t>
      </w:r>
      <w:r>
        <w:rPr>
          <w:rFonts w:ascii="Arial" w:hAnsi="Arial" w:cs="Arial"/>
          <w:lang w:val="en-US"/>
        </w:rPr>
        <w:t xml:space="preserve"> Talaromycosis is an opportunistic mycosis caused by the thermally dimorphic fungus </w:t>
      </w:r>
      <w:r>
        <w:rPr>
          <w:rFonts w:ascii="Arial" w:hAnsi="Arial" w:cs="Arial"/>
          <w:i/>
          <w:iCs/>
          <w:lang w:val="en-US"/>
        </w:rPr>
        <w:t>Talaromyces</w:t>
      </w:r>
      <w:r>
        <w:rPr>
          <w:rFonts w:ascii="Arial" w:hAnsi="Arial" w:cs="Arial"/>
          <w:lang w:val="en-US"/>
        </w:rPr>
        <w:t xml:space="preserve"> </w:t>
      </w:r>
      <w:r>
        <w:rPr>
          <w:rFonts w:ascii="Arial" w:hAnsi="Arial" w:cs="Arial"/>
          <w:i/>
          <w:iCs/>
          <w:lang w:val="en-US"/>
        </w:rPr>
        <w:t>marneffei</w:t>
      </w:r>
      <w:r>
        <w:rPr>
          <w:rFonts w:ascii="Arial" w:hAnsi="Arial" w:cs="Arial"/>
          <w:lang w:val="en-US"/>
        </w:rPr>
        <w:t xml:space="preserve">.  Endemic in Southeast Asia, southern China and northeastern India, it can affect resident people or visitors with compromised immune system (HIV patients, organ transplant recipients, etc…). This is a report of a case of </w:t>
      </w:r>
      <w:r>
        <w:rPr>
          <w:rFonts w:ascii="Arial" w:hAnsi="Arial" w:cs="Arial"/>
          <w:i/>
          <w:iCs/>
          <w:lang w:val="en-US"/>
        </w:rPr>
        <w:t xml:space="preserve">T. marneffei </w:t>
      </w:r>
      <w:r>
        <w:rPr>
          <w:rFonts w:ascii="Arial" w:hAnsi="Arial" w:cs="Arial"/>
          <w:lang w:val="en-US"/>
        </w:rPr>
        <w:t>infection diagnosed at Niguarda Hospital in a kidney transplant recipient living in Italy.</w:t>
      </w:r>
    </w:p>
    <w:p w14:paraId="78E85794">
      <w:pPr>
        <w:jc w:val="both"/>
        <w:rPr>
          <w:rFonts w:ascii="Arial" w:hAnsi="Arial" w:cs="Arial"/>
        </w:rPr>
      </w:pPr>
      <w:r>
        <w:rPr>
          <w:rFonts w:ascii="Arial" w:hAnsi="Arial" w:cs="Arial"/>
          <w:b/>
          <w:bCs/>
          <w:lang w:val="en-US"/>
        </w:rPr>
        <w:t xml:space="preserve">Methods: </w:t>
      </w:r>
      <w:r>
        <w:rPr>
          <w:rFonts w:ascii="Arial" w:hAnsi="Arial" w:cs="Arial"/>
          <w:lang w:val="en-US"/>
        </w:rPr>
        <w:t xml:space="preserve">Female patient, 44 years old, undergoing kidney transplant (June 2023) and on immunosuppressive therapy, was admitted to the Department of Infectious Diseases of our Hospital in August 2024 for an excised lung injury. She reported a trip to Zhejiang, China (November 2023); the patient then underwent bronchoscopy with collection of bronchoalveolar lavage (BAL), which was sent to the Clinical Microbiology Laboratory along with a serum sample. The following tests were performed: </w:t>
      </w:r>
      <w:r>
        <w:rPr>
          <w:rFonts w:ascii="Arial" w:hAnsi="Arial" w:cs="Arial"/>
          <w:i/>
          <w:iCs/>
          <w:lang w:val="en-US"/>
        </w:rPr>
        <w:t>Aspergillus</w:t>
      </w:r>
      <w:r>
        <w:rPr>
          <w:rFonts w:ascii="Arial" w:hAnsi="Arial" w:cs="Arial"/>
          <w:lang w:val="en-US"/>
        </w:rPr>
        <w:t xml:space="preserve"> antigen detection (BAL and serum), standard and fungal culture (BAL) and b-glucan assay (serum).</w:t>
      </w:r>
    </w:p>
    <w:p w14:paraId="7BB278D2">
      <w:pPr>
        <w:jc w:val="both"/>
        <w:rPr>
          <w:rFonts w:ascii="Arial" w:hAnsi="Arial" w:cs="Arial"/>
        </w:rPr>
      </w:pPr>
      <w:r>
        <w:rPr>
          <w:rFonts w:ascii="Arial" w:hAnsi="Arial" w:cs="Arial"/>
          <w:b/>
          <w:bCs/>
          <w:lang w:val="en-US"/>
        </w:rPr>
        <w:t xml:space="preserve">Results: </w:t>
      </w:r>
      <w:r>
        <w:rPr>
          <w:rFonts w:ascii="Arial" w:hAnsi="Arial" w:cs="Arial"/>
          <w:lang w:val="en-US"/>
        </w:rPr>
        <w:t xml:space="preserve">The b-glucan and </w:t>
      </w:r>
      <w:r>
        <w:rPr>
          <w:rFonts w:ascii="Arial" w:hAnsi="Arial" w:cs="Arial"/>
          <w:i/>
          <w:iCs/>
          <w:lang w:val="en-US"/>
        </w:rPr>
        <w:t>Aspergillus</w:t>
      </w:r>
      <w:r>
        <w:rPr>
          <w:rFonts w:ascii="Arial" w:hAnsi="Arial" w:cs="Arial"/>
          <w:lang w:val="en-US"/>
        </w:rPr>
        <w:t xml:space="preserve"> antigen assays yielded positive results, thus raising the suspicion of pulmonary aspergillosis. On Sabouraud’s Dextrose Agar (SDA) after 4 days at 30° C in aerobic atmosphere, the growth of a green, granular colony was observed, producing a red diffusible pigment. The fungus was morphologically identified as </w:t>
      </w:r>
      <w:r>
        <w:rPr>
          <w:rFonts w:ascii="Arial" w:hAnsi="Arial" w:cs="Arial"/>
          <w:i/>
          <w:iCs/>
          <w:lang w:val="en-US"/>
        </w:rPr>
        <w:t>T</w:t>
      </w:r>
      <w:r>
        <w:rPr>
          <w:rFonts w:ascii="Arial" w:hAnsi="Arial" w:cs="Arial"/>
          <w:lang w:val="en-US"/>
        </w:rPr>
        <w:t xml:space="preserve">. </w:t>
      </w:r>
      <w:r>
        <w:rPr>
          <w:rFonts w:ascii="Arial" w:hAnsi="Arial" w:cs="Arial"/>
          <w:i/>
          <w:iCs/>
          <w:lang w:val="en-US"/>
        </w:rPr>
        <w:t>marneffei</w:t>
      </w:r>
      <w:r>
        <w:rPr>
          <w:rFonts w:ascii="Arial" w:hAnsi="Arial" w:cs="Arial"/>
          <w:lang w:val="en-US"/>
        </w:rPr>
        <w:t xml:space="preserve"> and the identification was then confirmed by sequencing of the ribosomal ITS subunit</w:t>
      </w:r>
      <w:r>
        <w:rPr>
          <w:rFonts w:hint="default" w:ascii="Arial" w:hAnsi="Arial" w:cs="Arial"/>
          <w:lang w:val="it-IT"/>
        </w:rPr>
        <w:t xml:space="preserve"> (Fig.1)</w:t>
      </w:r>
      <w:r>
        <w:rPr>
          <w:rFonts w:ascii="Arial" w:hAnsi="Arial" w:cs="Arial"/>
          <w:lang w:val="en-US"/>
        </w:rPr>
        <w:t>.</w:t>
      </w:r>
      <w:r>
        <w:rPr>
          <w:rFonts w:ascii="Arial" w:hAnsi="Arial" w:cs="Arial"/>
        </w:rPr>
        <w:t xml:space="preserve"> </w:t>
      </w:r>
      <w:r>
        <w:rPr>
          <w:rFonts w:ascii="Arial" w:hAnsi="Arial" w:cs="Arial"/>
          <w:lang w:val="en-US"/>
        </w:rPr>
        <w:t>A conidial suspension of the isolate was inoculated into a BD BACTEC™ Plus Aerobic/F bottle in order to maintain continuous agitation with the BD BACTEC™ FX Blood Culture System. After 5 days, multiple cultures were performed on SDA and incubated at 30° and 36° C to obtain the mold and yeast form, respectively</w:t>
      </w:r>
      <w:r>
        <w:rPr>
          <w:rFonts w:hint="default" w:ascii="Arial" w:hAnsi="Arial" w:cs="Arial"/>
          <w:lang w:val="it-IT"/>
        </w:rPr>
        <w:t xml:space="preserve"> (Fig. 2)</w:t>
      </w:r>
      <w:r>
        <w:rPr>
          <w:rFonts w:ascii="Arial" w:hAnsi="Arial" w:cs="Arial"/>
          <w:lang w:val="en-US"/>
        </w:rPr>
        <w:t>.</w:t>
      </w:r>
      <w:bookmarkStart w:id="0" w:name="_GoBack"/>
      <w:bookmarkEnd w:id="0"/>
    </w:p>
    <w:p w14:paraId="37C62DC1">
      <w:pPr>
        <w:jc w:val="both"/>
        <w:rPr>
          <w:rFonts w:ascii="Arial" w:hAnsi="Arial" w:cs="Arial"/>
        </w:rPr>
      </w:pPr>
      <w:r>
        <w:rPr>
          <w:rFonts w:ascii="Arial" w:hAnsi="Arial" w:cs="Arial"/>
          <w:b/>
          <w:bCs/>
          <w:lang w:val="en-US"/>
        </w:rPr>
        <w:t xml:space="preserve">Conclusions: </w:t>
      </w:r>
      <w:r>
        <w:rPr>
          <w:rFonts w:ascii="Arial" w:hAnsi="Arial" w:cs="Arial"/>
          <w:lang w:val="en-US"/>
        </w:rPr>
        <w:t xml:space="preserve">Climate changes and ease of travel must raise the attention toward pathogens that we do not usually observe in our Country. Close collaboration between attending physicians and Microbiology Lab is essential for both the proper diagnosis and the management of patients. </w:t>
      </w:r>
    </w:p>
    <w:p w14:paraId="53159EC8"/>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22"/>
    <w:rsid w:val="00383A22"/>
    <w:rsid w:val="003C7FEF"/>
    <w:rsid w:val="00AA3B11"/>
    <w:rsid w:val="00B43F71"/>
    <w:rsid w:val="02D511C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311</Words>
  <Characters>1777</Characters>
  <Lines>14</Lines>
  <Paragraphs>4</Paragraphs>
  <TotalTime>31</TotalTime>
  <ScaleCrop>false</ScaleCrop>
  <LinksUpToDate>false</LinksUpToDate>
  <CharactersWithSpaces>2084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2025-04-25T09:56:00Z</dcterms:created>
  <dc:creator>Elisa Matarazzo</dc:creator>
  <cp:lastModifiedBy>Elisa Matarazzo</cp:lastModifiedBy>
  <dcterms:modified xsi:type="dcterms:W3CDTF">2025-04-25T10:29:35Z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497CB929BB5947318CD10BB7BFD032FD_12</vt:lpwstr>
  </property>
</Properties>
</file>