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1FD8D" w14:textId="77777777" w:rsidR="007F1073" w:rsidRDefault="007F1073">
      <w:pPr>
        <w:rPr>
          <w:b/>
          <w:bCs/>
        </w:rPr>
      </w:pPr>
    </w:p>
    <w:p w14:paraId="4BF868BF" w14:textId="2F5D9DC7" w:rsidR="00311166" w:rsidRPr="00CE2328" w:rsidRDefault="00983C1F" w:rsidP="00D84F45">
      <w:pPr>
        <w:jc w:val="both"/>
        <w:rPr>
          <w:rFonts w:ascii="Arial" w:hAnsi="Arial" w:cs="Arial"/>
        </w:rPr>
      </w:pPr>
      <w:r w:rsidRPr="00CE2328">
        <w:rPr>
          <w:rFonts w:ascii="Arial" w:hAnsi="Arial" w:cs="Arial"/>
          <w:b/>
          <w:bCs/>
        </w:rPr>
        <w:t>Ob</w:t>
      </w:r>
      <w:r w:rsidR="00996CD7" w:rsidRPr="00CE2328">
        <w:rPr>
          <w:rFonts w:ascii="Arial" w:hAnsi="Arial" w:cs="Arial"/>
          <w:b/>
          <w:bCs/>
        </w:rPr>
        <w:t>jectives</w:t>
      </w:r>
      <w:r w:rsidR="00996CD7" w:rsidRPr="00CE2328">
        <w:rPr>
          <w:rFonts w:ascii="Arial" w:hAnsi="Arial" w:cs="Arial"/>
        </w:rPr>
        <w:t>:</w:t>
      </w:r>
      <w:r w:rsidR="00B6020E" w:rsidRPr="00CE2328">
        <w:rPr>
          <w:rFonts w:ascii="Arial" w:hAnsi="Arial" w:cs="Arial"/>
        </w:rPr>
        <w:t xml:space="preserve"> To assess the diagnostic value of serum β-D-glucan (BDG) and real-time PCR in detecting </w:t>
      </w:r>
      <w:r w:rsidR="00B6020E" w:rsidRPr="00CE2328">
        <w:rPr>
          <w:rStyle w:val="Accentuation"/>
          <w:rFonts w:ascii="Arial" w:hAnsi="Arial" w:cs="Arial"/>
        </w:rPr>
        <w:t>Pneumocystis jirovecii</w:t>
      </w:r>
      <w:r w:rsidR="00B6020E" w:rsidRPr="00CE2328">
        <w:rPr>
          <w:rFonts w:ascii="Arial" w:hAnsi="Arial" w:cs="Arial"/>
        </w:rPr>
        <w:t xml:space="preserve"> pneumonia (PCP), </w:t>
      </w:r>
      <w:r w:rsidR="00311166" w:rsidRPr="00CE2328">
        <w:rPr>
          <w:rFonts w:ascii="Arial" w:hAnsi="Arial" w:cs="Arial"/>
        </w:rPr>
        <w:t>and to describe the respective contribution of each method to the diagnostic process. The aim is to explore how these tools can be used effectively, individually or in combination, in routine clinical practice to diagnose PCP in immunocompromised patients.</w:t>
      </w:r>
    </w:p>
    <w:p w14:paraId="71DFB36E" w14:textId="05C17C47" w:rsidR="00D84F45" w:rsidRPr="00CE2328" w:rsidRDefault="00996CD7" w:rsidP="00D84F45">
      <w:pPr>
        <w:jc w:val="both"/>
        <w:rPr>
          <w:rFonts w:ascii="Arial" w:hAnsi="Arial" w:cs="Arial"/>
        </w:rPr>
      </w:pPr>
      <w:r w:rsidRPr="00CE2328">
        <w:rPr>
          <w:rFonts w:ascii="Arial" w:hAnsi="Arial" w:cs="Arial"/>
          <w:b/>
          <w:bCs/>
        </w:rPr>
        <w:t>Materials &amp; Methods:</w:t>
      </w:r>
      <w:r w:rsidR="000F1A63" w:rsidRPr="00CE2328">
        <w:rPr>
          <w:rFonts w:ascii="Arial" w:hAnsi="Arial" w:cs="Arial"/>
          <w:b/>
          <w:bCs/>
        </w:rPr>
        <w:t xml:space="preserve"> </w:t>
      </w:r>
      <w:r w:rsidR="000F1A63" w:rsidRPr="00CE2328">
        <w:rPr>
          <w:rFonts w:ascii="Arial" w:hAnsi="Arial" w:cs="Arial"/>
        </w:rPr>
        <w:t xml:space="preserve">This retrospective study included 36 patients who underwent </w:t>
      </w:r>
      <w:r w:rsidR="000F1A63" w:rsidRPr="00CE2328">
        <w:rPr>
          <w:rStyle w:val="Accentuation"/>
          <w:rFonts w:ascii="Arial" w:hAnsi="Arial" w:cs="Arial"/>
          <w:i w:val="0"/>
          <w:iCs w:val="0"/>
        </w:rPr>
        <w:t>PCP</w:t>
      </w:r>
      <w:r w:rsidR="000F1A63" w:rsidRPr="00CE2328">
        <w:rPr>
          <w:rFonts w:ascii="Arial" w:hAnsi="Arial" w:cs="Arial"/>
          <w:i/>
          <w:iCs/>
        </w:rPr>
        <w:t xml:space="preserve"> </w:t>
      </w:r>
      <w:r w:rsidR="000F1A63" w:rsidRPr="00CE2328">
        <w:rPr>
          <w:rFonts w:ascii="Arial" w:hAnsi="Arial" w:cs="Arial"/>
        </w:rPr>
        <w:t>PCR testing (ELITechGroup, Puteaux, France)</w:t>
      </w:r>
      <w:r w:rsidR="007F1073" w:rsidRPr="00CE2328">
        <w:rPr>
          <w:rFonts w:ascii="Arial" w:hAnsi="Arial" w:cs="Arial"/>
        </w:rPr>
        <w:t xml:space="preserve"> on bronchoalveolar lavage (BAL) samples</w:t>
      </w:r>
      <w:r w:rsidR="000F1A63" w:rsidRPr="00CE2328">
        <w:rPr>
          <w:rFonts w:ascii="Arial" w:hAnsi="Arial" w:cs="Arial"/>
        </w:rPr>
        <w:t xml:space="preserve"> in the context of clinical suspicion of pneumocystosis, between October 2023 and April 2025. </w:t>
      </w:r>
      <w:r w:rsidR="00B856B3" w:rsidRPr="00CE2328">
        <w:rPr>
          <w:rFonts w:ascii="Arial" w:hAnsi="Arial" w:cs="Arial"/>
        </w:rPr>
        <w:t xml:space="preserve">The study population </w:t>
      </w:r>
      <w:r w:rsidR="006A460D" w:rsidRPr="00CE2328">
        <w:rPr>
          <w:rFonts w:ascii="Arial" w:hAnsi="Arial" w:cs="Arial"/>
        </w:rPr>
        <w:t>consisted almost</w:t>
      </w:r>
      <w:r w:rsidR="00B856B3" w:rsidRPr="00CE2328">
        <w:rPr>
          <w:rFonts w:ascii="Arial" w:hAnsi="Arial" w:cs="Arial"/>
        </w:rPr>
        <w:t xml:space="preserve"> exclusively </w:t>
      </w:r>
      <w:r w:rsidR="006A460D" w:rsidRPr="00CE2328">
        <w:rPr>
          <w:rFonts w:ascii="Arial" w:hAnsi="Arial" w:cs="Arial"/>
        </w:rPr>
        <w:t xml:space="preserve">of </w:t>
      </w:r>
      <w:r w:rsidR="00B856B3" w:rsidRPr="00CE2328">
        <w:rPr>
          <w:rFonts w:ascii="Arial" w:hAnsi="Arial" w:cs="Arial"/>
        </w:rPr>
        <w:t xml:space="preserve">non-HIV immunocompromised patients, with only one HIV-positive case included in the cohort. </w:t>
      </w:r>
      <w:r w:rsidR="000F1A63" w:rsidRPr="00CE2328">
        <w:rPr>
          <w:rFonts w:ascii="Arial" w:hAnsi="Arial" w:cs="Arial"/>
        </w:rPr>
        <w:t xml:space="preserve">Serum </w:t>
      </w:r>
      <w:r w:rsidR="00A460E6" w:rsidRPr="00CE2328">
        <w:rPr>
          <w:rFonts w:ascii="Arial" w:hAnsi="Arial" w:cs="Arial"/>
        </w:rPr>
        <w:t>BDG</w:t>
      </w:r>
      <w:r w:rsidR="000F1A63" w:rsidRPr="00CE2328">
        <w:rPr>
          <w:rFonts w:ascii="Arial" w:hAnsi="Arial" w:cs="Arial"/>
        </w:rPr>
        <w:t xml:space="preserve"> testing (Fujifilm Wako Chemicals, Richmond, VA, USA) was performed retrospectively on stored serum samples </w:t>
      </w:r>
      <w:r w:rsidR="00543C8B" w:rsidRPr="00CE2328">
        <w:rPr>
          <w:rFonts w:ascii="Arial" w:hAnsi="Arial" w:cs="Arial"/>
        </w:rPr>
        <w:t xml:space="preserve">from these patients </w:t>
      </w:r>
      <w:r w:rsidR="000E167A" w:rsidRPr="00CE2328">
        <w:rPr>
          <w:rFonts w:ascii="Arial" w:hAnsi="Arial" w:cs="Arial"/>
        </w:rPr>
        <w:t>collected on the same day as the bronchoalveolar lavage (BAL).</w:t>
      </w:r>
      <w:r w:rsidR="000F1A63" w:rsidRPr="00CE2328">
        <w:rPr>
          <w:rFonts w:ascii="Arial" w:hAnsi="Arial" w:cs="Arial"/>
        </w:rPr>
        <w:t xml:space="preserve"> Patients were classified as </w:t>
      </w:r>
      <w:r w:rsidR="000F1A63" w:rsidRPr="00CE2328">
        <w:rPr>
          <w:rStyle w:val="Accentuation"/>
          <w:rFonts w:ascii="Arial" w:hAnsi="Arial" w:cs="Arial"/>
          <w:i w:val="0"/>
          <w:iCs w:val="0"/>
        </w:rPr>
        <w:t>probable</w:t>
      </w:r>
      <w:r w:rsidR="000F1A63" w:rsidRPr="00CE2328">
        <w:rPr>
          <w:rFonts w:ascii="Arial" w:hAnsi="Arial" w:cs="Arial"/>
          <w:i/>
          <w:iCs/>
        </w:rPr>
        <w:t xml:space="preserve"> </w:t>
      </w:r>
      <w:r w:rsidR="000F1A63" w:rsidRPr="00CE2328">
        <w:rPr>
          <w:rFonts w:ascii="Arial" w:hAnsi="Arial" w:cs="Arial"/>
        </w:rPr>
        <w:t>or</w:t>
      </w:r>
      <w:r w:rsidR="000F1A63" w:rsidRPr="00CE2328">
        <w:rPr>
          <w:rFonts w:ascii="Arial" w:hAnsi="Arial" w:cs="Arial"/>
          <w:i/>
          <w:iCs/>
        </w:rPr>
        <w:t xml:space="preserve"> </w:t>
      </w:r>
      <w:r w:rsidR="000F1A63" w:rsidRPr="00CE2328">
        <w:rPr>
          <w:rStyle w:val="Accentuation"/>
          <w:rFonts w:ascii="Arial" w:hAnsi="Arial" w:cs="Arial"/>
          <w:i w:val="0"/>
          <w:iCs w:val="0"/>
        </w:rPr>
        <w:t>non-probable PCP</w:t>
      </w:r>
      <w:r w:rsidR="000F1A63" w:rsidRPr="00CE2328">
        <w:rPr>
          <w:rFonts w:ascii="Arial" w:hAnsi="Arial" w:cs="Arial"/>
        </w:rPr>
        <w:t xml:space="preserve"> based on </w:t>
      </w:r>
      <w:r w:rsidR="004D5C73" w:rsidRPr="00CE2328">
        <w:rPr>
          <w:rFonts w:ascii="Arial" w:hAnsi="Arial" w:cs="Arial"/>
        </w:rPr>
        <w:t>the revised European Organization for Research and Treatment of Cancer and the Mycoses Study Group Education and Research Consortium (EORTC/MSGERC) criteria for PCP, taking into account host factors, clinical presentation, and radiological findings.</w:t>
      </w:r>
      <w:r w:rsidR="000F1A63" w:rsidRPr="00CE2328">
        <w:rPr>
          <w:rFonts w:ascii="Arial" w:hAnsi="Arial" w:cs="Arial"/>
        </w:rPr>
        <w:t xml:space="preserve">. </w:t>
      </w:r>
      <w:r w:rsidR="004D5C73" w:rsidRPr="00CE2328">
        <w:rPr>
          <w:rFonts w:ascii="Arial" w:hAnsi="Arial" w:cs="Arial"/>
        </w:rPr>
        <w:t>Receiver operating characteristic (ROC) curves were generated based on the classification of patients as probable or non-probable PCP. These curves were used to determine the optimal cut-off values for each assay, from which sensitivity</w:t>
      </w:r>
      <w:r w:rsidR="00895E7E" w:rsidRPr="00CE2328">
        <w:rPr>
          <w:rFonts w:ascii="Arial" w:hAnsi="Arial" w:cs="Arial"/>
        </w:rPr>
        <w:t xml:space="preserve"> and</w:t>
      </w:r>
      <w:r w:rsidR="004D5C73" w:rsidRPr="00CE2328">
        <w:rPr>
          <w:rFonts w:ascii="Arial" w:hAnsi="Arial" w:cs="Arial"/>
        </w:rPr>
        <w:t xml:space="preserve"> specificity were calculated.</w:t>
      </w:r>
      <w:r w:rsidR="00895E7E" w:rsidRPr="00CE2328">
        <w:rPr>
          <w:rFonts w:ascii="Arial" w:hAnsi="Arial" w:cs="Arial"/>
        </w:rPr>
        <w:t xml:space="preserve"> </w:t>
      </w:r>
      <w:r w:rsidR="004F0B94" w:rsidRPr="00CE2328">
        <w:rPr>
          <w:rFonts w:ascii="Arial" w:hAnsi="Arial" w:cs="Arial"/>
        </w:rPr>
        <w:t xml:space="preserve"> Inter-rater agreement between the two methods was also evaluated using </w:t>
      </w:r>
      <w:r w:rsidR="00F928B2" w:rsidRPr="00CE2328">
        <w:rPr>
          <w:rFonts w:ascii="Arial" w:hAnsi="Arial" w:cs="Arial"/>
        </w:rPr>
        <w:t xml:space="preserve">the </w:t>
      </w:r>
      <w:r w:rsidR="004F0B94" w:rsidRPr="00CE2328">
        <w:rPr>
          <w:rFonts w:ascii="Arial" w:hAnsi="Arial" w:cs="Arial"/>
        </w:rPr>
        <w:t>kappa coefficient, based on the diagnostic classifications obtained using the established ROC-derived cut-offs. Statistical analyses were performed using MedCalc® Statistical Software version 23.0.2</w:t>
      </w:r>
      <w:r w:rsidR="005258C3" w:rsidRPr="00CE2328">
        <w:rPr>
          <w:rFonts w:ascii="Arial" w:hAnsi="Arial" w:cs="Arial"/>
        </w:rPr>
        <w:t>.</w:t>
      </w:r>
    </w:p>
    <w:p w14:paraId="4DEDE184" w14:textId="2C21FFC3" w:rsidR="00996CD7" w:rsidRPr="00CE2328" w:rsidRDefault="00996CD7" w:rsidP="00A460E6">
      <w:pPr>
        <w:jc w:val="both"/>
        <w:rPr>
          <w:rFonts w:ascii="Arial" w:hAnsi="Arial" w:cs="Arial"/>
          <w:b/>
          <w:bCs/>
        </w:rPr>
      </w:pPr>
      <w:r w:rsidRPr="00CE2328">
        <w:rPr>
          <w:rFonts w:ascii="Arial" w:hAnsi="Arial" w:cs="Arial"/>
          <w:b/>
          <w:bCs/>
        </w:rPr>
        <w:t>Results</w:t>
      </w:r>
      <w:r w:rsidRPr="00CE2328">
        <w:rPr>
          <w:rFonts w:ascii="Arial" w:hAnsi="Arial" w:cs="Arial"/>
        </w:rPr>
        <w:t>:</w:t>
      </w:r>
      <w:r w:rsidR="00311166" w:rsidRPr="00CE2328">
        <w:rPr>
          <w:rFonts w:ascii="Arial" w:hAnsi="Arial" w:cs="Arial"/>
        </w:rPr>
        <w:t xml:space="preserve"> </w:t>
      </w:r>
      <w:r w:rsidR="00A460E6" w:rsidRPr="00CE2328">
        <w:rPr>
          <w:rFonts w:ascii="Arial" w:hAnsi="Arial" w:cs="Arial"/>
        </w:rPr>
        <w:t xml:space="preserve">Of the 36 patients included, 14 were classified as </w:t>
      </w:r>
      <w:r w:rsidR="00A460E6" w:rsidRPr="00CE2328">
        <w:rPr>
          <w:rStyle w:val="Accentuation"/>
          <w:rFonts w:ascii="Arial" w:hAnsi="Arial" w:cs="Arial"/>
          <w:i w:val="0"/>
          <w:iCs w:val="0"/>
        </w:rPr>
        <w:t>probable PCP</w:t>
      </w:r>
      <w:r w:rsidR="00A460E6" w:rsidRPr="00CE2328">
        <w:rPr>
          <w:rFonts w:ascii="Arial" w:hAnsi="Arial" w:cs="Arial"/>
          <w:i/>
          <w:iCs/>
        </w:rPr>
        <w:t xml:space="preserve"> </w:t>
      </w:r>
      <w:r w:rsidR="00A460E6" w:rsidRPr="00CE2328">
        <w:rPr>
          <w:rFonts w:ascii="Arial" w:hAnsi="Arial" w:cs="Arial"/>
        </w:rPr>
        <w:t xml:space="preserve">and 22 as </w:t>
      </w:r>
      <w:r w:rsidR="00A460E6" w:rsidRPr="00CE2328">
        <w:rPr>
          <w:rStyle w:val="Accentuation"/>
          <w:rFonts w:ascii="Arial" w:hAnsi="Arial" w:cs="Arial"/>
          <w:i w:val="0"/>
          <w:iCs w:val="0"/>
        </w:rPr>
        <w:t>non-probable</w:t>
      </w:r>
      <w:r w:rsidR="00A460E6" w:rsidRPr="00CE2328">
        <w:rPr>
          <w:rStyle w:val="Accentuation"/>
          <w:rFonts w:ascii="Arial" w:hAnsi="Arial" w:cs="Arial"/>
        </w:rPr>
        <w:t xml:space="preserve"> </w:t>
      </w:r>
      <w:r w:rsidR="00A460E6" w:rsidRPr="00CE2328">
        <w:rPr>
          <w:rStyle w:val="Accentuation"/>
          <w:rFonts w:ascii="Arial" w:hAnsi="Arial" w:cs="Arial"/>
          <w:i w:val="0"/>
          <w:iCs w:val="0"/>
        </w:rPr>
        <w:t>PCP</w:t>
      </w:r>
      <w:r w:rsidR="00A460E6" w:rsidRPr="00CE2328">
        <w:rPr>
          <w:rFonts w:ascii="Arial" w:hAnsi="Arial" w:cs="Arial"/>
          <w:i/>
          <w:iCs/>
        </w:rPr>
        <w:t>.</w:t>
      </w:r>
      <w:r w:rsidR="00A460E6" w:rsidRPr="00CE2328">
        <w:rPr>
          <w:rFonts w:ascii="Arial" w:hAnsi="Arial" w:cs="Arial"/>
        </w:rPr>
        <w:t xml:space="preserve"> ROC curve analysis identified the optimal diagnostic thresholds for each test: 6367 copies/mL (</w:t>
      </w:r>
      <w:r w:rsidR="00922BAF" w:rsidRPr="00CE2328">
        <w:rPr>
          <w:rFonts w:ascii="Arial" w:hAnsi="Arial" w:cs="Arial"/>
        </w:rPr>
        <w:t>cycle threshold (ct)</w:t>
      </w:r>
      <w:r w:rsidR="00A460E6" w:rsidRPr="00CE2328">
        <w:rPr>
          <w:rFonts w:ascii="Arial" w:hAnsi="Arial" w:cs="Arial"/>
        </w:rPr>
        <w:t xml:space="preserve"> 30) for </w:t>
      </w:r>
      <w:r w:rsidR="00A460E6" w:rsidRPr="00CE2328">
        <w:rPr>
          <w:rStyle w:val="Accentuation"/>
          <w:rFonts w:ascii="Arial" w:hAnsi="Arial" w:cs="Arial"/>
          <w:i w:val="0"/>
          <w:iCs w:val="0"/>
        </w:rPr>
        <w:t>PCP</w:t>
      </w:r>
      <w:r w:rsidR="00A460E6" w:rsidRPr="00CE2328">
        <w:rPr>
          <w:rFonts w:ascii="Arial" w:hAnsi="Arial" w:cs="Arial"/>
          <w:i/>
          <w:iCs/>
        </w:rPr>
        <w:t xml:space="preserve"> </w:t>
      </w:r>
      <w:r w:rsidR="00A460E6" w:rsidRPr="00CE2328">
        <w:rPr>
          <w:rFonts w:ascii="Arial" w:hAnsi="Arial" w:cs="Arial"/>
        </w:rPr>
        <w:t>PCR and 8 pg/mL for serum BDG. At these cut-offs, PCP PCR demonstrated 100% sensitivity and 100% specificity</w:t>
      </w:r>
      <w:r w:rsidR="007F1073" w:rsidRPr="00CE2328">
        <w:rPr>
          <w:rFonts w:ascii="Arial" w:hAnsi="Arial" w:cs="Arial"/>
        </w:rPr>
        <w:t xml:space="preserve"> (AUC 1; P &lt; 0.001)</w:t>
      </w:r>
      <w:r w:rsidR="00A460E6" w:rsidRPr="00CE2328">
        <w:rPr>
          <w:rFonts w:ascii="Arial" w:hAnsi="Arial" w:cs="Arial"/>
        </w:rPr>
        <w:t>, while BDG  showed 100% sensitivity and 86% specificity</w:t>
      </w:r>
      <w:r w:rsidR="007F1073" w:rsidRPr="00CE2328">
        <w:rPr>
          <w:rFonts w:ascii="Arial" w:hAnsi="Arial" w:cs="Arial"/>
        </w:rPr>
        <w:t xml:space="preserve"> (AUC 0.98; P &lt; 0.001)</w:t>
      </w:r>
      <w:r w:rsidR="00A460E6" w:rsidRPr="00CE2328">
        <w:rPr>
          <w:rFonts w:ascii="Arial" w:hAnsi="Arial" w:cs="Arial"/>
        </w:rPr>
        <w:t xml:space="preserve">. </w:t>
      </w:r>
      <w:r w:rsidR="00A600A1" w:rsidRPr="00CE2328">
        <w:rPr>
          <w:rFonts w:ascii="Arial" w:hAnsi="Arial" w:cs="Arial"/>
        </w:rPr>
        <w:t>No significant differences were observed in the ROC curves of the two methods for the diagnosis of probable PCP, indicating comparable overall diagnostic accuracy (</w:t>
      </w:r>
      <w:r w:rsidR="003E4C5D" w:rsidRPr="00CE2328">
        <w:rPr>
          <w:rFonts w:ascii="Arial" w:hAnsi="Arial" w:cs="Arial"/>
        </w:rPr>
        <w:t xml:space="preserve">differences </w:t>
      </w:r>
      <w:r w:rsidR="00A600A1" w:rsidRPr="00CE2328">
        <w:rPr>
          <w:rFonts w:ascii="Arial" w:hAnsi="Arial" w:cs="Arial"/>
        </w:rPr>
        <w:t xml:space="preserve">between areas 0.016; </w:t>
      </w:r>
      <w:r w:rsidR="00A600A1" w:rsidRPr="00CE2328">
        <w:rPr>
          <w:rFonts w:ascii="Arial" w:hAnsi="Arial" w:cs="Arial"/>
          <w:lang w:val="fr-BE"/>
        </w:rPr>
        <w:t>P = 0,2673)</w:t>
      </w:r>
      <w:r w:rsidR="00A600A1" w:rsidRPr="00CE2328">
        <w:rPr>
          <w:rFonts w:ascii="Arial" w:hAnsi="Arial" w:cs="Arial"/>
        </w:rPr>
        <w:t xml:space="preserve">. </w:t>
      </w:r>
      <w:r w:rsidR="00BB6F55" w:rsidRPr="00CE2328">
        <w:rPr>
          <w:rFonts w:ascii="Arial" w:hAnsi="Arial" w:cs="Arial"/>
        </w:rPr>
        <w:t>Using these thresholds, the level of agreement (kappa) was 0.83 (standard error: 0.092; 95% confidence interval: 0.65 to 1.00), indicating strong agreement between the two assays. Three false-positive results were observed for BDG</w:t>
      </w:r>
      <w:r w:rsidR="00BB6F55" w:rsidRPr="00CE2328" w:rsidDel="00BB6F55">
        <w:rPr>
          <w:rFonts w:ascii="Arial" w:hAnsi="Arial" w:cs="Arial"/>
        </w:rPr>
        <w:t xml:space="preserve"> </w:t>
      </w:r>
      <w:r w:rsidR="007F1073" w:rsidRPr="00CE2328">
        <w:rPr>
          <w:rFonts w:ascii="Arial" w:hAnsi="Arial" w:cs="Arial"/>
        </w:rPr>
        <w:t xml:space="preserve">The </w:t>
      </w:r>
      <w:r w:rsidR="00744A72" w:rsidRPr="00CE2328">
        <w:rPr>
          <w:rFonts w:ascii="Arial" w:hAnsi="Arial" w:cs="Arial"/>
        </w:rPr>
        <w:t xml:space="preserve">median </w:t>
      </w:r>
      <w:r w:rsidR="007F1073" w:rsidRPr="00CE2328">
        <w:rPr>
          <w:rFonts w:ascii="Arial" w:hAnsi="Arial" w:cs="Arial"/>
        </w:rPr>
        <w:t xml:space="preserve">fungal load in </w:t>
      </w:r>
      <w:r w:rsidR="007F1073" w:rsidRPr="00CE2328">
        <w:rPr>
          <w:rStyle w:val="Accentuation"/>
          <w:rFonts w:ascii="Arial" w:hAnsi="Arial" w:cs="Arial"/>
          <w:i w:val="0"/>
          <w:iCs w:val="0"/>
        </w:rPr>
        <w:t>probable PCP</w:t>
      </w:r>
      <w:r w:rsidR="007F1073" w:rsidRPr="00CE2328">
        <w:rPr>
          <w:rFonts w:ascii="Arial" w:hAnsi="Arial" w:cs="Arial"/>
        </w:rPr>
        <w:t xml:space="preserve"> cases was </w:t>
      </w:r>
      <w:r w:rsidR="00744A72" w:rsidRPr="00CE2328">
        <w:rPr>
          <w:rFonts w:ascii="Arial" w:hAnsi="Arial" w:cs="Arial"/>
        </w:rPr>
        <w:t xml:space="preserve">260300 </w:t>
      </w:r>
      <w:r w:rsidR="007F1073" w:rsidRPr="00CE2328">
        <w:rPr>
          <w:rFonts w:ascii="Arial" w:hAnsi="Arial" w:cs="Arial"/>
        </w:rPr>
        <w:t xml:space="preserve">copies/mL (Ct </w:t>
      </w:r>
      <w:r w:rsidR="00744A72" w:rsidRPr="00CE2328">
        <w:rPr>
          <w:rFonts w:ascii="Arial" w:hAnsi="Arial" w:cs="Arial"/>
        </w:rPr>
        <w:t>25</w:t>
      </w:r>
      <w:r w:rsidR="007F1073" w:rsidRPr="00CE2328">
        <w:rPr>
          <w:rFonts w:ascii="Arial" w:hAnsi="Arial" w:cs="Arial"/>
        </w:rPr>
        <w:t xml:space="preserve">) for PCR and </w:t>
      </w:r>
      <w:r w:rsidR="00744A72" w:rsidRPr="00CE2328">
        <w:rPr>
          <w:rFonts w:ascii="Arial" w:hAnsi="Arial" w:cs="Arial"/>
        </w:rPr>
        <w:t xml:space="preserve">116 </w:t>
      </w:r>
      <w:r w:rsidR="007F1073" w:rsidRPr="00CE2328">
        <w:rPr>
          <w:rFonts w:ascii="Arial" w:hAnsi="Arial" w:cs="Arial"/>
        </w:rPr>
        <w:t xml:space="preserve">pg/mL for BDG, compared to </w:t>
      </w:r>
      <w:r w:rsidR="00744A72" w:rsidRPr="00CE2328">
        <w:rPr>
          <w:rFonts w:ascii="Arial" w:hAnsi="Arial" w:cs="Arial"/>
        </w:rPr>
        <w:t xml:space="preserve">&lt;97 </w:t>
      </w:r>
      <w:r w:rsidR="007F1073" w:rsidRPr="00CE2328">
        <w:rPr>
          <w:rFonts w:ascii="Arial" w:hAnsi="Arial" w:cs="Arial"/>
        </w:rPr>
        <w:t xml:space="preserve">copies/mL (Ct </w:t>
      </w:r>
      <w:r w:rsidR="00744A72" w:rsidRPr="00CE2328">
        <w:rPr>
          <w:rFonts w:ascii="Arial" w:hAnsi="Arial" w:cs="Arial"/>
        </w:rPr>
        <w:t>45</w:t>
      </w:r>
      <w:r w:rsidR="007F1073" w:rsidRPr="00CE2328">
        <w:rPr>
          <w:rFonts w:ascii="Arial" w:hAnsi="Arial" w:cs="Arial"/>
        </w:rPr>
        <w:t xml:space="preserve">) and </w:t>
      </w:r>
      <w:r w:rsidR="00744A72" w:rsidRPr="00CE2328">
        <w:rPr>
          <w:rFonts w:ascii="Arial" w:hAnsi="Arial" w:cs="Arial"/>
        </w:rPr>
        <w:t xml:space="preserve">7 </w:t>
      </w:r>
      <w:r w:rsidR="007F1073" w:rsidRPr="00CE2328">
        <w:rPr>
          <w:rFonts w:ascii="Arial" w:hAnsi="Arial" w:cs="Arial"/>
        </w:rPr>
        <w:t xml:space="preserve">pg/mL, respectively, in </w:t>
      </w:r>
      <w:r w:rsidR="007F1073" w:rsidRPr="00CE2328">
        <w:rPr>
          <w:rStyle w:val="Accentuation"/>
          <w:rFonts w:ascii="Arial" w:hAnsi="Arial" w:cs="Arial"/>
          <w:i w:val="0"/>
          <w:iCs w:val="0"/>
        </w:rPr>
        <w:t>non-probable PCP</w:t>
      </w:r>
      <w:r w:rsidR="007F1073" w:rsidRPr="00CE2328">
        <w:rPr>
          <w:rFonts w:ascii="Arial" w:hAnsi="Arial" w:cs="Arial"/>
        </w:rPr>
        <w:t xml:space="preserve"> cases.</w:t>
      </w:r>
    </w:p>
    <w:p w14:paraId="7A9DB120" w14:textId="6D9D97AA" w:rsidR="00996CD7" w:rsidRPr="00CE2328" w:rsidRDefault="00996CD7" w:rsidP="00311166">
      <w:pPr>
        <w:jc w:val="both"/>
        <w:rPr>
          <w:rFonts w:ascii="Arial" w:hAnsi="Arial" w:cs="Arial"/>
        </w:rPr>
      </w:pPr>
      <w:r w:rsidRPr="00CE2328">
        <w:rPr>
          <w:rFonts w:ascii="Arial" w:hAnsi="Arial" w:cs="Arial"/>
          <w:b/>
          <w:bCs/>
        </w:rPr>
        <w:t>Conclusions</w:t>
      </w:r>
      <w:r w:rsidRPr="00CE2328">
        <w:rPr>
          <w:rFonts w:ascii="Arial" w:hAnsi="Arial" w:cs="Arial"/>
        </w:rPr>
        <w:t>:</w:t>
      </w:r>
      <w:r w:rsidR="00311166" w:rsidRPr="00CE2328">
        <w:rPr>
          <w:rFonts w:ascii="Arial" w:hAnsi="Arial" w:cs="Arial"/>
        </w:rPr>
        <w:t xml:space="preserve"> </w:t>
      </w:r>
      <w:r w:rsidR="00CE2F45" w:rsidRPr="00CE2328">
        <w:rPr>
          <w:rFonts w:ascii="Arial" w:hAnsi="Arial" w:cs="Arial"/>
        </w:rPr>
        <w:t xml:space="preserve">Both serum BDG and BAL-based </w:t>
      </w:r>
      <w:r w:rsidR="005E1C21" w:rsidRPr="00CE2328">
        <w:rPr>
          <w:rStyle w:val="Accentuation"/>
          <w:rFonts w:ascii="Arial" w:hAnsi="Arial" w:cs="Arial"/>
          <w:i w:val="0"/>
          <w:iCs w:val="0"/>
        </w:rPr>
        <w:t>PCP</w:t>
      </w:r>
      <w:r w:rsidR="00CE2F45" w:rsidRPr="00CE2328">
        <w:rPr>
          <w:rFonts w:ascii="Arial" w:hAnsi="Arial" w:cs="Arial"/>
          <w:i/>
          <w:iCs/>
        </w:rPr>
        <w:t xml:space="preserve"> </w:t>
      </w:r>
      <w:r w:rsidR="00CE2F45" w:rsidRPr="00CE2328">
        <w:rPr>
          <w:rFonts w:ascii="Arial" w:hAnsi="Arial" w:cs="Arial"/>
        </w:rPr>
        <w:t>PCR showed excellent diagnostic performance for PCP in this cohort. BDG, as a non-invasive biomarker, proved useful for early decision-making. BDG levels below 8 pg/mL may help defer bronchoalveolar lavage</w:t>
      </w:r>
      <w:r w:rsidR="005E1C21" w:rsidRPr="00CE2328">
        <w:rPr>
          <w:rFonts w:ascii="Arial" w:hAnsi="Arial" w:cs="Arial"/>
        </w:rPr>
        <w:t xml:space="preserve"> for PCP diagnosis</w:t>
      </w:r>
      <w:r w:rsidR="00CE2F45" w:rsidRPr="00CE2328">
        <w:rPr>
          <w:rFonts w:ascii="Arial" w:hAnsi="Arial" w:cs="Arial"/>
        </w:rPr>
        <w:t xml:space="preserve"> in selected cases, provided that clinical and radiological findings are stable and close follow-up is ensured. These findings support the complementary role of BDG and PCR in guiding the diagnostic strategy for </w:t>
      </w:r>
      <w:r w:rsidR="005258C3" w:rsidRPr="00CE2328">
        <w:rPr>
          <w:rStyle w:val="Accentuation"/>
          <w:rFonts w:ascii="Arial" w:hAnsi="Arial" w:cs="Arial"/>
          <w:i w:val="0"/>
          <w:iCs w:val="0"/>
        </w:rPr>
        <w:t>PCP.</w:t>
      </w:r>
    </w:p>
    <w:p w14:paraId="0EA100DB" w14:textId="77777777" w:rsidR="00996CD7" w:rsidRDefault="00996CD7"/>
    <w:p w14:paraId="13D01230" w14:textId="4C82C409" w:rsidR="00996CD7" w:rsidRDefault="00996CD7"/>
    <w:sectPr w:rsidR="00996CD7" w:rsidSect="0084097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D7"/>
    <w:rsid w:val="000E167A"/>
    <w:rsid w:val="000F1A63"/>
    <w:rsid w:val="002F2A5F"/>
    <w:rsid w:val="003059C9"/>
    <w:rsid w:val="00311166"/>
    <w:rsid w:val="003C47F6"/>
    <w:rsid w:val="003E4C5D"/>
    <w:rsid w:val="00476D20"/>
    <w:rsid w:val="004D5C73"/>
    <w:rsid w:val="004F0B94"/>
    <w:rsid w:val="005258C3"/>
    <w:rsid w:val="00543C8B"/>
    <w:rsid w:val="00585099"/>
    <w:rsid w:val="005B610D"/>
    <w:rsid w:val="005E1C21"/>
    <w:rsid w:val="00651CA5"/>
    <w:rsid w:val="006A460D"/>
    <w:rsid w:val="006C2EE9"/>
    <w:rsid w:val="00744A72"/>
    <w:rsid w:val="007F1073"/>
    <w:rsid w:val="007F1E21"/>
    <w:rsid w:val="0084097F"/>
    <w:rsid w:val="00847A22"/>
    <w:rsid w:val="00895E7E"/>
    <w:rsid w:val="00922BAF"/>
    <w:rsid w:val="00983C1F"/>
    <w:rsid w:val="00996CD7"/>
    <w:rsid w:val="00A460E6"/>
    <w:rsid w:val="00A600A1"/>
    <w:rsid w:val="00B40DBC"/>
    <w:rsid w:val="00B6020E"/>
    <w:rsid w:val="00B856B3"/>
    <w:rsid w:val="00BB6F55"/>
    <w:rsid w:val="00BD3B41"/>
    <w:rsid w:val="00C65E94"/>
    <w:rsid w:val="00CA78D8"/>
    <w:rsid w:val="00CE2328"/>
    <w:rsid w:val="00CE2F45"/>
    <w:rsid w:val="00D26EAE"/>
    <w:rsid w:val="00D84F45"/>
    <w:rsid w:val="00DA7711"/>
    <w:rsid w:val="00F928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5284C"/>
  <w15:chartTrackingRefBased/>
  <w15:docId w15:val="{119751DD-D57F-43FF-8127-F26A5325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B6020E"/>
    <w:rPr>
      <w:i/>
      <w:iCs/>
    </w:rPr>
  </w:style>
  <w:style w:type="paragraph" w:styleId="Rvision">
    <w:name w:val="Revision"/>
    <w:hidden/>
    <w:uiPriority w:val="99"/>
    <w:semiHidden/>
    <w:rsid w:val="006A460D"/>
    <w:pPr>
      <w:spacing w:after="0" w:line="240" w:lineRule="auto"/>
    </w:pPr>
    <w:rPr>
      <w:noProof/>
      <w:lang w:val="en-GB"/>
    </w:rPr>
  </w:style>
  <w:style w:type="character" w:styleId="Marquedecommentaire">
    <w:name w:val="annotation reference"/>
    <w:basedOn w:val="Policepardfaut"/>
    <w:uiPriority w:val="99"/>
    <w:semiHidden/>
    <w:unhideWhenUsed/>
    <w:rsid w:val="00585099"/>
    <w:rPr>
      <w:sz w:val="16"/>
      <w:szCs w:val="16"/>
    </w:rPr>
  </w:style>
  <w:style w:type="paragraph" w:styleId="Commentaire">
    <w:name w:val="annotation text"/>
    <w:basedOn w:val="Normal"/>
    <w:link w:val="CommentaireCar"/>
    <w:uiPriority w:val="99"/>
    <w:unhideWhenUsed/>
    <w:rsid w:val="00585099"/>
    <w:pPr>
      <w:spacing w:line="240" w:lineRule="auto"/>
    </w:pPr>
    <w:rPr>
      <w:sz w:val="20"/>
      <w:szCs w:val="20"/>
    </w:rPr>
  </w:style>
  <w:style w:type="character" w:customStyle="1" w:styleId="CommentaireCar">
    <w:name w:val="Commentaire Car"/>
    <w:basedOn w:val="Policepardfaut"/>
    <w:link w:val="Commentaire"/>
    <w:uiPriority w:val="99"/>
    <w:rsid w:val="00585099"/>
    <w:rPr>
      <w:noProof/>
      <w:sz w:val="20"/>
      <w:szCs w:val="20"/>
      <w:lang w:val="en-GB"/>
    </w:rPr>
  </w:style>
  <w:style w:type="paragraph" w:styleId="Objetducommentaire">
    <w:name w:val="annotation subject"/>
    <w:basedOn w:val="Commentaire"/>
    <w:next w:val="Commentaire"/>
    <w:link w:val="ObjetducommentaireCar"/>
    <w:uiPriority w:val="99"/>
    <w:semiHidden/>
    <w:unhideWhenUsed/>
    <w:rsid w:val="00585099"/>
    <w:rPr>
      <w:b/>
      <w:bCs/>
    </w:rPr>
  </w:style>
  <w:style w:type="character" w:customStyle="1" w:styleId="ObjetducommentaireCar">
    <w:name w:val="Objet du commentaire Car"/>
    <w:basedOn w:val="CommentaireCar"/>
    <w:link w:val="Objetducommentaire"/>
    <w:uiPriority w:val="99"/>
    <w:semiHidden/>
    <w:rsid w:val="00585099"/>
    <w:rPr>
      <w:b/>
      <w:bCs/>
      <w:noProof/>
      <w:sz w:val="20"/>
      <w:szCs w:val="20"/>
      <w:lang w:val="en-GB"/>
    </w:rPr>
  </w:style>
  <w:style w:type="character" w:styleId="Lienhypertexte">
    <w:name w:val="Hyperlink"/>
    <w:basedOn w:val="Policepardfaut"/>
    <w:uiPriority w:val="99"/>
    <w:unhideWhenUsed/>
    <w:rsid w:val="004F0B94"/>
    <w:rPr>
      <w:color w:val="0563C1" w:themeColor="hyperlink"/>
      <w:u w:val="single"/>
    </w:rPr>
  </w:style>
  <w:style w:type="character" w:styleId="Mentionnonrsolue">
    <w:name w:val="Unresolved Mention"/>
    <w:basedOn w:val="Policepardfaut"/>
    <w:uiPriority w:val="99"/>
    <w:semiHidden/>
    <w:unhideWhenUsed/>
    <w:rsid w:val="004F0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72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648F2-D0CF-4202-AA7C-5BF7D300B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500</Words>
  <Characters>2926</Characters>
  <Application>Microsoft Office Word</Application>
  <DocSecurity>0</DocSecurity>
  <Lines>37</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 Borrendam</dc:creator>
  <cp:keywords/>
  <dc:description/>
  <cp:lastModifiedBy>MONTESINOS HERNANDEZ Maria Isabel</cp:lastModifiedBy>
  <cp:revision>2</cp:revision>
  <dcterms:created xsi:type="dcterms:W3CDTF">2025-04-24T13:32:00Z</dcterms:created>
  <dcterms:modified xsi:type="dcterms:W3CDTF">2025-04-24T13:32:00Z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7b7abc33722531637bcee45f2411c374e88e5445b9702aa514942a16a9df4250</vt:lpwstr>
  </property>
</Properties>
</file>