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5" w14:textId="77777777" w:rsidR="00C0326E" w:rsidRPr="0066627A" w:rsidRDefault="00FD0AE1">
      <w:pPr>
        <w:rPr>
          <w:rFonts w:ascii="Arial" w:hAnsi="Arial" w:cs="Arial"/>
        </w:rPr>
      </w:pPr>
      <w:r w:rsidRPr="0066627A">
        <w:rPr>
          <w:rFonts w:ascii="Arial" w:hAnsi="Arial" w:cs="Arial"/>
          <w:b/>
        </w:rPr>
        <w:t>Objectives</w:t>
      </w:r>
      <w:r w:rsidRPr="0066627A">
        <w:rPr>
          <w:rFonts w:ascii="Arial" w:hAnsi="Arial" w:cs="Arial"/>
        </w:rPr>
        <w:t>:</w:t>
      </w:r>
    </w:p>
    <w:p w14:paraId="00000006" w14:textId="7AA022EE" w:rsidR="00C0326E" w:rsidRPr="0066627A" w:rsidRDefault="00FD0AE1">
      <w:pPr>
        <w:rPr>
          <w:rFonts w:ascii="Arial" w:hAnsi="Arial" w:cs="Arial"/>
          <w:b/>
        </w:rPr>
      </w:pPr>
      <w:r w:rsidRPr="0066627A">
        <w:rPr>
          <w:rFonts w:ascii="Arial" w:hAnsi="Arial" w:cs="Arial"/>
        </w:rPr>
        <w:t>Histoplasmosis is a major AIDS-defining illness, leading to thousands of HIV-related deaths worldwide</w:t>
      </w:r>
      <w:r w:rsidR="000477EA" w:rsidRPr="0066627A">
        <w:rPr>
          <w:rFonts w:ascii="Arial" w:hAnsi="Arial" w:cs="Arial"/>
        </w:rPr>
        <w:t xml:space="preserve"> (1)</w:t>
      </w:r>
      <w:r w:rsidRPr="0066627A">
        <w:rPr>
          <w:rFonts w:ascii="Arial" w:hAnsi="Arial" w:cs="Arial"/>
        </w:rPr>
        <w:t xml:space="preserve">. The standard of care (SOC) treatment for </w:t>
      </w:r>
      <w:r w:rsidR="00F37D77" w:rsidRPr="0066627A">
        <w:rPr>
          <w:rFonts w:ascii="Arial" w:hAnsi="Arial" w:cs="Arial"/>
        </w:rPr>
        <w:t>disseminated histoplasmosis</w:t>
      </w:r>
      <w:r w:rsidRPr="0066627A">
        <w:rPr>
          <w:rFonts w:ascii="Arial" w:hAnsi="Arial" w:cs="Arial"/>
        </w:rPr>
        <w:t xml:space="preserve"> is liposomal amphotericin (L-AmB) for 2 weeks; however, access to this drug is limited in most countries where histoplasmosis is endemic</w:t>
      </w:r>
      <w:r w:rsidR="000477EA" w:rsidRPr="0066627A">
        <w:rPr>
          <w:rFonts w:ascii="Arial" w:hAnsi="Arial" w:cs="Arial"/>
        </w:rPr>
        <w:t xml:space="preserve"> (2)</w:t>
      </w:r>
      <w:r w:rsidRPr="0066627A">
        <w:rPr>
          <w:rFonts w:ascii="Arial" w:hAnsi="Arial" w:cs="Arial"/>
        </w:rPr>
        <w:t>. A recent phase II randomized trial demonstrated that a single high dose of</w:t>
      </w:r>
      <w:r w:rsidR="00EA635E" w:rsidRPr="0066627A">
        <w:rPr>
          <w:rFonts w:ascii="Arial" w:hAnsi="Arial" w:cs="Arial"/>
        </w:rPr>
        <w:t xml:space="preserve"> liposomal amphotericin B</w:t>
      </w:r>
      <w:r w:rsidRPr="0066627A">
        <w:rPr>
          <w:rFonts w:ascii="Arial" w:hAnsi="Arial" w:cs="Arial"/>
        </w:rPr>
        <w:t xml:space="preserve"> </w:t>
      </w:r>
      <w:r w:rsidR="00EA635E" w:rsidRPr="0066627A">
        <w:rPr>
          <w:rFonts w:ascii="Arial" w:hAnsi="Arial" w:cs="Arial"/>
        </w:rPr>
        <w:t>(L-AmB)</w:t>
      </w:r>
      <w:r w:rsidRPr="0066627A">
        <w:rPr>
          <w:rFonts w:ascii="Arial" w:hAnsi="Arial" w:cs="Arial"/>
        </w:rPr>
        <w:t xml:space="preserve"> may b</w:t>
      </w:r>
      <w:r w:rsidR="00EA635E" w:rsidRPr="0066627A">
        <w:rPr>
          <w:rFonts w:ascii="Arial" w:hAnsi="Arial" w:cs="Arial"/>
        </w:rPr>
        <w:t>e non-inferior to standard L-AmB</w:t>
      </w:r>
      <w:r w:rsidRPr="0066627A">
        <w:rPr>
          <w:rFonts w:ascii="Arial" w:hAnsi="Arial" w:cs="Arial"/>
        </w:rPr>
        <w:t xml:space="preserve"> therapy</w:t>
      </w:r>
      <w:r w:rsidR="000477EA" w:rsidRPr="0066627A">
        <w:rPr>
          <w:rFonts w:ascii="Arial" w:hAnsi="Arial" w:cs="Arial"/>
        </w:rPr>
        <w:t xml:space="preserve"> (3)</w:t>
      </w:r>
      <w:r w:rsidRPr="0066627A">
        <w:rPr>
          <w:rFonts w:ascii="Arial" w:hAnsi="Arial" w:cs="Arial"/>
        </w:rPr>
        <w:t xml:space="preserve">. </w:t>
      </w:r>
      <w:r w:rsidR="00846C03" w:rsidRPr="0066627A">
        <w:rPr>
          <w:rFonts w:ascii="Arial" w:hAnsi="Arial" w:cs="Arial"/>
        </w:rPr>
        <w:t>Based on</w:t>
      </w:r>
      <w:r w:rsidR="00E10FC3" w:rsidRPr="0066627A">
        <w:rPr>
          <w:rFonts w:ascii="Arial" w:hAnsi="Arial" w:cs="Arial"/>
        </w:rPr>
        <w:t xml:space="preserve"> data from the phase II trial, w</w:t>
      </w:r>
      <w:r w:rsidRPr="0066627A">
        <w:rPr>
          <w:rFonts w:ascii="Arial" w:hAnsi="Arial" w:cs="Arial"/>
        </w:rPr>
        <w:t>e aimed to</w:t>
      </w:r>
      <w:r w:rsidR="00E10FC3" w:rsidRPr="0066627A">
        <w:rPr>
          <w:rFonts w:ascii="Arial" w:hAnsi="Arial" w:cs="Arial"/>
        </w:rPr>
        <w:t xml:space="preserve"> utilize a </w:t>
      </w:r>
      <w:r w:rsidR="00846C03" w:rsidRPr="0066627A">
        <w:rPr>
          <w:rFonts w:ascii="Arial" w:hAnsi="Arial" w:cs="Arial"/>
        </w:rPr>
        <w:t xml:space="preserve">hiearchical endpoint via the </w:t>
      </w:r>
      <w:r w:rsidR="00E10FC3" w:rsidRPr="0066627A">
        <w:rPr>
          <w:rFonts w:ascii="Arial" w:hAnsi="Arial" w:cs="Arial"/>
        </w:rPr>
        <w:t>desirability of outcome ranking (DOOR)</w:t>
      </w:r>
      <w:r w:rsidR="00846C03" w:rsidRPr="0066627A">
        <w:rPr>
          <w:rFonts w:ascii="Arial" w:hAnsi="Arial" w:cs="Arial"/>
        </w:rPr>
        <w:t xml:space="preserve"> and Win-Ratio</w:t>
      </w:r>
      <w:r w:rsidR="00E10FC3" w:rsidRPr="0066627A">
        <w:rPr>
          <w:rFonts w:ascii="Arial" w:hAnsi="Arial" w:cs="Arial"/>
        </w:rPr>
        <w:t xml:space="preserve"> analysis</w:t>
      </w:r>
      <w:r w:rsidR="00846C03" w:rsidRPr="0066627A">
        <w:rPr>
          <w:rFonts w:ascii="Arial" w:hAnsi="Arial" w:cs="Arial"/>
        </w:rPr>
        <w:t xml:space="preserve"> to assess</w:t>
      </w:r>
      <w:r w:rsidRPr="0066627A">
        <w:rPr>
          <w:rFonts w:ascii="Arial" w:hAnsi="Arial" w:cs="Arial"/>
        </w:rPr>
        <w:t xml:space="preserve"> </w:t>
      </w:r>
      <w:r w:rsidR="00846C03" w:rsidRPr="0066627A">
        <w:rPr>
          <w:rFonts w:ascii="Arial" w:hAnsi="Arial" w:cs="Arial"/>
        </w:rPr>
        <w:t>whether</w:t>
      </w:r>
      <w:r w:rsidRPr="0066627A">
        <w:rPr>
          <w:rFonts w:ascii="Arial" w:hAnsi="Arial" w:cs="Arial"/>
        </w:rPr>
        <w:t xml:space="preserve"> there were differences between SOC and short-course regimens </w:t>
      </w:r>
      <w:r w:rsidR="000A748E" w:rsidRPr="0066627A">
        <w:rPr>
          <w:rFonts w:ascii="Arial" w:hAnsi="Arial" w:cs="Arial"/>
        </w:rPr>
        <w:t xml:space="preserve">in </w:t>
      </w:r>
      <w:r w:rsidRPr="0066627A">
        <w:rPr>
          <w:rFonts w:ascii="Arial" w:hAnsi="Arial" w:cs="Arial"/>
        </w:rPr>
        <w:t>toxicity, rehospitalization and mortality</w:t>
      </w:r>
      <w:r w:rsidR="00846C03" w:rsidRPr="0066627A">
        <w:rPr>
          <w:rFonts w:ascii="Arial" w:hAnsi="Arial" w:cs="Arial"/>
        </w:rPr>
        <w:t>.</w:t>
      </w:r>
      <w:r w:rsidRPr="0066627A">
        <w:rPr>
          <w:rFonts w:ascii="Arial" w:hAnsi="Arial" w:cs="Arial"/>
        </w:rPr>
        <w:t xml:space="preserve"> </w:t>
      </w:r>
    </w:p>
    <w:p w14:paraId="00000007" w14:textId="77777777" w:rsidR="00C0326E" w:rsidRPr="0066627A" w:rsidRDefault="00C0326E">
      <w:pPr>
        <w:rPr>
          <w:rFonts w:ascii="Arial" w:hAnsi="Arial" w:cs="Arial"/>
          <w:b/>
        </w:rPr>
      </w:pPr>
    </w:p>
    <w:p w14:paraId="00000008" w14:textId="77777777" w:rsidR="00C0326E" w:rsidRPr="0066627A" w:rsidRDefault="00FD0AE1">
      <w:pPr>
        <w:rPr>
          <w:rFonts w:ascii="Arial" w:hAnsi="Arial" w:cs="Arial"/>
          <w:b/>
        </w:rPr>
      </w:pPr>
      <w:r w:rsidRPr="0066627A">
        <w:rPr>
          <w:rFonts w:ascii="Arial" w:hAnsi="Arial" w:cs="Arial"/>
          <w:b/>
        </w:rPr>
        <w:t>Materials &amp; Methods:</w:t>
      </w:r>
    </w:p>
    <w:p w14:paraId="00000009" w14:textId="5792C50F" w:rsidR="00C0326E" w:rsidRPr="0066627A" w:rsidRDefault="00FD0AE1">
      <w:pPr>
        <w:rPr>
          <w:rFonts w:ascii="Arial" w:hAnsi="Arial" w:cs="Arial"/>
        </w:rPr>
      </w:pPr>
      <w:r w:rsidRPr="0066627A">
        <w:rPr>
          <w:rFonts w:ascii="Arial" w:hAnsi="Arial" w:cs="Arial"/>
        </w:rPr>
        <w:t>We developed and applied a hierarchical</w:t>
      </w:r>
      <w:r w:rsidR="00846C03" w:rsidRPr="0066627A">
        <w:rPr>
          <w:rFonts w:ascii="Arial" w:hAnsi="Arial" w:cs="Arial"/>
        </w:rPr>
        <w:t xml:space="preserve"> endpoint via</w:t>
      </w:r>
      <w:r w:rsidRPr="0066627A">
        <w:rPr>
          <w:rFonts w:ascii="Arial" w:hAnsi="Arial" w:cs="Arial"/>
        </w:rPr>
        <w:t xml:space="preserve"> </w:t>
      </w:r>
      <w:r w:rsidR="00846C03" w:rsidRPr="0066627A">
        <w:rPr>
          <w:rFonts w:ascii="Arial" w:hAnsi="Arial" w:cs="Arial"/>
        </w:rPr>
        <w:t xml:space="preserve">the </w:t>
      </w:r>
      <w:r w:rsidRPr="0066627A">
        <w:rPr>
          <w:rFonts w:ascii="Arial" w:hAnsi="Arial" w:cs="Arial"/>
        </w:rPr>
        <w:t xml:space="preserve">desirability of outcome ranking (DOOR) </w:t>
      </w:r>
      <w:r w:rsidR="00846C03" w:rsidRPr="0066627A">
        <w:rPr>
          <w:rFonts w:ascii="Arial" w:hAnsi="Arial" w:cs="Arial"/>
        </w:rPr>
        <w:t>approach</w:t>
      </w:r>
      <w:r w:rsidR="001F490F" w:rsidRPr="0066627A">
        <w:rPr>
          <w:rFonts w:ascii="Arial" w:hAnsi="Arial" w:cs="Arial"/>
        </w:rPr>
        <w:t xml:space="preserve"> (4)</w:t>
      </w:r>
      <w:r w:rsidRPr="0066627A">
        <w:rPr>
          <w:rFonts w:ascii="Arial" w:hAnsi="Arial" w:cs="Arial"/>
        </w:rPr>
        <w:t xml:space="preserve"> aiming to evaluate </w:t>
      </w:r>
      <w:r w:rsidR="0030064C" w:rsidRPr="0066627A">
        <w:rPr>
          <w:rFonts w:ascii="Arial" w:hAnsi="Arial" w:cs="Arial"/>
        </w:rPr>
        <w:t>how</w:t>
      </w:r>
      <w:r w:rsidR="00EA635E" w:rsidRPr="0066627A">
        <w:rPr>
          <w:rFonts w:ascii="Arial" w:hAnsi="Arial" w:cs="Arial"/>
        </w:rPr>
        <w:t xml:space="preserve"> a</w:t>
      </w:r>
      <w:r w:rsidR="0030064C" w:rsidRPr="0066627A">
        <w:rPr>
          <w:rFonts w:ascii="Arial" w:hAnsi="Arial" w:cs="Arial"/>
        </w:rPr>
        <w:t xml:space="preserve"> </w:t>
      </w:r>
      <w:r w:rsidRPr="0066627A">
        <w:rPr>
          <w:rFonts w:ascii="Arial" w:hAnsi="Arial" w:cs="Arial"/>
        </w:rPr>
        <w:t>shorter course regimen (single dose 10 mg/kg of L-AmB</w:t>
      </w:r>
      <w:r w:rsidR="00EA635E" w:rsidRPr="0066627A">
        <w:rPr>
          <w:rFonts w:ascii="Arial" w:hAnsi="Arial" w:cs="Arial"/>
        </w:rPr>
        <w:t>)</w:t>
      </w:r>
      <w:r w:rsidR="0030064C" w:rsidRPr="0066627A">
        <w:rPr>
          <w:rFonts w:ascii="Arial" w:hAnsi="Arial" w:cs="Arial"/>
        </w:rPr>
        <w:t xml:space="preserve"> compared to the SOC</w:t>
      </w:r>
      <w:r w:rsidR="00EA635E" w:rsidRPr="0066627A">
        <w:rPr>
          <w:rFonts w:ascii="Arial" w:hAnsi="Arial" w:cs="Arial"/>
        </w:rPr>
        <w:t xml:space="preserve"> induction</w:t>
      </w:r>
      <w:r w:rsidR="0030064C" w:rsidRPr="0066627A">
        <w:rPr>
          <w:rFonts w:ascii="Arial" w:hAnsi="Arial" w:cs="Arial"/>
        </w:rPr>
        <w:t xml:space="preserve"> regimen</w:t>
      </w:r>
      <w:r w:rsidR="00EA635E" w:rsidRPr="0066627A">
        <w:rPr>
          <w:rFonts w:ascii="Arial" w:hAnsi="Arial" w:cs="Arial"/>
        </w:rPr>
        <w:t xml:space="preserve"> </w:t>
      </w:r>
      <w:r w:rsidR="00EA635E" w:rsidRPr="0066627A">
        <w:rPr>
          <w:rFonts w:ascii="Arial" w:hAnsi="Arial" w:cs="Arial"/>
        </w:rPr>
        <w:t>(3 mg/kg of L-AmB for two weeks)</w:t>
      </w:r>
      <w:r w:rsidR="0030064C" w:rsidRPr="0066627A">
        <w:rPr>
          <w:rFonts w:ascii="Arial" w:hAnsi="Arial" w:cs="Arial"/>
        </w:rPr>
        <w:t>.</w:t>
      </w:r>
      <w:r w:rsidRPr="0066627A">
        <w:rPr>
          <w:rFonts w:ascii="Arial" w:hAnsi="Arial" w:cs="Arial"/>
        </w:rPr>
        <w:t xml:space="preserve"> </w:t>
      </w:r>
      <w:r w:rsidR="000B202F" w:rsidRPr="0066627A">
        <w:rPr>
          <w:rFonts w:ascii="Arial" w:hAnsi="Arial" w:cs="Arial"/>
        </w:rPr>
        <w:t>The analyses were applied to data derived from a completed phase II clinical trial (3).</w:t>
      </w:r>
      <w:r w:rsidRPr="0066627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tag w:val="goog_rdk_0"/>
          <w:id w:val="959148815"/>
        </w:sdtPr>
        <w:sdtEndPr/>
        <w:sdtContent/>
      </w:sdt>
      <w:r w:rsidRPr="0066627A">
        <w:rPr>
          <w:rFonts w:ascii="Arial" w:hAnsi="Arial" w:cs="Arial"/>
        </w:rPr>
        <w:t>The DOOR score</w:t>
      </w:r>
      <w:r w:rsidR="00846C03" w:rsidRPr="0066627A">
        <w:rPr>
          <w:rFonts w:ascii="Arial" w:hAnsi="Arial" w:cs="Arial"/>
        </w:rPr>
        <w:t>, incorporating death, severe adverse event, laboratory abnormalities and lost-to-follow-up</w:t>
      </w:r>
      <w:r w:rsidRPr="0066627A">
        <w:rPr>
          <w:rFonts w:ascii="Arial" w:hAnsi="Arial" w:cs="Arial"/>
        </w:rPr>
        <w:t xml:space="preserve"> </w:t>
      </w:r>
      <w:r w:rsidR="00846C03" w:rsidRPr="0066627A">
        <w:rPr>
          <w:rFonts w:ascii="Arial" w:hAnsi="Arial" w:cs="Arial"/>
        </w:rPr>
        <w:t>has five ordered and mutually exclusive categories, from</w:t>
      </w:r>
      <w:r w:rsidRPr="0066627A">
        <w:rPr>
          <w:rFonts w:ascii="Arial" w:hAnsi="Arial" w:cs="Arial"/>
        </w:rPr>
        <w:t xml:space="preserve"> 1 - Death at 12 weeks or loss of follow up at 2 weeks</w:t>
      </w:r>
      <w:r w:rsidR="00846C03" w:rsidRPr="0066627A">
        <w:rPr>
          <w:rFonts w:ascii="Arial" w:hAnsi="Arial" w:cs="Arial"/>
        </w:rPr>
        <w:t xml:space="preserve">, to </w:t>
      </w:r>
      <w:r w:rsidRPr="0066627A">
        <w:rPr>
          <w:rFonts w:ascii="Arial" w:hAnsi="Arial" w:cs="Arial"/>
        </w:rPr>
        <w:t xml:space="preserve">5 - </w:t>
      </w:r>
      <w:r w:rsidR="00EA635E" w:rsidRPr="0066627A">
        <w:rPr>
          <w:rFonts w:ascii="Arial" w:hAnsi="Arial" w:cs="Arial"/>
        </w:rPr>
        <w:t>A</w:t>
      </w:r>
      <w:r w:rsidRPr="0066627A">
        <w:rPr>
          <w:rFonts w:ascii="Arial" w:hAnsi="Arial" w:cs="Arial"/>
        </w:rPr>
        <w:t>live at 12 weeks</w:t>
      </w:r>
      <w:r w:rsidR="00846C03" w:rsidRPr="0066627A">
        <w:rPr>
          <w:rFonts w:ascii="Arial" w:hAnsi="Arial" w:cs="Arial"/>
        </w:rPr>
        <w:t xml:space="preserve"> without any events</w:t>
      </w:r>
      <w:r w:rsidRPr="0066627A">
        <w:rPr>
          <w:rFonts w:ascii="Arial" w:hAnsi="Arial" w:cs="Arial"/>
        </w:rPr>
        <w:t xml:space="preserve">. </w:t>
      </w:r>
      <w:r w:rsidR="00647003" w:rsidRPr="0066627A">
        <w:rPr>
          <w:rFonts w:ascii="Arial" w:hAnsi="Arial" w:cs="Arial"/>
        </w:rPr>
        <w:t>Wilcoxon-rank-sum-test was used to compare the DOOR score between the two arms. The Better DOOR Probability was calculated for both the overall DOOR score, as well as marginally for each</w:t>
      </w:r>
      <w:r w:rsidRPr="0066627A">
        <w:rPr>
          <w:rFonts w:ascii="Arial" w:hAnsi="Arial" w:cs="Arial"/>
        </w:rPr>
        <w:t xml:space="preserve"> component</w:t>
      </w:r>
      <w:r w:rsidR="00647003" w:rsidRPr="0066627A">
        <w:rPr>
          <w:rFonts w:ascii="Arial" w:hAnsi="Arial" w:cs="Arial"/>
        </w:rPr>
        <w:t xml:space="preserve"> of the</w:t>
      </w:r>
      <w:r w:rsidRPr="0066627A">
        <w:rPr>
          <w:rFonts w:ascii="Arial" w:hAnsi="Arial" w:cs="Arial"/>
        </w:rPr>
        <w:t xml:space="preserve"> DOOR</w:t>
      </w:r>
      <w:r w:rsidR="00647003" w:rsidRPr="0066627A">
        <w:rPr>
          <w:rFonts w:ascii="Arial" w:hAnsi="Arial" w:cs="Arial"/>
        </w:rPr>
        <w:t xml:space="preserve"> score.</w:t>
      </w:r>
      <w:r w:rsidRPr="0066627A">
        <w:rPr>
          <w:rFonts w:ascii="Arial" w:hAnsi="Arial" w:cs="Arial"/>
        </w:rPr>
        <w:t xml:space="preserve"> </w:t>
      </w:r>
      <w:r w:rsidR="00647003" w:rsidRPr="0066627A">
        <w:rPr>
          <w:rFonts w:ascii="Arial" w:hAnsi="Arial" w:cs="Arial"/>
        </w:rPr>
        <w:t>W</w:t>
      </w:r>
      <w:r w:rsidRPr="0066627A">
        <w:rPr>
          <w:rFonts w:ascii="Arial" w:hAnsi="Arial" w:cs="Arial"/>
        </w:rPr>
        <w:t>e</w:t>
      </w:r>
      <w:r w:rsidR="00647003" w:rsidRPr="0066627A">
        <w:rPr>
          <w:rFonts w:ascii="Arial" w:hAnsi="Arial" w:cs="Arial"/>
        </w:rPr>
        <w:t xml:space="preserve"> also conducted</w:t>
      </w:r>
      <w:r w:rsidRPr="0066627A">
        <w:rPr>
          <w:rFonts w:ascii="Arial" w:hAnsi="Arial" w:cs="Arial"/>
        </w:rPr>
        <w:t xml:space="preserve"> </w:t>
      </w:r>
      <w:r w:rsidR="00647003" w:rsidRPr="0066627A">
        <w:rPr>
          <w:rFonts w:ascii="Arial" w:hAnsi="Arial" w:cs="Arial"/>
        </w:rPr>
        <w:t xml:space="preserve">sensitivity analysis using the </w:t>
      </w:r>
      <w:r w:rsidRPr="0066627A">
        <w:rPr>
          <w:rFonts w:ascii="Arial" w:hAnsi="Arial" w:cs="Arial"/>
        </w:rPr>
        <w:t>Win Ratio</w:t>
      </w:r>
      <w:r w:rsidR="00647003" w:rsidRPr="0066627A">
        <w:rPr>
          <w:rFonts w:ascii="Arial" w:hAnsi="Arial" w:cs="Arial"/>
        </w:rPr>
        <w:t xml:space="preserve"> statistic</w:t>
      </w:r>
      <w:r w:rsidR="001F490F" w:rsidRPr="0066627A">
        <w:rPr>
          <w:rFonts w:ascii="Arial" w:hAnsi="Arial" w:cs="Arial"/>
        </w:rPr>
        <w:t xml:space="preserve"> (5)</w:t>
      </w:r>
      <w:r w:rsidR="00647003" w:rsidRPr="0066627A">
        <w:rPr>
          <w:rFonts w:ascii="Arial" w:hAnsi="Arial" w:cs="Arial"/>
        </w:rPr>
        <w:t>, which takes into account the time-to-event aspect of data.</w:t>
      </w:r>
    </w:p>
    <w:p w14:paraId="0257BAA6" w14:textId="77777777" w:rsidR="00EA635E" w:rsidRPr="0066627A" w:rsidRDefault="00EA635E">
      <w:pPr>
        <w:rPr>
          <w:rFonts w:ascii="Arial" w:hAnsi="Arial" w:cs="Arial"/>
          <w:b/>
        </w:rPr>
      </w:pPr>
    </w:p>
    <w:p w14:paraId="0000000A" w14:textId="77777777" w:rsidR="00C0326E" w:rsidRPr="0066627A" w:rsidRDefault="00FD0AE1">
      <w:pPr>
        <w:rPr>
          <w:rFonts w:ascii="Arial" w:hAnsi="Arial" w:cs="Arial"/>
        </w:rPr>
      </w:pPr>
      <w:r w:rsidRPr="0066627A">
        <w:rPr>
          <w:rFonts w:ascii="Arial" w:hAnsi="Arial" w:cs="Arial"/>
          <w:b/>
        </w:rPr>
        <w:t>Results</w:t>
      </w:r>
      <w:r w:rsidRPr="0066627A">
        <w:rPr>
          <w:rFonts w:ascii="Arial" w:hAnsi="Arial" w:cs="Arial"/>
        </w:rPr>
        <w:t>:</w:t>
      </w:r>
    </w:p>
    <w:p w14:paraId="0000000C" w14:textId="437F8762" w:rsidR="00C0326E" w:rsidRDefault="00FD0AE1">
      <w:pPr>
        <w:rPr>
          <w:rFonts w:ascii="Arial" w:hAnsi="Arial" w:cs="Arial"/>
        </w:rPr>
      </w:pPr>
      <w:r w:rsidRPr="0066627A">
        <w:rPr>
          <w:rFonts w:ascii="Arial" w:hAnsi="Arial" w:cs="Arial"/>
        </w:rPr>
        <w:t>A total of 118 patients were included in the phase II trial. For the DOOR and Win-Ratio analyses, 79 patients (40 in the single high-dose arm, 39 in the SOC arm) were evaluated</w:t>
      </w:r>
      <w:r w:rsidR="008B54E8" w:rsidRPr="0066627A">
        <w:rPr>
          <w:rFonts w:ascii="Arial" w:hAnsi="Arial" w:cs="Arial"/>
        </w:rPr>
        <w:t xml:space="preserve"> as these two arms are being evaluated in a phase III trial</w:t>
      </w:r>
      <w:r w:rsidRPr="0066627A">
        <w:rPr>
          <w:rFonts w:ascii="Arial" w:hAnsi="Arial" w:cs="Arial"/>
        </w:rPr>
        <w:t>. The</w:t>
      </w:r>
      <w:r w:rsidR="00EA635E" w:rsidRPr="0066627A">
        <w:rPr>
          <w:rFonts w:ascii="Arial" w:hAnsi="Arial" w:cs="Arial"/>
        </w:rPr>
        <w:t xml:space="preserve"> p</w:t>
      </w:r>
      <w:r w:rsidR="008B54E8" w:rsidRPr="0066627A">
        <w:rPr>
          <w:rFonts w:ascii="Arial" w:hAnsi="Arial" w:cs="Arial"/>
        </w:rPr>
        <w:t xml:space="preserve">robability of more favorable DOOR outcome for </w:t>
      </w:r>
      <w:r w:rsidR="00EA635E" w:rsidRPr="0066627A">
        <w:rPr>
          <w:rFonts w:ascii="Arial" w:hAnsi="Arial" w:cs="Arial"/>
        </w:rPr>
        <w:t>s</w:t>
      </w:r>
      <w:r w:rsidRPr="0066627A">
        <w:rPr>
          <w:rFonts w:ascii="Arial" w:hAnsi="Arial" w:cs="Arial"/>
        </w:rPr>
        <w:t>ingle</w:t>
      </w:r>
      <w:r w:rsidR="00EA635E" w:rsidRPr="0066627A">
        <w:rPr>
          <w:rFonts w:ascii="Arial" w:hAnsi="Arial" w:cs="Arial"/>
        </w:rPr>
        <w:t xml:space="preserve"> high d</w:t>
      </w:r>
      <w:r w:rsidRPr="0066627A">
        <w:rPr>
          <w:rFonts w:ascii="Arial" w:hAnsi="Arial" w:cs="Arial"/>
        </w:rPr>
        <w:t xml:space="preserve">ose vs SOC was 0.4 (95% CI, 0.28 - 0.53), p= 0.12. The Win-Ratio </w:t>
      </w:r>
      <w:r w:rsidR="008B54E8" w:rsidRPr="0066627A">
        <w:rPr>
          <w:rFonts w:ascii="Arial" w:hAnsi="Arial" w:cs="Arial"/>
        </w:rPr>
        <w:t>for</w:t>
      </w:r>
      <w:r w:rsidRPr="0066627A">
        <w:rPr>
          <w:rFonts w:ascii="Arial" w:hAnsi="Arial" w:cs="Arial"/>
        </w:rPr>
        <w:t xml:space="preserve"> </w:t>
      </w:r>
      <w:r w:rsidR="000D515A" w:rsidRPr="0066627A">
        <w:rPr>
          <w:rFonts w:ascii="Arial" w:hAnsi="Arial" w:cs="Arial"/>
        </w:rPr>
        <w:t>single high-dose LAmB</w:t>
      </w:r>
      <w:r w:rsidRPr="0066627A">
        <w:rPr>
          <w:rFonts w:ascii="Arial" w:hAnsi="Arial" w:cs="Arial"/>
        </w:rPr>
        <w:t xml:space="preserve"> vs SOC </w:t>
      </w:r>
      <w:r w:rsidR="008B54E8" w:rsidRPr="0066627A">
        <w:rPr>
          <w:rFonts w:ascii="Arial" w:hAnsi="Arial" w:cs="Arial"/>
        </w:rPr>
        <w:t>was</w:t>
      </w:r>
      <w:r w:rsidRPr="0066627A">
        <w:rPr>
          <w:rFonts w:ascii="Arial" w:hAnsi="Arial" w:cs="Arial"/>
        </w:rPr>
        <w:t xml:space="preserve"> 0.64 (95% CI 0.35 - 1.16), p-value = 0.14. We found non-significant trend</w:t>
      </w:r>
      <w:r w:rsidR="000D515A" w:rsidRPr="0066627A">
        <w:rPr>
          <w:rFonts w:ascii="Arial" w:hAnsi="Arial" w:cs="Arial"/>
        </w:rPr>
        <w:t>s</w:t>
      </w:r>
      <w:r w:rsidRPr="0066627A">
        <w:rPr>
          <w:rFonts w:ascii="Arial" w:hAnsi="Arial" w:cs="Arial"/>
        </w:rPr>
        <w:t xml:space="preserve"> of lower toxicity and rehospitalization in the SOC arm</w:t>
      </w:r>
      <w:r w:rsidR="000D515A" w:rsidRPr="0066627A">
        <w:rPr>
          <w:rFonts w:ascii="Arial" w:hAnsi="Arial" w:cs="Arial"/>
        </w:rPr>
        <w:t xml:space="preserve"> using both Win Ratio and DOOR analyses</w:t>
      </w:r>
      <w:r w:rsidRPr="0066627A">
        <w:rPr>
          <w:rFonts w:ascii="Arial" w:hAnsi="Arial" w:cs="Arial"/>
        </w:rPr>
        <w:t xml:space="preserve"> (</w:t>
      </w:r>
      <w:r w:rsidR="000477EA" w:rsidRPr="0066627A">
        <w:rPr>
          <w:rFonts w:ascii="Arial" w:hAnsi="Arial" w:cs="Arial"/>
        </w:rPr>
        <w:t>Table 1 and Figure 1</w:t>
      </w:r>
      <w:r w:rsidRPr="0066627A">
        <w:rPr>
          <w:rFonts w:ascii="Arial" w:hAnsi="Arial" w:cs="Arial"/>
        </w:rPr>
        <w:t>).</w:t>
      </w:r>
    </w:p>
    <w:p w14:paraId="3C6E1D3A" w14:textId="77777777" w:rsidR="0066627A" w:rsidRPr="0066627A" w:rsidRDefault="0066627A">
      <w:pPr>
        <w:rPr>
          <w:rFonts w:ascii="Arial" w:hAnsi="Arial" w:cs="Arial"/>
        </w:rPr>
      </w:pPr>
    </w:p>
    <w:p w14:paraId="0000000D" w14:textId="77777777" w:rsidR="00C0326E" w:rsidRPr="0066627A" w:rsidRDefault="00FD0AE1">
      <w:pPr>
        <w:rPr>
          <w:rFonts w:ascii="Arial" w:hAnsi="Arial" w:cs="Arial"/>
        </w:rPr>
      </w:pPr>
      <w:r w:rsidRPr="0066627A">
        <w:rPr>
          <w:rFonts w:ascii="Arial" w:hAnsi="Arial" w:cs="Arial"/>
          <w:b/>
        </w:rPr>
        <w:t>Conclusions</w:t>
      </w:r>
      <w:r w:rsidRPr="0066627A">
        <w:rPr>
          <w:rFonts w:ascii="Arial" w:hAnsi="Arial" w:cs="Arial"/>
        </w:rPr>
        <w:t>:</w:t>
      </w:r>
    </w:p>
    <w:p w14:paraId="0000000E" w14:textId="6B824ABA" w:rsidR="00C0326E" w:rsidRPr="0066627A" w:rsidRDefault="00FD0AE1">
      <w:pPr>
        <w:rPr>
          <w:rFonts w:ascii="Arial" w:hAnsi="Arial" w:cs="Arial"/>
        </w:rPr>
      </w:pPr>
      <w:bookmarkStart w:id="0" w:name="_heading=h.4cpkayyotd95" w:colFirst="0" w:colLast="0"/>
      <w:bookmarkEnd w:id="0"/>
      <w:r w:rsidRPr="0066627A">
        <w:rPr>
          <w:rFonts w:ascii="Arial" w:hAnsi="Arial" w:cs="Arial"/>
        </w:rPr>
        <w:t>Both single high-dose and conventional durations of L-Am</w:t>
      </w:r>
      <w:r w:rsidR="00EA635E" w:rsidRPr="0066627A">
        <w:rPr>
          <w:rFonts w:ascii="Arial" w:hAnsi="Arial" w:cs="Arial"/>
        </w:rPr>
        <w:t>B</w:t>
      </w:r>
      <w:r w:rsidRPr="0066627A">
        <w:rPr>
          <w:rFonts w:ascii="Arial" w:hAnsi="Arial" w:cs="Arial"/>
        </w:rPr>
        <w:t xml:space="preserve"> provide</w:t>
      </w:r>
      <w:r w:rsidR="000D515A" w:rsidRPr="0066627A">
        <w:rPr>
          <w:rFonts w:ascii="Arial" w:hAnsi="Arial" w:cs="Arial"/>
        </w:rPr>
        <w:t>d</w:t>
      </w:r>
      <w:r w:rsidRPr="0066627A">
        <w:rPr>
          <w:rFonts w:ascii="Arial" w:hAnsi="Arial" w:cs="Arial"/>
        </w:rPr>
        <w:t xml:space="preserve"> comparable clinical outcomes when using Win-Ratio and DOOR to consider benefits and risks of induction treatment for HIV-related disseminated histoplasmosis</w:t>
      </w:r>
      <w:r w:rsidR="00B3313F" w:rsidRPr="0066627A">
        <w:rPr>
          <w:rFonts w:ascii="Arial" w:hAnsi="Arial" w:cs="Arial"/>
        </w:rPr>
        <w:t>, providing findings that are con</w:t>
      </w:r>
      <w:r w:rsidR="00FE1740" w:rsidRPr="0066627A">
        <w:rPr>
          <w:rFonts w:ascii="Arial" w:hAnsi="Arial" w:cs="Arial"/>
        </w:rPr>
        <w:t>sistent with the phase II trial. However, limitations of the phase II study include its small sample size and non-comparative design, which constrain the robustness of comparisons between single high-dose and standard liposomal amphotericin B regimens. Using DOOR and Win-Ratio analyses, n</w:t>
      </w:r>
      <w:r w:rsidRPr="0066627A">
        <w:rPr>
          <w:rFonts w:ascii="Arial" w:hAnsi="Arial" w:cs="Arial"/>
        </w:rPr>
        <w:t>on-significant trend</w:t>
      </w:r>
      <w:r w:rsidR="000D515A" w:rsidRPr="0066627A">
        <w:rPr>
          <w:rFonts w:ascii="Arial" w:hAnsi="Arial" w:cs="Arial"/>
        </w:rPr>
        <w:t>s</w:t>
      </w:r>
      <w:r w:rsidRPr="0066627A">
        <w:rPr>
          <w:rFonts w:ascii="Arial" w:hAnsi="Arial" w:cs="Arial"/>
        </w:rPr>
        <w:t xml:space="preserve"> of lower toxicity and rehospitalization in the SOC arm</w:t>
      </w:r>
      <w:r w:rsidR="000D515A" w:rsidRPr="0066627A">
        <w:rPr>
          <w:rFonts w:ascii="Arial" w:hAnsi="Arial" w:cs="Arial"/>
        </w:rPr>
        <w:t xml:space="preserve"> were noted</w:t>
      </w:r>
      <w:r w:rsidR="00B3313F" w:rsidRPr="0066627A">
        <w:rPr>
          <w:rFonts w:ascii="Arial" w:hAnsi="Arial" w:cs="Arial"/>
        </w:rPr>
        <w:t xml:space="preserve">. This </w:t>
      </w:r>
      <w:r w:rsidRPr="0066627A">
        <w:rPr>
          <w:rFonts w:ascii="Arial" w:hAnsi="Arial" w:cs="Arial"/>
        </w:rPr>
        <w:t>demonstrat</w:t>
      </w:r>
      <w:r w:rsidR="00B3313F" w:rsidRPr="0066627A">
        <w:rPr>
          <w:rFonts w:ascii="Arial" w:hAnsi="Arial" w:cs="Arial"/>
        </w:rPr>
        <w:t>es</w:t>
      </w:r>
      <w:r w:rsidRPr="0066627A">
        <w:rPr>
          <w:rFonts w:ascii="Arial" w:hAnsi="Arial" w:cs="Arial"/>
        </w:rPr>
        <w:t xml:space="preserve"> the need for a phase III trial in order to better evaluate non-inferiority for both survival and toxicity.</w:t>
      </w:r>
    </w:p>
    <w:p w14:paraId="4C924630" w14:textId="77777777" w:rsidR="003D2DC6" w:rsidRPr="0066627A" w:rsidRDefault="003D2DC6">
      <w:pPr>
        <w:rPr>
          <w:rFonts w:ascii="Arial" w:hAnsi="Arial" w:cs="Arial"/>
        </w:rPr>
      </w:pPr>
    </w:p>
    <w:tbl>
      <w:tblPr>
        <w:tblStyle w:val="SombreamentoClaro-nfase3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3D2DC6" w:rsidRPr="0066627A" w14:paraId="288A5A46" w14:textId="77777777" w:rsidTr="003D2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2824F2D2" w14:textId="1C11158B" w:rsidR="003D2DC6" w:rsidRPr="0066627A" w:rsidRDefault="003D2DC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02" w:type="dxa"/>
          </w:tcPr>
          <w:p w14:paraId="2C841C5C" w14:textId="56742453" w:rsidR="003D2DC6" w:rsidRPr="0066627A" w:rsidRDefault="003D2D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Single High-Dose, N=40</w:t>
            </w:r>
            <w:r w:rsidRPr="0066627A">
              <w:rPr>
                <w:rFonts w:ascii="Arial" w:hAnsi="Arial" w:cs="Arial"/>
                <w:color w:val="auto"/>
                <w:vertAlign w:val="superscript"/>
              </w:rPr>
              <w:t>1</w:t>
            </w:r>
          </w:p>
        </w:tc>
        <w:tc>
          <w:tcPr>
            <w:tcW w:w="2303" w:type="dxa"/>
          </w:tcPr>
          <w:p w14:paraId="6340C67E" w14:textId="3E768B66" w:rsidR="003D2DC6" w:rsidRPr="0066627A" w:rsidRDefault="003D2D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SOC, N=39</w:t>
            </w:r>
            <w:r w:rsidRPr="0066627A">
              <w:rPr>
                <w:rFonts w:ascii="Arial" w:hAnsi="Arial" w:cs="Arial"/>
                <w:color w:val="auto"/>
                <w:vertAlign w:val="superscript"/>
              </w:rPr>
              <w:t>1</w:t>
            </w:r>
          </w:p>
        </w:tc>
        <w:tc>
          <w:tcPr>
            <w:tcW w:w="2303" w:type="dxa"/>
          </w:tcPr>
          <w:p w14:paraId="470BBE25" w14:textId="3BF0FBE3" w:rsidR="003D2DC6" w:rsidRPr="0066627A" w:rsidRDefault="003D2D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P-value</w:t>
            </w:r>
            <w:r w:rsidRPr="0066627A">
              <w:rPr>
                <w:rFonts w:ascii="Arial" w:hAnsi="Arial" w:cs="Arial"/>
                <w:color w:val="auto"/>
                <w:vertAlign w:val="superscript"/>
              </w:rPr>
              <w:t>2</w:t>
            </w:r>
          </w:p>
        </w:tc>
      </w:tr>
      <w:tr w:rsidR="003D2DC6" w:rsidRPr="0066627A" w14:paraId="0C8CD2E7" w14:textId="77777777" w:rsidTr="003D2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5EB5F82F" w14:textId="0B4D38D4" w:rsidR="003D2DC6" w:rsidRPr="0066627A" w:rsidRDefault="003D2DC6">
            <w:pPr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DOOR</w:t>
            </w:r>
          </w:p>
        </w:tc>
        <w:tc>
          <w:tcPr>
            <w:tcW w:w="2302" w:type="dxa"/>
          </w:tcPr>
          <w:p w14:paraId="05FF0B3A" w14:textId="77777777" w:rsidR="003D2DC6" w:rsidRPr="0066627A" w:rsidRDefault="003D2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303" w:type="dxa"/>
          </w:tcPr>
          <w:p w14:paraId="245E75FB" w14:textId="77777777" w:rsidR="003D2DC6" w:rsidRPr="0066627A" w:rsidRDefault="003D2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303" w:type="dxa"/>
          </w:tcPr>
          <w:p w14:paraId="56E0E3B7" w14:textId="2C89C255" w:rsidR="003D2DC6" w:rsidRPr="0066627A" w:rsidRDefault="003D2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0.122</w:t>
            </w:r>
          </w:p>
        </w:tc>
      </w:tr>
      <w:tr w:rsidR="003D2DC6" w:rsidRPr="0066627A" w14:paraId="4976C27A" w14:textId="77777777" w:rsidTr="003D2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11839F38" w14:textId="28E20678" w:rsidR="003D2DC6" w:rsidRPr="0066627A" w:rsidRDefault="003D2DC6">
            <w:pPr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302" w:type="dxa"/>
          </w:tcPr>
          <w:p w14:paraId="017FDCC6" w14:textId="7F24DDF2" w:rsidR="003D2DC6" w:rsidRPr="0066627A" w:rsidRDefault="003D2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11 (28%)</w:t>
            </w:r>
          </w:p>
        </w:tc>
        <w:tc>
          <w:tcPr>
            <w:tcW w:w="2303" w:type="dxa"/>
          </w:tcPr>
          <w:p w14:paraId="2145389A" w14:textId="66498683" w:rsidR="003D2DC6" w:rsidRPr="0066627A" w:rsidRDefault="003D2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8 (21%)</w:t>
            </w:r>
          </w:p>
        </w:tc>
        <w:tc>
          <w:tcPr>
            <w:tcW w:w="2303" w:type="dxa"/>
          </w:tcPr>
          <w:p w14:paraId="779926E9" w14:textId="77777777" w:rsidR="003D2DC6" w:rsidRPr="0066627A" w:rsidRDefault="003D2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3D2DC6" w:rsidRPr="0066627A" w14:paraId="27277310" w14:textId="77777777" w:rsidTr="003D2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6C0F8DEC" w14:textId="021F01A3" w:rsidR="003D2DC6" w:rsidRPr="0066627A" w:rsidRDefault="003D2DC6">
            <w:pPr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302" w:type="dxa"/>
          </w:tcPr>
          <w:p w14:paraId="2BC47B24" w14:textId="119AFE03" w:rsidR="003D2DC6" w:rsidRPr="0066627A" w:rsidRDefault="003D2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6 (15%)</w:t>
            </w:r>
          </w:p>
        </w:tc>
        <w:tc>
          <w:tcPr>
            <w:tcW w:w="2303" w:type="dxa"/>
          </w:tcPr>
          <w:p w14:paraId="2BB4D6D7" w14:textId="31D34CB0" w:rsidR="003D2DC6" w:rsidRPr="0066627A" w:rsidRDefault="003D2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3 (7.7%)</w:t>
            </w:r>
          </w:p>
        </w:tc>
        <w:tc>
          <w:tcPr>
            <w:tcW w:w="2303" w:type="dxa"/>
          </w:tcPr>
          <w:p w14:paraId="53A2C9E0" w14:textId="77777777" w:rsidR="003D2DC6" w:rsidRPr="0066627A" w:rsidRDefault="003D2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3D2DC6" w:rsidRPr="0066627A" w14:paraId="1AA02D20" w14:textId="77777777" w:rsidTr="003D2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5548696D" w14:textId="7A8E8E19" w:rsidR="003D2DC6" w:rsidRPr="0066627A" w:rsidRDefault="003D2DC6">
            <w:pPr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302" w:type="dxa"/>
          </w:tcPr>
          <w:p w14:paraId="560152B6" w14:textId="355452B2" w:rsidR="003D2DC6" w:rsidRPr="0066627A" w:rsidRDefault="003D2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18 (45%)</w:t>
            </w:r>
          </w:p>
        </w:tc>
        <w:tc>
          <w:tcPr>
            <w:tcW w:w="2303" w:type="dxa"/>
          </w:tcPr>
          <w:p w14:paraId="0BCF0156" w14:textId="0091C74B" w:rsidR="003D2DC6" w:rsidRPr="0066627A" w:rsidRDefault="003D2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18 (46%)</w:t>
            </w:r>
          </w:p>
        </w:tc>
        <w:tc>
          <w:tcPr>
            <w:tcW w:w="2303" w:type="dxa"/>
          </w:tcPr>
          <w:p w14:paraId="1F730554" w14:textId="77777777" w:rsidR="003D2DC6" w:rsidRPr="0066627A" w:rsidRDefault="003D2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3D2DC6" w:rsidRPr="0066627A" w14:paraId="19839DC0" w14:textId="77777777" w:rsidTr="003D2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5EB6B983" w14:textId="49EE44A7" w:rsidR="003D2DC6" w:rsidRPr="0066627A" w:rsidRDefault="003D2DC6">
            <w:pPr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302" w:type="dxa"/>
          </w:tcPr>
          <w:p w14:paraId="22F7B06E" w14:textId="38AA93F2" w:rsidR="003D2DC6" w:rsidRPr="0066627A" w:rsidRDefault="003D2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1 (2.5%)</w:t>
            </w:r>
          </w:p>
        </w:tc>
        <w:tc>
          <w:tcPr>
            <w:tcW w:w="2303" w:type="dxa"/>
          </w:tcPr>
          <w:p w14:paraId="13383DA3" w14:textId="2421D272" w:rsidR="003D2DC6" w:rsidRPr="0066627A" w:rsidRDefault="003D2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2 (5.1%)</w:t>
            </w:r>
          </w:p>
        </w:tc>
        <w:tc>
          <w:tcPr>
            <w:tcW w:w="2303" w:type="dxa"/>
          </w:tcPr>
          <w:p w14:paraId="6FA1493D" w14:textId="77777777" w:rsidR="003D2DC6" w:rsidRPr="0066627A" w:rsidRDefault="003D2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3D2DC6" w:rsidRPr="0066627A" w14:paraId="5DF8B26E" w14:textId="77777777" w:rsidTr="003D2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59D2E75B" w14:textId="54CC96E7" w:rsidR="003D2DC6" w:rsidRPr="0066627A" w:rsidRDefault="003D2DC6">
            <w:pPr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302" w:type="dxa"/>
          </w:tcPr>
          <w:p w14:paraId="0B027F47" w14:textId="115AD2BF" w:rsidR="003D2DC6" w:rsidRPr="0066627A" w:rsidRDefault="003D2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4 (10%)</w:t>
            </w:r>
          </w:p>
        </w:tc>
        <w:tc>
          <w:tcPr>
            <w:tcW w:w="2303" w:type="dxa"/>
          </w:tcPr>
          <w:p w14:paraId="79D98BE0" w14:textId="0606A515" w:rsidR="003D2DC6" w:rsidRPr="0066627A" w:rsidRDefault="003D2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627A">
              <w:rPr>
                <w:rFonts w:ascii="Arial" w:hAnsi="Arial" w:cs="Arial"/>
                <w:color w:val="auto"/>
              </w:rPr>
              <w:t>8 (21%)</w:t>
            </w:r>
          </w:p>
        </w:tc>
        <w:tc>
          <w:tcPr>
            <w:tcW w:w="2303" w:type="dxa"/>
          </w:tcPr>
          <w:p w14:paraId="29D7FC59" w14:textId="77777777" w:rsidR="003D2DC6" w:rsidRPr="0066627A" w:rsidRDefault="003D2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3D2DC6" w:rsidRPr="0066627A" w14:paraId="0ED72A72" w14:textId="77777777" w:rsidTr="003D2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2F75FABD" w14:textId="5A3D9C88" w:rsidR="003D2DC6" w:rsidRPr="0066627A" w:rsidRDefault="003D2DC6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5C20FAE7" w14:textId="77777777" w:rsidR="003D2DC6" w:rsidRPr="0066627A" w:rsidRDefault="003D2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78464C60" w14:textId="77777777" w:rsidR="003D2DC6" w:rsidRPr="0066627A" w:rsidRDefault="003D2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3BED049F" w14:textId="77777777" w:rsidR="003D2DC6" w:rsidRPr="0066627A" w:rsidRDefault="003D2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3D5621B" w14:textId="77777777" w:rsidR="003D2DC6" w:rsidRPr="0066627A" w:rsidRDefault="00FD0AE1" w:rsidP="00FD0AE1">
      <w:pPr>
        <w:rPr>
          <w:rFonts w:ascii="Arial" w:hAnsi="Arial" w:cs="Arial"/>
        </w:rPr>
      </w:pPr>
      <w:r w:rsidRPr="0066627A">
        <w:rPr>
          <w:rFonts w:ascii="Arial" w:hAnsi="Arial" w:cs="Arial"/>
        </w:rPr>
        <w:t>Table 1. Distribution of patients according to DOOR score in single high dose vs. standard of care. Categories of the DOOR score are: 1 - Death at 12 weeks or loss of follow up at 2 weeks; 2 - severe adverse event; 3 - grade IV laboratory abnormalities at 2 weeks; 4 - grade III laboratory abnormalities at 2 weeks or loss of follow up at 12 weeks; 5 - alive at 12 weeks.</w:t>
      </w:r>
      <w:r w:rsidR="003D2DC6" w:rsidRPr="0066627A">
        <w:rPr>
          <w:rFonts w:ascii="Arial" w:hAnsi="Arial" w:cs="Arial"/>
        </w:rPr>
        <w:t xml:space="preserve"> </w:t>
      </w:r>
    </w:p>
    <w:p w14:paraId="69485DEF" w14:textId="3C217BC0" w:rsidR="00FD0AE1" w:rsidRDefault="003D2DC6" w:rsidP="00FD0AE1">
      <w:pPr>
        <w:rPr>
          <w:rFonts w:ascii="Arial" w:hAnsi="Arial" w:cs="Arial"/>
        </w:rPr>
      </w:pPr>
      <w:r w:rsidRPr="0066627A">
        <w:rPr>
          <w:rFonts w:ascii="Arial" w:hAnsi="Arial" w:cs="Arial"/>
          <w:vertAlign w:val="superscript"/>
        </w:rPr>
        <w:t>1</w:t>
      </w:r>
      <w:r w:rsidRPr="0066627A">
        <w:rPr>
          <w:rFonts w:ascii="Arial" w:hAnsi="Arial" w:cs="Arial"/>
        </w:rPr>
        <w:t xml:space="preserve"> n(%); </w:t>
      </w:r>
      <w:r w:rsidRPr="0066627A">
        <w:rPr>
          <w:rFonts w:ascii="Arial" w:hAnsi="Arial" w:cs="Arial"/>
          <w:vertAlign w:val="superscript"/>
        </w:rPr>
        <w:t>2</w:t>
      </w:r>
      <w:r w:rsidRPr="0066627A">
        <w:rPr>
          <w:rFonts w:ascii="Arial" w:hAnsi="Arial" w:cs="Arial"/>
        </w:rPr>
        <w:t xml:space="preserve"> Wilcoxon rank sum test; DOOR: desirability of outcome ranking; SOC: standard of care.</w:t>
      </w:r>
    </w:p>
    <w:p w14:paraId="1BE85E15" w14:textId="77777777" w:rsidR="0066627A" w:rsidRPr="0066627A" w:rsidRDefault="0066627A" w:rsidP="00FD0AE1">
      <w:pPr>
        <w:rPr>
          <w:rFonts w:ascii="Arial" w:hAnsi="Arial" w:cs="Arial"/>
        </w:rPr>
      </w:pPr>
    </w:p>
    <w:p w14:paraId="0000000F" w14:textId="77777777" w:rsidR="00C0326E" w:rsidRPr="0066627A" w:rsidRDefault="00FD0AE1">
      <w:pPr>
        <w:rPr>
          <w:rFonts w:ascii="Arial" w:hAnsi="Arial" w:cs="Arial"/>
        </w:rPr>
      </w:pPr>
      <w:r w:rsidRPr="0066627A">
        <w:rPr>
          <w:rFonts w:ascii="Arial" w:hAnsi="Arial" w:cs="Arial"/>
          <w:lang w:val="pt-BR" w:eastAsia="pt-BR"/>
        </w:rPr>
        <w:drawing>
          <wp:inline distT="114300" distB="114300" distL="114300" distR="114300" wp14:anchorId="38CDF439" wp14:editId="501F02DA">
            <wp:extent cx="4900078" cy="357179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0078" cy="3571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0" w14:textId="44B82A9B" w:rsidR="00C0326E" w:rsidRPr="0066627A" w:rsidRDefault="00FD0AE1" w:rsidP="000B202F">
      <w:pPr>
        <w:rPr>
          <w:rFonts w:ascii="Arial" w:hAnsi="Arial" w:cs="Arial"/>
        </w:rPr>
      </w:pPr>
      <w:r w:rsidRPr="0066627A">
        <w:rPr>
          <w:rFonts w:ascii="Arial" w:hAnsi="Arial" w:cs="Arial"/>
        </w:rPr>
        <w:t>Figure 1.  Forest plot for c</w:t>
      </w:r>
      <w:r w:rsidR="000B202F" w:rsidRPr="0066627A">
        <w:rPr>
          <w:rFonts w:ascii="Arial" w:hAnsi="Arial" w:cs="Arial"/>
        </w:rPr>
        <w:t xml:space="preserve">omposite </w:t>
      </w:r>
      <w:r w:rsidRPr="0066627A">
        <w:rPr>
          <w:rFonts w:ascii="Arial" w:hAnsi="Arial" w:cs="Arial"/>
        </w:rPr>
        <w:t>better door probability (BDP)</w:t>
      </w:r>
      <w:r w:rsidR="000B202F" w:rsidRPr="0066627A">
        <w:rPr>
          <w:rFonts w:ascii="Arial" w:hAnsi="Arial" w:cs="Arial"/>
        </w:rPr>
        <w:t xml:space="preserve"> and Component-wise BDP. The component-wise BDP is calculated marginally for</w:t>
      </w:r>
      <w:r w:rsidRPr="0066627A">
        <w:rPr>
          <w:rFonts w:ascii="Arial" w:hAnsi="Arial" w:cs="Arial"/>
        </w:rPr>
        <w:t xml:space="preserve"> </w:t>
      </w:r>
      <w:r w:rsidR="000B202F" w:rsidRPr="0066627A">
        <w:rPr>
          <w:rFonts w:ascii="Arial" w:hAnsi="Arial" w:cs="Arial"/>
        </w:rPr>
        <w:t>each component. That is, a patient can appear in several categories. For each event type, the comparison is</w:t>
      </w:r>
      <w:r w:rsidRPr="0066627A">
        <w:rPr>
          <w:rFonts w:ascii="Arial" w:hAnsi="Arial" w:cs="Arial"/>
        </w:rPr>
        <w:t xml:space="preserve"> </w:t>
      </w:r>
      <w:r w:rsidR="000B202F" w:rsidRPr="0066627A">
        <w:rPr>
          <w:rFonts w:ascii="Arial" w:hAnsi="Arial" w:cs="Arial"/>
        </w:rPr>
        <w:t>modeling having the event (worse) vs not having the event (better).</w:t>
      </w:r>
      <w:r w:rsidRPr="0066627A">
        <w:rPr>
          <w:rFonts w:ascii="Arial" w:hAnsi="Arial" w:cs="Arial"/>
        </w:rPr>
        <w:t xml:space="preserve"> Data points located to the left of the vertical line indicate outcomes that favor the standard of care.</w:t>
      </w:r>
    </w:p>
    <w:p w14:paraId="6852FE2F" w14:textId="77777777" w:rsidR="000477EA" w:rsidRDefault="000477EA" w:rsidP="000B202F">
      <w:pPr>
        <w:rPr>
          <w:rFonts w:ascii="Arial" w:hAnsi="Arial" w:cs="Arial"/>
        </w:rPr>
      </w:pPr>
    </w:p>
    <w:p w14:paraId="67640C7D" w14:textId="77777777" w:rsidR="0066627A" w:rsidRPr="0066627A" w:rsidRDefault="0066627A" w:rsidP="000B202F">
      <w:pPr>
        <w:rPr>
          <w:rFonts w:ascii="Arial" w:hAnsi="Arial" w:cs="Arial"/>
        </w:rPr>
      </w:pPr>
      <w:bookmarkStart w:id="1" w:name="_GoBack"/>
      <w:bookmarkEnd w:id="1"/>
    </w:p>
    <w:p w14:paraId="52EE51E0" w14:textId="77777777" w:rsidR="000477EA" w:rsidRPr="0066627A" w:rsidRDefault="000477EA" w:rsidP="000B202F">
      <w:pPr>
        <w:rPr>
          <w:rFonts w:ascii="Arial" w:hAnsi="Arial" w:cs="Arial"/>
        </w:rPr>
      </w:pPr>
    </w:p>
    <w:p w14:paraId="1BC7E16F" w14:textId="77777777" w:rsidR="000477EA" w:rsidRPr="0066627A" w:rsidRDefault="000477EA" w:rsidP="000B202F">
      <w:pPr>
        <w:rPr>
          <w:rFonts w:ascii="Arial" w:hAnsi="Arial" w:cs="Arial"/>
        </w:rPr>
      </w:pPr>
    </w:p>
    <w:p w14:paraId="5E2017BE" w14:textId="30216EFD" w:rsidR="000477EA" w:rsidRPr="0066627A" w:rsidRDefault="000477EA" w:rsidP="000B202F">
      <w:pPr>
        <w:rPr>
          <w:rFonts w:ascii="Arial" w:hAnsi="Arial" w:cs="Arial"/>
        </w:rPr>
      </w:pPr>
      <w:r w:rsidRPr="0066627A">
        <w:rPr>
          <w:rFonts w:ascii="Arial" w:hAnsi="Arial" w:cs="Arial"/>
          <w:b/>
        </w:rPr>
        <w:lastRenderedPageBreak/>
        <w:t>References</w:t>
      </w:r>
      <w:r w:rsidRPr="0066627A">
        <w:rPr>
          <w:rFonts w:ascii="Arial" w:hAnsi="Arial" w:cs="Arial"/>
        </w:rPr>
        <w:t>:</w:t>
      </w:r>
    </w:p>
    <w:p w14:paraId="0A30AFD5" w14:textId="77777777" w:rsidR="00025B87" w:rsidRPr="0066627A" w:rsidRDefault="00025B87" w:rsidP="00025B8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6627A">
        <w:rPr>
          <w:rFonts w:ascii="Arial" w:hAnsi="Arial" w:cs="Arial"/>
        </w:rPr>
        <w:t xml:space="preserve">Adenis AA, Valdes A, Cropet C, et al. Burden of HIV-associated histoplasmosis compared with tuberculosis in Latin America: a modelling study. </w:t>
      </w:r>
      <w:r w:rsidRPr="0066627A">
        <w:rPr>
          <w:rFonts w:ascii="Arial" w:hAnsi="Arial" w:cs="Arial"/>
          <w:lang w:val="pt-BR"/>
        </w:rPr>
        <w:t>Lancet Infect Dis. 2018;18(10):1150-1159. doi:10.1016/S1473-3099(18)30354-2</w:t>
      </w:r>
    </w:p>
    <w:p w14:paraId="4C6E5E7E" w14:textId="77777777" w:rsidR="00025B87" w:rsidRPr="0066627A" w:rsidRDefault="00025B87" w:rsidP="00025B8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6627A">
        <w:rPr>
          <w:rFonts w:ascii="Arial" w:hAnsi="Arial" w:cs="Arial"/>
          <w:lang w:val="en-US"/>
        </w:rPr>
        <w:t>Pasqualotto AC, Queiroz-Telles F, Chebabo A, et al. The "Histoplasmosis Porto Alegre manifesto"-Addressing disseminated histoplasmosis in AIDS [published correction appears in PLoS Negl Trop Dis. 2023 Jan 31;17(1):e0011106. doi: 10.1371/journal.pntd.0011106.]. PLoS Negl Trop Dis. 2023;17(1):e0010960. Published 2023 Jan 5. doi:10.1371/journal.pntd.0010960</w:t>
      </w:r>
    </w:p>
    <w:p w14:paraId="01CDF026" w14:textId="6B36541C" w:rsidR="00025B87" w:rsidRPr="0066627A" w:rsidRDefault="00025B87" w:rsidP="00025B8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6627A">
        <w:rPr>
          <w:rFonts w:ascii="Arial" w:hAnsi="Arial" w:cs="Arial"/>
        </w:rPr>
        <w:t>Pasqualotto AC, Lana DD, Godoy CSM, et al. Single High Dose of Liposomal Amphotericin B in Human Immunodeficiency Virus/AIDS-Related Disseminated Histoplasmosis: A Randomized Trial. Clin Infect Dis. 2023;77(8):1126-1132. doi:10.1093/cid/ciad313</w:t>
      </w:r>
    </w:p>
    <w:p w14:paraId="414AA662" w14:textId="412BE92E" w:rsidR="001F490F" w:rsidRPr="0066627A" w:rsidRDefault="001F490F" w:rsidP="00025B8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6627A">
        <w:rPr>
          <w:rFonts w:ascii="Arial" w:hAnsi="Arial" w:cs="Arial"/>
        </w:rPr>
        <w:t>Evans SR, Rubin D, Follmann D, Pennello G, Huskins WC, Powers JH, Schoenfeld D, Chuang-Stein C, Cosgrove SE, Fowler VG Jr, Lautenbach E, Chambers HF. Desirability of Outcome Ranking (DOOR) and Response Adjusted for Duration of Antibiotic Risk (RADAR). Clin Infect Dis. 2015 Sep 1;61(5):800-6. doi: 10.1093/cid/civ495. Epub 2015 Jun 25. Erratum in: Clin Infect Dis. 2023 Jan 6;76(1):182. doi: 10.1093/cid/ciac352. PMID: 26113652; PMCID: PMC4542892.</w:t>
      </w:r>
    </w:p>
    <w:p w14:paraId="2A6527EB" w14:textId="4AB8595A" w:rsidR="001F490F" w:rsidRPr="0066627A" w:rsidRDefault="001F490F" w:rsidP="001F490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6627A">
        <w:rPr>
          <w:rFonts w:ascii="Arial" w:hAnsi="Arial" w:cs="Arial"/>
        </w:rPr>
        <w:t>Pocock SJ, Ariti CA, Collier TJ, Wang D. The win ratio: a new approach to the analysis of composite endpoints in clinical trials based on clinical priorities. Eur Heart J. 2012 Jan;33(2):176-82. doi: 10.1093/eurheartj/ehr352. Epub 2011 Sep 6. PMID: 21900289.</w:t>
      </w:r>
    </w:p>
    <w:p w14:paraId="0D8F289E" w14:textId="77777777" w:rsidR="000477EA" w:rsidRPr="0066627A" w:rsidRDefault="000477EA" w:rsidP="000B202F">
      <w:pPr>
        <w:rPr>
          <w:rFonts w:ascii="Arial" w:hAnsi="Arial" w:cs="Arial"/>
        </w:rPr>
      </w:pPr>
    </w:p>
    <w:p w14:paraId="00000011" w14:textId="77777777" w:rsidR="00C0326E" w:rsidRPr="0066627A" w:rsidRDefault="00C0326E">
      <w:pPr>
        <w:rPr>
          <w:rFonts w:ascii="Arial" w:hAnsi="Arial" w:cs="Arial"/>
        </w:rPr>
      </w:pPr>
    </w:p>
    <w:p w14:paraId="00000013" w14:textId="792C33CC" w:rsidR="00C0326E" w:rsidRPr="0066627A" w:rsidRDefault="00C0326E">
      <w:pPr>
        <w:rPr>
          <w:rFonts w:ascii="Arial" w:hAnsi="Arial" w:cs="Arial"/>
        </w:rPr>
      </w:pPr>
    </w:p>
    <w:sectPr w:rsidR="00C0326E" w:rsidRPr="0066627A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8D31C5D" w15:done="0"/>
  <w15:commentEx w15:paraId="00000014" w15:done="0"/>
  <w15:commentEx w15:paraId="6FFC8D22" w15:done="0"/>
  <w15:commentEx w15:paraId="1DBDB17A" w15:done="0"/>
  <w15:commentEx w15:paraId="30D1DB0E" w15:done="0"/>
  <w15:commentEx w15:paraId="72BEAE2B" w15:done="0"/>
  <w15:commentEx w15:paraId="35DD5C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CCC8EB" w16cex:dateUtc="2025-04-21T17:38:00Z"/>
  <w16cex:commentExtensible w16cex:durableId="15480A8F" w16cex:dateUtc="2025-04-21T17:41:00Z"/>
  <w16cex:commentExtensible w16cex:durableId="53B5DC63" w16cex:dateUtc="2025-04-21T17:47:00Z"/>
  <w16cex:commentExtensible w16cex:durableId="4BCDD69B" w16cex:dateUtc="2025-04-21T17:42:00Z"/>
  <w16cex:commentExtensible w16cex:durableId="38EBCB6B" w16cex:dateUtc="2025-04-22T16:51:00Z"/>
  <w16cex:commentExtensible w16cex:durableId="639FFDD4" w16cex:dateUtc="2025-04-22T1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D31C5D" w16cid:durableId="08CCC8EB"/>
  <w16cid:commentId w16cid:paraId="00000014" w16cid:durableId="00000014"/>
  <w16cid:commentId w16cid:paraId="6FFC8D22" w16cid:durableId="15480A8F"/>
  <w16cid:commentId w16cid:paraId="1DBDB17A" w16cid:durableId="53B5DC63"/>
  <w16cid:commentId w16cid:paraId="30D1DB0E" w16cid:durableId="4BCDD69B"/>
  <w16cid:commentId w16cid:paraId="72BEAE2B" w16cid:durableId="38EBCB6B"/>
  <w16cid:commentId w16cid:paraId="35DD5C81" w16cid:durableId="639FFD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19B"/>
    <w:multiLevelType w:val="hybridMultilevel"/>
    <w:tmpl w:val="85045E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E4CD2"/>
    <w:multiLevelType w:val="hybridMultilevel"/>
    <w:tmpl w:val="D56E8D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hr, Nathan C">
    <w15:presenceInfo w15:providerId="AD" w15:userId="S::nbahr1@fairview.org::2f96803a-7cdc-4167-af73-d6131946f2d1"/>
  </w15:person>
  <w15:person w15:author="Biyue Dai">
    <w15:presenceInfo w15:providerId="AD" w15:userId="S::biydai@umn.edu::b675c09a-de38-4f42-873e-3dbfc58996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6E"/>
    <w:rsid w:val="00025B87"/>
    <w:rsid w:val="000477EA"/>
    <w:rsid w:val="000A748E"/>
    <w:rsid w:val="000B202F"/>
    <w:rsid w:val="000D515A"/>
    <w:rsid w:val="00102429"/>
    <w:rsid w:val="001F490F"/>
    <w:rsid w:val="00201C36"/>
    <w:rsid w:val="0030064C"/>
    <w:rsid w:val="003D2DC6"/>
    <w:rsid w:val="00506689"/>
    <w:rsid w:val="005F6DE2"/>
    <w:rsid w:val="00647003"/>
    <w:rsid w:val="0066627A"/>
    <w:rsid w:val="00846C03"/>
    <w:rsid w:val="008B54E8"/>
    <w:rsid w:val="009918BF"/>
    <w:rsid w:val="00A14311"/>
    <w:rsid w:val="00AF7ABC"/>
    <w:rsid w:val="00B3313F"/>
    <w:rsid w:val="00C0326E"/>
    <w:rsid w:val="00CB2C6B"/>
    <w:rsid w:val="00D00D4E"/>
    <w:rsid w:val="00DD5A46"/>
    <w:rsid w:val="00E10FC3"/>
    <w:rsid w:val="00E15662"/>
    <w:rsid w:val="00EA635E"/>
    <w:rsid w:val="00EF50F4"/>
    <w:rsid w:val="00F37D77"/>
    <w:rsid w:val="00FD0AE1"/>
    <w:rsid w:val="00FD27B5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noProof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A14311"/>
    <w:pPr>
      <w:spacing w:after="0" w:line="240" w:lineRule="auto"/>
    </w:pPr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06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064C"/>
    <w:rPr>
      <w:b/>
      <w:bCs/>
      <w:noProof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662"/>
    <w:rPr>
      <w:rFonts w:ascii="Tahoma" w:hAnsi="Tahoma" w:cs="Tahoma"/>
      <w:noProof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77EA"/>
    <w:pPr>
      <w:ind w:left="720"/>
      <w:contextualSpacing/>
    </w:pPr>
  </w:style>
  <w:style w:type="table" w:styleId="Tabelacomgrade">
    <w:name w:val="Table Grid"/>
    <w:basedOn w:val="Tabelanormal"/>
    <w:uiPriority w:val="39"/>
    <w:rsid w:val="003D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3D2D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noProof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A14311"/>
    <w:pPr>
      <w:spacing w:after="0" w:line="240" w:lineRule="auto"/>
    </w:pPr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06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064C"/>
    <w:rPr>
      <w:b/>
      <w:bCs/>
      <w:noProof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662"/>
    <w:rPr>
      <w:rFonts w:ascii="Tahoma" w:hAnsi="Tahoma" w:cs="Tahoma"/>
      <w:noProof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77EA"/>
    <w:pPr>
      <w:ind w:left="720"/>
      <w:contextualSpacing/>
    </w:pPr>
  </w:style>
  <w:style w:type="table" w:styleId="Tabelacomgrade">
    <w:name w:val="Table Grid"/>
    <w:basedOn w:val="Tabelanormal"/>
    <w:uiPriority w:val="39"/>
    <w:rsid w:val="003D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3D2D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vcr5OcTeNJU4YYZveZmW1wb5g==">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Kansas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van Borrendam</dc:creator>
  <cp:lastModifiedBy>usuario</cp:lastModifiedBy>
  <cp:revision>3</cp:revision>
  <dcterms:created xsi:type="dcterms:W3CDTF">2025-04-25T12:09:00Z</dcterms:created>
  <dcterms:modified xsi:type="dcterms:W3CDTF">2025-04-25T12:10:00Z</dcterms:modified>
</cp:coreProperties>
</file>