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BD" w:rsidRPr="00CC7EB4" w:rsidRDefault="00EE0BBD" w:rsidP="00EE0BBD">
      <w:pPr>
        <w:spacing w:before="100" w:beforeAutospacing="1" w:after="100" w:afterAutospacing="1" w:line="276" w:lineRule="auto"/>
        <w:rPr>
          <w:rFonts w:ascii="Arial" w:eastAsia="Times New Roman" w:hAnsi="Arial" w:cs="Arial"/>
          <w:b/>
          <w:bCs/>
          <w:kern w:val="0"/>
          <w:lang w:val="en-US" w:eastAsia="ru-RU"/>
          <w14:ligatures w14:val="none"/>
        </w:rPr>
      </w:pPr>
      <w:bookmarkStart w:id="0" w:name="_GoBack"/>
      <w:bookmarkEnd w:id="0"/>
      <w:r w:rsidRPr="00CC7EB4">
        <w:rPr>
          <w:rFonts w:ascii="Arial" w:eastAsia="Times New Roman" w:hAnsi="Arial" w:cs="Arial"/>
          <w:b/>
          <w:bCs/>
          <w:kern w:val="0"/>
          <w:lang w:val="en-US" w:eastAsia="ru-RU"/>
          <w14:ligatures w14:val="none"/>
        </w:rPr>
        <w:t xml:space="preserve">Objectives: </w:t>
      </w:r>
      <w:r w:rsidRPr="00CC7EB4">
        <w:rPr>
          <w:rFonts w:ascii="Arial" w:eastAsia="Times New Roman" w:hAnsi="Arial" w:cs="Arial"/>
          <w:kern w:val="0"/>
          <w:lang w:val="en-US" w:eastAsia="ru-RU"/>
          <w14:ligatures w14:val="none"/>
        </w:rPr>
        <w:t xml:space="preserve">Dermatophytes are </w:t>
      </w:r>
      <w:proofErr w:type="spellStart"/>
      <w:r w:rsidRPr="00CC7EB4">
        <w:rPr>
          <w:rFonts w:ascii="Arial" w:eastAsia="Times New Roman" w:hAnsi="Arial" w:cs="Arial"/>
          <w:kern w:val="0"/>
          <w:lang w:val="en-US" w:eastAsia="ru-RU"/>
          <w14:ligatures w14:val="none"/>
        </w:rPr>
        <w:t>keratinophilic</w:t>
      </w:r>
      <w:proofErr w:type="spellEnd"/>
      <w:r w:rsidRPr="00CC7EB4">
        <w:rPr>
          <w:rFonts w:ascii="Arial" w:eastAsia="Times New Roman" w:hAnsi="Arial" w:cs="Arial"/>
          <w:kern w:val="0"/>
          <w:lang w:val="en-US" w:eastAsia="ru-RU"/>
          <w14:ligatures w14:val="none"/>
        </w:rPr>
        <w:t xml:space="preserve"> molds that infect keratinized tissues such as skin, hair, and nails. Their transmission depends on their </w:t>
      </w:r>
      <w:proofErr w:type="spellStart"/>
      <w:r w:rsidRPr="00CC7EB4">
        <w:rPr>
          <w:rFonts w:ascii="Arial" w:eastAsia="Times New Roman" w:hAnsi="Arial" w:cs="Arial"/>
          <w:kern w:val="0"/>
          <w:lang w:val="en-US" w:eastAsia="ru-RU"/>
          <w14:ligatures w14:val="none"/>
        </w:rPr>
        <w:t>anthropophilic</w:t>
      </w:r>
      <w:proofErr w:type="spellEnd"/>
      <w:r w:rsidRPr="00CC7EB4">
        <w:rPr>
          <w:rFonts w:ascii="Arial" w:eastAsia="Times New Roman" w:hAnsi="Arial" w:cs="Arial"/>
          <w:kern w:val="0"/>
          <w:lang w:val="en-US" w:eastAsia="ru-RU"/>
          <w14:ligatures w14:val="none"/>
        </w:rPr>
        <w:t xml:space="preserve"> (human-associated), zoophilic (animal-associated), or </w:t>
      </w:r>
      <w:proofErr w:type="spellStart"/>
      <w:r w:rsidRPr="00CC7EB4">
        <w:rPr>
          <w:rFonts w:ascii="Arial" w:eastAsia="Times New Roman" w:hAnsi="Arial" w:cs="Arial"/>
          <w:kern w:val="0"/>
          <w:lang w:val="en-US" w:eastAsia="ru-RU"/>
          <w14:ligatures w14:val="none"/>
        </w:rPr>
        <w:t>geophilic</w:t>
      </w:r>
      <w:proofErr w:type="spellEnd"/>
      <w:r w:rsidRPr="00CC7EB4">
        <w:rPr>
          <w:rFonts w:ascii="Arial" w:eastAsia="Times New Roman" w:hAnsi="Arial" w:cs="Arial"/>
          <w:kern w:val="0"/>
          <w:lang w:val="en-US" w:eastAsia="ru-RU"/>
          <w14:ligatures w14:val="none"/>
        </w:rPr>
        <w:t xml:space="preserve"> (soil-associated) nature. Dermatophyte infections are common among patients attending dermatology clinics and can present with a wide range of clinical manifestations. </w:t>
      </w:r>
    </w:p>
    <w:p w:rsidR="00EE0BBD" w:rsidRPr="00CC7EB4" w:rsidRDefault="00EE0BBD" w:rsidP="00EE0BBD">
      <w:pPr>
        <w:spacing w:before="100" w:beforeAutospacing="1" w:after="100" w:afterAutospacing="1" w:line="276" w:lineRule="auto"/>
        <w:rPr>
          <w:rFonts w:ascii="Arial" w:eastAsia="Times New Roman" w:hAnsi="Arial" w:cs="Arial"/>
          <w:kern w:val="0"/>
          <w:lang w:val="en-US" w:eastAsia="ru-RU"/>
          <w14:ligatures w14:val="none"/>
        </w:rPr>
      </w:pPr>
      <w:r w:rsidRPr="00CC7EB4">
        <w:rPr>
          <w:rFonts w:ascii="Arial" w:eastAsia="Times New Roman" w:hAnsi="Arial" w:cs="Arial"/>
          <w:kern w:val="0"/>
          <w:lang w:val="en-US" w:eastAsia="ru-RU"/>
          <w14:ligatures w14:val="none"/>
        </w:rPr>
        <w:t xml:space="preserve">Dermatophytes are mainly classified into three genera: </w:t>
      </w:r>
      <w:proofErr w:type="spellStart"/>
      <w:r w:rsidRPr="00CC7EB4">
        <w:rPr>
          <w:rFonts w:ascii="Arial" w:eastAsia="Times New Roman" w:hAnsi="Arial" w:cs="Arial"/>
          <w:i/>
          <w:iCs/>
          <w:kern w:val="0"/>
          <w:lang w:val="en-US" w:eastAsia="ru-RU"/>
          <w14:ligatures w14:val="none"/>
        </w:rPr>
        <w:t>Trichophyton</w:t>
      </w:r>
      <w:proofErr w:type="spellEnd"/>
      <w:r w:rsidRPr="00CC7EB4">
        <w:rPr>
          <w:rFonts w:ascii="Arial" w:eastAsia="Times New Roman" w:hAnsi="Arial" w:cs="Arial"/>
          <w:kern w:val="0"/>
          <w:lang w:val="en-US" w:eastAsia="ru-RU"/>
          <w14:ligatures w14:val="none"/>
        </w:rPr>
        <w:t xml:space="preserve">, </w:t>
      </w:r>
      <w:proofErr w:type="spellStart"/>
      <w:r w:rsidRPr="00CC7EB4">
        <w:rPr>
          <w:rFonts w:ascii="Arial" w:eastAsia="Times New Roman" w:hAnsi="Arial" w:cs="Arial"/>
          <w:i/>
          <w:iCs/>
          <w:kern w:val="0"/>
          <w:lang w:val="en-US" w:eastAsia="ru-RU"/>
          <w14:ligatures w14:val="none"/>
        </w:rPr>
        <w:t>Epidermophyton</w:t>
      </w:r>
      <w:proofErr w:type="spellEnd"/>
      <w:r w:rsidRPr="00CC7EB4">
        <w:rPr>
          <w:rFonts w:ascii="Arial" w:eastAsia="Times New Roman" w:hAnsi="Arial" w:cs="Arial"/>
          <w:kern w:val="0"/>
          <w:lang w:val="en-US" w:eastAsia="ru-RU"/>
          <w14:ligatures w14:val="none"/>
        </w:rPr>
        <w:t xml:space="preserve">, and </w:t>
      </w:r>
      <w:proofErr w:type="spellStart"/>
      <w:r w:rsidRPr="00CC7EB4">
        <w:rPr>
          <w:rFonts w:ascii="Arial" w:eastAsia="Times New Roman" w:hAnsi="Arial" w:cs="Arial"/>
          <w:i/>
          <w:iCs/>
          <w:kern w:val="0"/>
          <w:lang w:val="en-US" w:eastAsia="ru-RU"/>
          <w14:ligatures w14:val="none"/>
        </w:rPr>
        <w:t>Microsporum</w:t>
      </w:r>
      <w:proofErr w:type="spellEnd"/>
      <w:r w:rsidRPr="00CC7EB4">
        <w:rPr>
          <w:rFonts w:ascii="Arial" w:eastAsia="Times New Roman" w:hAnsi="Arial" w:cs="Arial"/>
          <w:kern w:val="0"/>
          <w:lang w:val="en-US" w:eastAsia="ru-RU"/>
          <w14:ligatures w14:val="none"/>
        </w:rPr>
        <w:t xml:space="preserve">. </w:t>
      </w:r>
      <w:proofErr w:type="spellStart"/>
      <w:r w:rsidRPr="00CC7EB4">
        <w:rPr>
          <w:rFonts w:ascii="Arial" w:eastAsia="Times New Roman" w:hAnsi="Arial" w:cs="Arial"/>
          <w:i/>
          <w:iCs/>
          <w:kern w:val="0"/>
          <w:lang w:val="en-US" w:eastAsia="ru-RU"/>
          <w14:ligatures w14:val="none"/>
        </w:rPr>
        <w:t>Microsporum</w:t>
      </w:r>
      <w:proofErr w:type="spellEnd"/>
      <w:r w:rsidRPr="00CC7EB4">
        <w:rPr>
          <w:rFonts w:ascii="Arial" w:eastAsia="Times New Roman" w:hAnsi="Arial" w:cs="Arial"/>
          <w:kern w:val="0"/>
          <w:lang w:val="en-US" w:eastAsia="ru-RU"/>
          <w14:ligatures w14:val="none"/>
        </w:rPr>
        <w:t xml:space="preserve"> species primarily infect hair and skin, </w:t>
      </w:r>
      <w:proofErr w:type="spellStart"/>
      <w:r w:rsidRPr="00CC7EB4">
        <w:rPr>
          <w:rFonts w:ascii="Arial" w:eastAsia="Times New Roman" w:hAnsi="Arial" w:cs="Arial"/>
          <w:kern w:val="0"/>
          <w:lang w:val="en-US" w:eastAsia="ru-RU"/>
          <w14:ligatures w14:val="none"/>
        </w:rPr>
        <w:t>Epidermophyton</w:t>
      </w:r>
      <w:proofErr w:type="spellEnd"/>
      <w:r w:rsidRPr="00CC7EB4">
        <w:rPr>
          <w:rFonts w:ascii="Arial" w:eastAsia="Times New Roman" w:hAnsi="Arial" w:cs="Arial"/>
          <w:kern w:val="0"/>
          <w:lang w:val="en-US" w:eastAsia="ru-RU"/>
          <w14:ligatures w14:val="none"/>
        </w:rPr>
        <w:t xml:space="preserve"> affects skin and nails, while </w:t>
      </w:r>
      <w:proofErr w:type="spellStart"/>
      <w:r w:rsidRPr="00CC7EB4">
        <w:rPr>
          <w:rFonts w:ascii="Arial" w:eastAsia="Times New Roman" w:hAnsi="Arial" w:cs="Arial"/>
          <w:kern w:val="0"/>
          <w:lang w:val="en-US" w:eastAsia="ru-RU"/>
          <w14:ligatures w14:val="none"/>
        </w:rPr>
        <w:t>Trichophyton</w:t>
      </w:r>
      <w:proofErr w:type="spellEnd"/>
      <w:r w:rsidRPr="00CC7EB4">
        <w:rPr>
          <w:rFonts w:ascii="Arial" w:eastAsia="Times New Roman" w:hAnsi="Arial" w:cs="Arial"/>
          <w:kern w:val="0"/>
          <w:lang w:val="en-US" w:eastAsia="ru-RU"/>
          <w14:ligatures w14:val="none"/>
        </w:rPr>
        <w:t xml:space="preserve"> can infect hair, skin, and nails. Transmission occurs through direct contact with infected individuals, animals, or contaminated soil. </w:t>
      </w:r>
      <w:proofErr w:type="spellStart"/>
      <w:r w:rsidRPr="00CC7EB4">
        <w:rPr>
          <w:rFonts w:ascii="Arial" w:eastAsia="Times New Roman" w:hAnsi="Arial" w:cs="Arial"/>
          <w:kern w:val="0"/>
          <w:lang w:val="en-US" w:eastAsia="ru-RU"/>
          <w14:ligatures w14:val="none"/>
        </w:rPr>
        <w:t>Anthropophilic</w:t>
      </w:r>
      <w:proofErr w:type="spellEnd"/>
      <w:r w:rsidRPr="00CC7EB4">
        <w:rPr>
          <w:rFonts w:ascii="Arial" w:eastAsia="Times New Roman" w:hAnsi="Arial" w:cs="Arial"/>
          <w:kern w:val="0"/>
          <w:lang w:val="en-US" w:eastAsia="ru-RU"/>
          <w14:ligatures w14:val="none"/>
        </w:rPr>
        <w:t xml:space="preserve"> species usually cause milder, chronic infections, whereas zoophilic species are associated with more pronounced inflammatory responses.</w:t>
      </w:r>
    </w:p>
    <w:p w:rsidR="00EE0BBD" w:rsidRPr="00CC7EB4" w:rsidRDefault="00EE0BBD" w:rsidP="00EE0BBD">
      <w:pPr>
        <w:spacing w:before="100" w:beforeAutospacing="1" w:after="100" w:afterAutospacing="1" w:line="276" w:lineRule="auto"/>
        <w:rPr>
          <w:rFonts w:ascii="Arial" w:eastAsia="Times New Roman" w:hAnsi="Arial" w:cs="Arial"/>
          <w:kern w:val="0"/>
          <w:lang w:val="en-US" w:eastAsia="ru-RU"/>
          <w14:ligatures w14:val="none"/>
        </w:rPr>
      </w:pPr>
      <w:r w:rsidRPr="00CC7EB4">
        <w:rPr>
          <w:rFonts w:ascii="Arial" w:eastAsia="Times New Roman" w:hAnsi="Arial" w:cs="Arial"/>
          <w:kern w:val="0"/>
          <w:lang w:val="en-US" w:eastAsia="ru-RU"/>
          <w14:ligatures w14:val="none"/>
        </w:rPr>
        <w:t>Recent studies have focused on comparing the performance of available diagnostic methods (direct microscopy, culture) and assessing the correlation between clinical and microbiological diagnoses. The aim of this study is to investigate the species diversity and distribution density of dermatophytes over a ten-year period.</w:t>
      </w:r>
    </w:p>
    <w:p w:rsidR="00EE0BBD" w:rsidRPr="00CC7EB4" w:rsidRDefault="00EE0BBD" w:rsidP="00EE0BBD">
      <w:pPr>
        <w:spacing w:line="276" w:lineRule="auto"/>
        <w:rPr>
          <w:rFonts w:ascii="Arial" w:eastAsia="Calibri" w:hAnsi="Arial" w:cs="Arial"/>
          <w:b/>
          <w:bCs/>
          <w:noProof/>
          <w:kern w:val="0"/>
          <w:lang w:val="en-GB"/>
          <w14:ligatures w14:val="none"/>
        </w:rPr>
      </w:pPr>
      <w:r w:rsidRPr="00CC7EB4">
        <w:rPr>
          <w:rFonts w:ascii="Arial" w:eastAsia="Calibri" w:hAnsi="Arial" w:cs="Arial"/>
          <w:b/>
          <w:bCs/>
          <w:noProof/>
          <w:kern w:val="0"/>
          <w:lang w:val="en-GB"/>
          <w14:ligatures w14:val="none"/>
        </w:rPr>
        <w:t xml:space="preserve">Materials and Methods: </w:t>
      </w:r>
      <w:r w:rsidRPr="00CC7EB4">
        <w:rPr>
          <w:rFonts w:ascii="Arial" w:eastAsia="Times New Roman" w:hAnsi="Arial" w:cs="Arial"/>
          <w:kern w:val="0"/>
          <w:lang w:val="en-US" w:eastAsia="ru-RU"/>
          <w14:ligatures w14:val="none"/>
        </w:rPr>
        <w:t xml:space="preserve">Between January 1, 2015, and </w:t>
      </w:r>
      <w:proofErr w:type="gramStart"/>
      <w:r w:rsidRPr="00CC7EB4">
        <w:rPr>
          <w:rFonts w:ascii="Arial" w:eastAsia="Times New Roman" w:hAnsi="Arial" w:cs="Arial"/>
          <w:kern w:val="0"/>
          <w:lang w:val="en-US" w:eastAsia="ru-RU"/>
          <w14:ligatures w14:val="none"/>
        </w:rPr>
        <w:t>April  1</w:t>
      </w:r>
      <w:proofErr w:type="gramEnd"/>
      <w:r w:rsidRPr="00CC7EB4">
        <w:rPr>
          <w:rFonts w:ascii="Arial" w:eastAsia="Times New Roman" w:hAnsi="Arial" w:cs="Arial"/>
          <w:kern w:val="0"/>
          <w:lang w:val="en-US" w:eastAsia="ru-RU"/>
          <w14:ligatures w14:val="none"/>
        </w:rPr>
        <w:t xml:space="preserve">, 2025, hair, skin, and nail samples were collected from patients suspected of </w:t>
      </w:r>
      <w:proofErr w:type="spellStart"/>
      <w:r w:rsidRPr="00CC7EB4">
        <w:rPr>
          <w:rFonts w:ascii="Arial" w:eastAsia="Times New Roman" w:hAnsi="Arial" w:cs="Arial"/>
          <w:kern w:val="0"/>
          <w:lang w:val="en-US" w:eastAsia="ru-RU"/>
          <w14:ligatures w14:val="none"/>
        </w:rPr>
        <w:t>dermatophytosis</w:t>
      </w:r>
      <w:proofErr w:type="spellEnd"/>
      <w:r w:rsidRPr="00CC7EB4">
        <w:rPr>
          <w:rFonts w:ascii="Arial" w:eastAsia="Times New Roman" w:hAnsi="Arial" w:cs="Arial"/>
          <w:kern w:val="0"/>
          <w:lang w:val="en-US" w:eastAsia="ru-RU"/>
          <w14:ligatures w14:val="none"/>
        </w:rPr>
        <w:t xml:space="preserve"> at </w:t>
      </w:r>
      <w:proofErr w:type="spellStart"/>
      <w:r w:rsidRPr="00CC7EB4">
        <w:rPr>
          <w:rFonts w:ascii="Arial" w:eastAsia="Times New Roman" w:hAnsi="Arial" w:cs="Arial"/>
          <w:kern w:val="0"/>
          <w:lang w:val="en-US" w:eastAsia="ru-RU"/>
          <w14:ligatures w14:val="none"/>
        </w:rPr>
        <w:t>İnci</w:t>
      </w:r>
      <w:proofErr w:type="spellEnd"/>
      <w:r w:rsidRPr="00CC7EB4">
        <w:rPr>
          <w:rFonts w:ascii="Arial" w:eastAsia="Times New Roman" w:hAnsi="Arial" w:cs="Arial"/>
          <w:kern w:val="0"/>
          <w:lang w:val="en-US" w:eastAsia="ru-RU"/>
          <w14:ligatures w14:val="none"/>
        </w:rPr>
        <w:t xml:space="preserve"> Laboratories, Central Branch, Baku, Azerbaijan. Initially, all samples were subjected to direct microscopic examination after preparation with 10% potassium hydroxide (KOH).</w:t>
      </w:r>
    </w:p>
    <w:p w:rsidR="00EE0BBD" w:rsidRPr="00CC7EB4" w:rsidRDefault="00EE0BBD" w:rsidP="00EE0BBD">
      <w:pPr>
        <w:spacing w:before="100" w:beforeAutospacing="1" w:after="100" w:afterAutospacing="1" w:line="276" w:lineRule="auto"/>
        <w:rPr>
          <w:rFonts w:ascii="Arial" w:eastAsia="Times New Roman" w:hAnsi="Arial" w:cs="Arial"/>
          <w:kern w:val="0"/>
          <w:lang w:val="en-US" w:eastAsia="ru-RU"/>
          <w14:ligatures w14:val="none"/>
        </w:rPr>
      </w:pPr>
      <w:r w:rsidRPr="00CC7EB4">
        <w:rPr>
          <w:rFonts w:ascii="Arial" w:eastAsia="Times New Roman" w:hAnsi="Arial" w:cs="Arial"/>
          <w:kern w:val="0"/>
          <w:lang w:val="en-US" w:eastAsia="ru-RU"/>
          <w14:ligatures w14:val="none"/>
        </w:rPr>
        <w:t xml:space="preserve">For samples requiring culture, double plating was performed on </w:t>
      </w:r>
      <w:proofErr w:type="spellStart"/>
      <w:r w:rsidRPr="00CC7EB4">
        <w:rPr>
          <w:rFonts w:ascii="Arial" w:eastAsia="Times New Roman" w:hAnsi="Arial" w:cs="Arial"/>
          <w:kern w:val="0"/>
          <w:lang w:val="en-US" w:eastAsia="ru-RU"/>
          <w14:ligatures w14:val="none"/>
        </w:rPr>
        <w:t>Sabouraud</w:t>
      </w:r>
      <w:proofErr w:type="spellEnd"/>
      <w:r w:rsidRPr="00CC7EB4">
        <w:rPr>
          <w:rFonts w:ascii="Arial" w:eastAsia="Times New Roman" w:hAnsi="Arial" w:cs="Arial"/>
          <w:kern w:val="0"/>
          <w:lang w:val="en-US" w:eastAsia="ru-RU"/>
          <w14:ligatures w14:val="none"/>
        </w:rPr>
        <w:t xml:space="preserve"> Dextrose Agar. One set of cultures was incubated at room temperature (25°C) and the other at 37°C for a period of three weeks. Plates were inspected at least once a week, and cultures with no growth after three weeks were considered negative.</w:t>
      </w:r>
    </w:p>
    <w:p w:rsidR="00EE0BBD" w:rsidRPr="00CC7EB4" w:rsidRDefault="00EE0BBD" w:rsidP="00EE0BBD">
      <w:pPr>
        <w:spacing w:before="100" w:beforeAutospacing="1" w:after="100" w:afterAutospacing="1" w:line="276" w:lineRule="auto"/>
        <w:rPr>
          <w:rFonts w:ascii="Arial" w:eastAsia="Times New Roman" w:hAnsi="Arial" w:cs="Arial"/>
          <w:kern w:val="0"/>
          <w:lang w:val="en-US" w:eastAsia="ru-RU"/>
          <w14:ligatures w14:val="none"/>
        </w:rPr>
      </w:pPr>
      <w:r w:rsidRPr="00CC7EB4">
        <w:rPr>
          <w:rFonts w:ascii="Arial" w:eastAsia="Times New Roman" w:hAnsi="Arial" w:cs="Arial"/>
          <w:kern w:val="0"/>
          <w:lang w:val="en-US" w:eastAsia="ru-RU"/>
          <w14:ligatures w14:val="none"/>
        </w:rPr>
        <w:t xml:space="preserve">Colonies exhibiting growth were evaluated both macroscopically and microscopically. In macroscopic assessment, parameters such as colony growth rate, surface texture, surface color, and reverse pigmentation were recorded. For microscopic evaluation, preparations were made using the cellophane tape method and stained with </w:t>
      </w:r>
      <w:proofErr w:type="spellStart"/>
      <w:r w:rsidRPr="00CC7EB4">
        <w:rPr>
          <w:rFonts w:ascii="Arial" w:eastAsia="Times New Roman" w:hAnsi="Arial" w:cs="Arial"/>
          <w:kern w:val="0"/>
          <w:lang w:val="en-US" w:eastAsia="ru-RU"/>
          <w14:ligatures w14:val="none"/>
        </w:rPr>
        <w:t>lactophenol</w:t>
      </w:r>
      <w:proofErr w:type="spellEnd"/>
      <w:r w:rsidRPr="00CC7EB4">
        <w:rPr>
          <w:rFonts w:ascii="Arial" w:eastAsia="Times New Roman" w:hAnsi="Arial" w:cs="Arial"/>
          <w:kern w:val="0"/>
          <w:lang w:val="en-US" w:eastAsia="ru-RU"/>
          <w14:ligatures w14:val="none"/>
        </w:rPr>
        <w:t xml:space="preserve"> cotton blue.</w:t>
      </w:r>
    </w:p>
    <w:p w:rsidR="00EE0BBD" w:rsidRPr="00CC7EB4" w:rsidRDefault="00EE0BBD" w:rsidP="00EE0BBD">
      <w:pPr>
        <w:spacing w:before="100" w:beforeAutospacing="1" w:after="100" w:afterAutospacing="1" w:line="276" w:lineRule="auto"/>
        <w:rPr>
          <w:rFonts w:ascii="Arial" w:eastAsia="Times New Roman" w:hAnsi="Arial" w:cs="Arial"/>
          <w:kern w:val="0"/>
          <w:lang w:val="en-US" w:eastAsia="ru-RU"/>
          <w14:ligatures w14:val="none"/>
        </w:rPr>
      </w:pPr>
      <w:r w:rsidRPr="00CC7EB4">
        <w:rPr>
          <w:rFonts w:ascii="Arial" w:eastAsia="Times New Roman" w:hAnsi="Arial" w:cs="Arial"/>
          <w:kern w:val="0"/>
          <w:lang w:val="en-US" w:eastAsia="ru-RU"/>
          <w14:ligatures w14:val="none"/>
        </w:rPr>
        <w:t>All sample results obtained between January 1, 2015, and April 1, 2025, were retrospectively reviewed through the hospital’s electronic database system.</w:t>
      </w:r>
    </w:p>
    <w:p w:rsidR="00EE0BBD" w:rsidRPr="00CC7EB4" w:rsidRDefault="00EE0BBD" w:rsidP="00EE0BBD">
      <w:pPr>
        <w:spacing w:line="276" w:lineRule="auto"/>
        <w:rPr>
          <w:rFonts w:ascii="Arial" w:eastAsia="Calibri" w:hAnsi="Arial" w:cs="Arial"/>
          <w:i/>
          <w:iCs/>
          <w:noProof/>
          <w:kern w:val="0"/>
          <w:lang w:val="en-GB"/>
          <w14:ligatures w14:val="none"/>
        </w:rPr>
      </w:pPr>
      <w:r w:rsidRPr="00CC7EB4">
        <w:rPr>
          <w:rFonts w:ascii="Arial" w:eastAsia="Calibri" w:hAnsi="Arial" w:cs="Arial"/>
          <w:b/>
          <w:bCs/>
          <w:noProof/>
          <w:kern w:val="0"/>
          <w:lang w:val="en-GB"/>
          <w14:ligatures w14:val="none"/>
        </w:rPr>
        <w:t>Results</w:t>
      </w:r>
      <w:r w:rsidRPr="00CC7EB4">
        <w:rPr>
          <w:rFonts w:ascii="Arial" w:eastAsia="Calibri" w:hAnsi="Arial" w:cs="Arial"/>
          <w:noProof/>
          <w:kern w:val="0"/>
          <w:lang w:val="en-GB"/>
          <w14:ligatures w14:val="none"/>
        </w:rPr>
        <w:t xml:space="preserve">:According to the results of the ten-year study, positivity was detected in 186 out of 925 fungal cultures (20.1%). Among the samples in which dermatophytes were identified, 87 were from male patients (46.7%) and 99 were from female patients (53.2%). The most frequently identified dermatophytes in positive fungal cultures were </w:t>
      </w:r>
      <w:r w:rsidRPr="00CC7EB4">
        <w:rPr>
          <w:rFonts w:ascii="Arial" w:eastAsia="Calibri" w:hAnsi="Arial" w:cs="Arial"/>
          <w:i/>
          <w:iCs/>
          <w:noProof/>
          <w:kern w:val="0"/>
          <w:lang w:val="en-GB"/>
          <w14:ligatures w14:val="none"/>
        </w:rPr>
        <w:t>Trichophyton tonsurans</w:t>
      </w:r>
      <w:r w:rsidRPr="00CC7EB4">
        <w:rPr>
          <w:rFonts w:ascii="Arial" w:eastAsia="Calibri" w:hAnsi="Arial" w:cs="Arial"/>
          <w:noProof/>
          <w:kern w:val="0"/>
          <w:lang w:val="en-GB"/>
          <w14:ligatures w14:val="none"/>
        </w:rPr>
        <w:t xml:space="preserve"> (1.06%), </w:t>
      </w:r>
      <w:r w:rsidRPr="00CC7EB4">
        <w:rPr>
          <w:rFonts w:ascii="Arial" w:eastAsia="Calibri" w:hAnsi="Arial" w:cs="Arial"/>
          <w:i/>
          <w:iCs/>
          <w:noProof/>
          <w:kern w:val="0"/>
          <w:lang w:val="en-GB"/>
          <w14:ligatures w14:val="none"/>
        </w:rPr>
        <w:t>Trichophyton  rubrum</w:t>
      </w:r>
      <w:r w:rsidRPr="00CC7EB4">
        <w:rPr>
          <w:rFonts w:ascii="Arial" w:eastAsia="Calibri" w:hAnsi="Arial" w:cs="Arial"/>
          <w:noProof/>
          <w:kern w:val="0"/>
          <w:lang w:val="en-GB"/>
          <w14:ligatures w14:val="none"/>
        </w:rPr>
        <w:t xml:space="preserve"> (84.4%), </w:t>
      </w:r>
      <w:r w:rsidRPr="00CC7EB4">
        <w:rPr>
          <w:rFonts w:ascii="Arial" w:eastAsia="Calibri" w:hAnsi="Arial" w:cs="Arial"/>
          <w:i/>
          <w:iCs/>
          <w:noProof/>
          <w:kern w:val="0"/>
          <w:lang w:val="en-GB"/>
          <w14:ligatures w14:val="none"/>
        </w:rPr>
        <w:t>Trichophyton mentagrophytes</w:t>
      </w:r>
      <w:r w:rsidRPr="00CC7EB4">
        <w:rPr>
          <w:rFonts w:ascii="Arial" w:eastAsia="Calibri" w:hAnsi="Arial" w:cs="Arial"/>
          <w:noProof/>
          <w:kern w:val="0"/>
          <w:lang w:val="en-GB"/>
          <w14:ligatures w14:val="none"/>
        </w:rPr>
        <w:t xml:space="preserve"> (12%), </w:t>
      </w:r>
      <w:r w:rsidRPr="00CC7EB4">
        <w:rPr>
          <w:rFonts w:ascii="Arial" w:eastAsia="Calibri" w:hAnsi="Arial" w:cs="Arial"/>
          <w:i/>
          <w:iCs/>
          <w:noProof/>
          <w:kern w:val="0"/>
          <w:lang w:val="en-GB"/>
          <w14:ligatures w14:val="none"/>
        </w:rPr>
        <w:t>Trichosporon mucoides</w:t>
      </w:r>
      <w:r w:rsidRPr="00CC7EB4">
        <w:rPr>
          <w:rFonts w:ascii="Arial" w:eastAsia="Calibri" w:hAnsi="Arial" w:cs="Arial"/>
          <w:noProof/>
          <w:kern w:val="0"/>
          <w:lang w:val="en-GB"/>
          <w14:ligatures w14:val="none"/>
        </w:rPr>
        <w:t xml:space="preserve"> (0.3%), </w:t>
      </w:r>
      <w:r w:rsidRPr="00CC7EB4">
        <w:rPr>
          <w:rFonts w:ascii="Arial" w:eastAsia="Calibri" w:hAnsi="Arial" w:cs="Arial"/>
          <w:i/>
          <w:iCs/>
          <w:noProof/>
          <w:kern w:val="0"/>
          <w:lang w:val="en-GB"/>
          <w14:ligatures w14:val="none"/>
        </w:rPr>
        <w:t>Trichophyton verrucosum</w:t>
      </w:r>
      <w:r w:rsidRPr="00CC7EB4">
        <w:rPr>
          <w:rFonts w:ascii="Arial" w:eastAsia="Calibri" w:hAnsi="Arial" w:cs="Arial"/>
          <w:noProof/>
          <w:kern w:val="0"/>
          <w:lang w:val="en-GB"/>
          <w14:ligatures w14:val="none"/>
        </w:rPr>
        <w:t xml:space="preserve"> (0.3%), </w:t>
      </w:r>
      <w:r w:rsidRPr="00CC7EB4">
        <w:rPr>
          <w:rFonts w:ascii="Arial" w:eastAsia="Calibri" w:hAnsi="Arial" w:cs="Arial"/>
          <w:i/>
          <w:iCs/>
          <w:noProof/>
          <w:kern w:val="0"/>
          <w:lang w:val="en-GB"/>
          <w14:ligatures w14:val="none"/>
        </w:rPr>
        <w:t>Microsporum canis</w:t>
      </w:r>
      <w:r w:rsidRPr="00CC7EB4">
        <w:rPr>
          <w:rFonts w:ascii="Arial" w:eastAsia="Calibri" w:hAnsi="Arial" w:cs="Arial"/>
          <w:noProof/>
          <w:kern w:val="0"/>
          <w:lang w:val="en-GB"/>
          <w14:ligatures w14:val="none"/>
        </w:rPr>
        <w:t xml:space="preserve"> (1.06%), and </w:t>
      </w:r>
      <w:r w:rsidRPr="00CC7EB4">
        <w:rPr>
          <w:rFonts w:ascii="Arial" w:eastAsia="Calibri" w:hAnsi="Arial" w:cs="Arial"/>
          <w:i/>
          <w:iCs/>
          <w:noProof/>
          <w:kern w:val="0"/>
          <w:lang w:val="en-GB"/>
          <w14:ligatures w14:val="none"/>
        </w:rPr>
        <w:t>Microsporum gypseum</w:t>
      </w:r>
      <w:r w:rsidRPr="00CC7EB4">
        <w:rPr>
          <w:rFonts w:ascii="Arial" w:eastAsia="Calibri" w:hAnsi="Arial" w:cs="Arial"/>
          <w:noProof/>
          <w:kern w:val="0"/>
          <w:lang w:val="en-GB"/>
          <w14:ligatures w14:val="none"/>
        </w:rPr>
        <w:t xml:space="preserve"> (1.77%). Only one sample (0.7%) showed the presence of </w:t>
      </w:r>
      <w:r w:rsidRPr="00CC7EB4">
        <w:rPr>
          <w:rFonts w:ascii="Arial" w:eastAsia="Calibri" w:hAnsi="Arial" w:cs="Arial"/>
          <w:i/>
          <w:iCs/>
          <w:noProof/>
          <w:kern w:val="0"/>
          <w:lang w:val="en-GB"/>
          <w14:ligatures w14:val="none"/>
        </w:rPr>
        <w:t>Epidermophyton</w:t>
      </w:r>
      <w:r w:rsidRPr="00CC7EB4">
        <w:rPr>
          <w:rFonts w:ascii="Arial" w:eastAsia="Calibri" w:hAnsi="Arial" w:cs="Arial"/>
          <w:iCs/>
          <w:noProof/>
          <w:kern w:val="0"/>
          <w:lang w:val="en-GB"/>
          <w14:ligatures w14:val="none"/>
        </w:rPr>
        <w:t xml:space="preserve">.( </w:t>
      </w:r>
      <w:r w:rsidRPr="00CC7EB4">
        <w:rPr>
          <w:rFonts w:ascii="Arial" w:eastAsia="Calibri" w:hAnsi="Arial" w:cs="Arial"/>
          <w:b/>
          <w:iCs/>
          <w:noProof/>
          <w:kern w:val="0"/>
          <w:lang w:val="en-GB"/>
          <w14:ligatures w14:val="none"/>
        </w:rPr>
        <w:t>Figure1</w:t>
      </w:r>
      <w:r w:rsidRPr="00CC7EB4">
        <w:rPr>
          <w:rFonts w:ascii="Arial" w:eastAsia="Calibri" w:hAnsi="Arial" w:cs="Arial"/>
          <w:iCs/>
          <w:noProof/>
          <w:kern w:val="0"/>
          <w:lang w:val="en-GB"/>
          <w14:ligatures w14:val="none"/>
        </w:rPr>
        <w:t>)</w:t>
      </w:r>
    </w:p>
    <w:p w:rsidR="00EE0BBD" w:rsidRPr="00CC7EB4" w:rsidRDefault="00EE0BBD" w:rsidP="00EE0BBD">
      <w:pPr>
        <w:spacing w:line="276" w:lineRule="auto"/>
        <w:rPr>
          <w:rFonts w:ascii="Arial" w:eastAsia="Calibri" w:hAnsi="Arial" w:cs="Arial"/>
          <w:noProof/>
          <w:kern w:val="0"/>
          <w:lang w:val="en-GB"/>
          <w14:ligatures w14:val="none"/>
        </w:rPr>
      </w:pPr>
      <w:r w:rsidRPr="00CC7EB4">
        <w:rPr>
          <w:rFonts w:ascii="Arial" w:eastAsia="Calibri" w:hAnsi="Arial" w:cs="Arial"/>
          <w:b/>
          <w:bCs/>
          <w:noProof/>
          <w:kern w:val="0"/>
          <w:lang w:val="en-GB"/>
          <w14:ligatures w14:val="none"/>
        </w:rPr>
        <w:t>Conclusions:</w:t>
      </w:r>
      <w:r w:rsidRPr="00CC7EB4">
        <w:rPr>
          <w:rFonts w:ascii="Arial" w:eastAsia="Calibri" w:hAnsi="Arial" w:cs="Arial"/>
          <w:noProof/>
          <w:kern w:val="0"/>
          <w:lang w:val="en-GB"/>
          <w14:ligatures w14:val="none"/>
        </w:rPr>
        <w:t xml:space="preserve">According to the results of the study, </w:t>
      </w:r>
      <w:r w:rsidRPr="00CC7EB4">
        <w:rPr>
          <w:rFonts w:ascii="Arial" w:eastAsia="Calibri" w:hAnsi="Arial" w:cs="Arial"/>
          <w:i/>
          <w:iCs/>
          <w:noProof/>
          <w:kern w:val="0"/>
          <w:lang w:val="en-GB"/>
          <w14:ligatures w14:val="none"/>
        </w:rPr>
        <w:t>Trichophyton rubrum</w:t>
      </w:r>
      <w:r w:rsidRPr="00CC7EB4">
        <w:rPr>
          <w:rFonts w:ascii="Arial" w:eastAsia="Calibri" w:hAnsi="Arial" w:cs="Arial"/>
          <w:noProof/>
          <w:kern w:val="0"/>
          <w:lang w:val="en-GB"/>
          <w14:ligatures w14:val="none"/>
        </w:rPr>
        <w:t xml:space="preserve"> has been identified as the most prevalent cause of dermatophytosis in our country. Therefore, it is believed that, alongside clinical evaluation, the application of both macroscopic and microscopic examination methods would be beneficial and helpful in guiding clinicians. </w:t>
      </w:r>
    </w:p>
    <w:p w:rsidR="000C39A5" w:rsidRPr="00EE0BBD" w:rsidRDefault="000C39A5">
      <w:pPr>
        <w:rPr>
          <w:lang w:val="en-GB"/>
        </w:rPr>
      </w:pPr>
    </w:p>
    <w:sectPr w:rsidR="000C39A5" w:rsidRPr="00EE0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BD"/>
    <w:rsid w:val="000C39A5"/>
    <w:rsid w:val="00EE0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26F20-A31E-4AA3-9090-065CFB94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BBD"/>
    <w:rPr>
      <w:rFonts w:asciiTheme="minorHAnsi" w:hAnsiTheme="minorHAnsi"/>
      <w:kern w:val="2"/>
      <w:sz w:val="22"/>
      <w:lang w:val="tr-T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2025-04-27T14:09:00Z</dcterms:created>
  <dcterms:modified xsi:type="dcterms:W3CDTF">2025-04-27T14:10:00Z</dcterms:modified>
</cp:coreProperties>
</file>