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5746" w14:textId="77777777" w:rsidR="004F4B20" w:rsidRPr="005C1DDB" w:rsidRDefault="004F4B20" w:rsidP="004F4B20">
      <w:pPr>
        <w:rPr>
          <w:rFonts w:ascii="Arial" w:hAnsi="Arial" w:cs="Arial"/>
        </w:rPr>
      </w:pPr>
      <w:r w:rsidRPr="005C1DDB">
        <w:rPr>
          <w:rFonts w:ascii="Arial" w:hAnsi="Arial" w:cs="Arial"/>
          <w:b/>
          <w:bCs/>
        </w:rPr>
        <w:t>Objectives</w:t>
      </w:r>
      <w:r w:rsidRPr="005C1DDB">
        <w:rPr>
          <w:rFonts w:ascii="Arial" w:hAnsi="Arial" w:cs="Arial"/>
        </w:rPr>
        <w:t>:</w:t>
      </w:r>
    </w:p>
    <w:p w14:paraId="18BFC95C" w14:textId="43EBCE0D" w:rsidR="004F4B20" w:rsidRPr="005C1DDB" w:rsidRDefault="004F4B20" w:rsidP="004F4B20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Talaromyces marneffei </w:t>
      </w:r>
      <w:r>
        <w:rPr>
          <w:rFonts w:ascii="Arial" w:hAnsi="Arial" w:cs="Arial"/>
        </w:rPr>
        <w:t xml:space="preserve">fungal burden at baseline and early fungicidal activity (EFA, i.e., </w:t>
      </w:r>
      <w:r w:rsidRPr="005C1DDB">
        <w:rPr>
          <w:rFonts w:ascii="Arial" w:hAnsi="Arial" w:cs="Arial"/>
        </w:rPr>
        <w:t>rate of fungal clearance in log</w:t>
      </w:r>
      <w:r w:rsidRPr="005C1DDB">
        <w:rPr>
          <w:rFonts w:ascii="Arial" w:hAnsi="Arial" w:cs="Arial"/>
          <w:vertAlign w:val="subscript"/>
        </w:rPr>
        <w:t xml:space="preserve">10 </w:t>
      </w:r>
      <w:r w:rsidRPr="005C1DDB">
        <w:rPr>
          <w:rFonts w:ascii="Arial" w:hAnsi="Arial" w:cs="Arial"/>
        </w:rPr>
        <w:t>colony</w:t>
      </w:r>
      <w:r w:rsidR="001D32ED">
        <w:rPr>
          <w:rFonts w:ascii="Arial" w:hAnsi="Arial" w:cs="Arial"/>
        </w:rPr>
        <w:t>-</w:t>
      </w:r>
      <w:r w:rsidRPr="005C1DDB">
        <w:rPr>
          <w:rFonts w:ascii="Arial" w:hAnsi="Arial" w:cs="Arial"/>
        </w:rPr>
        <w:t xml:space="preserve">forming units </w:t>
      </w:r>
      <w:r>
        <w:rPr>
          <w:rFonts w:ascii="Arial" w:hAnsi="Arial" w:cs="Arial"/>
        </w:rPr>
        <w:t>[</w:t>
      </w:r>
      <w:r w:rsidRPr="005C1DDB">
        <w:rPr>
          <w:rFonts w:ascii="Arial" w:hAnsi="Arial" w:cs="Arial"/>
        </w:rPr>
        <w:t>CFUs</w:t>
      </w:r>
      <w:r>
        <w:rPr>
          <w:rFonts w:ascii="Arial" w:hAnsi="Arial" w:cs="Arial"/>
        </w:rPr>
        <w:t>]</w:t>
      </w:r>
      <w:r w:rsidRPr="005C1DDB">
        <w:rPr>
          <w:rFonts w:ascii="Arial" w:hAnsi="Arial" w:cs="Arial"/>
        </w:rPr>
        <w:t xml:space="preserve"> per </w:t>
      </w:r>
      <w:r w:rsidR="001D32ED">
        <w:rPr>
          <w:rFonts w:ascii="Arial" w:hAnsi="Arial" w:cs="Arial"/>
        </w:rPr>
        <w:t>milliliter [</w:t>
      </w:r>
      <w:r w:rsidRPr="005C1DDB">
        <w:rPr>
          <w:rFonts w:ascii="Arial" w:hAnsi="Arial" w:cs="Arial"/>
        </w:rPr>
        <w:t>mL</w:t>
      </w:r>
      <w:r w:rsidR="001D32ED">
        <w:rPr>
          <w:rFonts w:ascii="Arial" w:hAnsi="Arial" w:cs="Arial"/>
        </w:rPr>
        <w:t>]</w:t>
      </w:r>
      <w:r w:rsidRPr="005C1DDB">
        <w:rPr>
          <w:rFonts w:ascii="Arial" w:hAnsi="Arial" w:cs="Arial"/>
        </w:rPr>
        <w:t xml:space="preserve"> of blood</w:t>
      </w:r>
      <w:r>
        <w:rPr>
          <w:rFonts w:ascii="Arial" w:hAnsi="Arial" w:cs="Arial"/>
        </w:rPr>
        <w:t>)</w:t>
      </w:r>
      <w:r w:rsidRPr="005C1DDB">
        <w:rPr>
          <w:rFonts w:ascii="Arial" w:hAnsi="Arial" w:cs="Arial"/>
        </w:rPr>
        <w:t xml:space="preserve"> over the first 14 days</w:t>
      </w:r>
      <w:r>
        <w:rPr>
          <w:rFonts w:ascii="Arial" w:hAnsi="Arial" w:cs="Arial"/>
        </w:rPr>
        <w:t xml:space="preserve"> predicted 24-week mortality i</w:t>
      </w:r>
      <w:r w:rsidRPr="005C1DDB">
        <w:rPr>
          <w:rFonts w:ascii="Arial" w:hAnsi="Arial" w:cs="Arial"/>
        </w:rPr>
        <w:t>n the Itraconazole versus Amphotericin B (AmB) for Talaromycosis</w:t>
      </w:r>
      <w:r>
        <w:rPr>
          <w:rFonts w:ascii="Arial" w:hAnsi="Arial" w:cs="Arial"/>
        </w:rPr>
        <w:t xml:space="preserve"> </w:t>
      </w:r>
      <w:r w:rsidRPr="005C1DDB">
        <w:rPr>
          <w:rFonts w:ascii="Arial" w:hAnsi="Arial" w:cs="Arial"/>
        </w:rPr>
        <w:t xml:space="preserve">(IVAP) trial. However, the evidence showing EFA as a surrogate of </w:t>
      </w:r>
      <w:r>
        <w:rPr>
          <w:rFonts w:ascii="Arial" w:hAnsi="Arial" w:cs="Arial"/>
        </w:rPr>
        <w:t>mortality</w:t>
      </w:r>
      <w:r w:rsidRPr="005C1DDB">
        <w:rPr>
          <w:rFonts w:ascii="Arial" w:hAnsi="Arial" w:cs="Arial"/>
        </w:rPr>
        <w:t xml:space="preserve"> to advance </w:t>
      </w:r>
      <w:r>
        <w:rPr>
          <w:rFonts w:ascii="Arial" w:hAnsi="Arial" w:cs="Arial"/>
        </w:rPr>
        <w:t xml:space="preserve">the </w:t>
      </w:r>
      <w:r w:rsidRPr="005C1DDB">
        <w:rPr>
          <w:rFonts w:ascii="Arial" w:hAnsi="Arial" w:cs="Arial"/>
        </w:rPr>
        <w:t xml:space="preserve">therapeutic agenda in talaromycosis is </w:t>
      </w:r>
      <w:r>
        <w:rPr>
          <w:rFonts w:ascii="Arial" w:hAnsi="Arial" w:cs="Arial"/>
        </w:rPr>
        <w:t>lacking</w:t>
      </w:r>
      <w:r w:rsidRPr="005C1D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Using statistical </w:t>
      </w:r>
      <w:r w:rsidR="001D32ED">
        <w:rPr>
          <w:rFonts w:ascii="Arial" w:hAnsi="Arial" w:cs="Arial"/>
        </w:rPr>
        <w:t xml:space="preserve">modeling, </w:t>
      </w:r>
      <w:r>
        <w:rPr>
          <w:rFonts w:ascii="Arial" w:hAnsi="Arial" w:cs="Arial"/>
        </w:rPr>
        <w:t>w</w:t>
      </w:r>
      <w:r w:rsidRPr="005C1DDB">
        <w:rPr>
          <w:rFonts w:ascii="Arial" w:hAnsi="Arial" w:cs="Arial"/>
        </w:rPr>
        <w:t xml:space="preserve">e aimed to </w:t>
      </w:r>
      <w:r>
        <w:rPr>
          <w:rFonts w:ascii="Arial" w:hAnsi="Arial" w:cs="Arial"/>
        </w:rPr>
        <w:t>interrogate</w:t>
      </w:r>
      <w:r w:rsidRPr="005C1DDB">
        <w:rPr>
          <w:rFonts w:ascii="Arial" w:hAnsi="Arial" w:cs="Arial"/>
        </w:rPr>
        <w:t xml:space="preserve"> </w:t>
      </w:r>
      <w:r w:rsidRPr="005C1DDB">
        <w:rPr>
          <w:rFonts w:ascii="Arial" w:hAnsi="Arial" w:cs="Arial"/>
          <w:lang w:eastAsia="zh-CN"/>
        </w:rPr>
        <w:t>whether</w:t>
      </w:r>
      <w:r w:rsidRPr="005C1DDB">
        <w:rPr>
          <w:rFonts w:ascii="Arial" w:hAnsi="Arial" w:cs="Arial"/>
        </w:rPr>
        <w:t xml:space="preserve"> EFA </w:t>
      </w:r>
      <w:r w:rsidRPr="005C1DDB">
        <w:rPr>
          <w:rFonts w:ascii="Arial" w:hAnsi="Arial" w:cs="Arial"/>
          <w:lang w:eastAsia="zh-CN"/>
        </w:rPr>
        <w:t xml:space="preserve">can reliably </w:t>
      </w:r>
      <w:r w:rsidRPr="005C1DDB">
        <w:rPr>
          <w:rFonts w:ascii="Arial" w:hAnsi="Arial" w:cs="Arial"/>
        </w:rPr>
        <w:t xml:space="preserve">predict treatment effects on mortality from </w:t>
      </w:r>
      <w:r>
        <w:rPr>
          <w:rFonts w:ascii="Arial" w:hAnsi="Arial" w:cs="Arial"/>
        </w:rPr>
        <w:t>the IVAP trial</w:t>
      </w:r>
      <w:r w:rsidRPr="005C1DDB">
        <w:rPr>
          <w:rFonts w:ascii="Arial" w:hAnsi="Arial" w:cs="Arial"/>
        </w:rPr>
        <w:t>.</w:t>
      </w:r>
    </w:p>
    <w:p w14:paraId="109C995A" w14:textId="77777777" w:rsidR="004F4B20" w:rsidRPr="005C1DDB" w:rsidRDefault="004F4B20" w:rsidP="004F4B20">
      <w:pPr>
        <w:rPr>
          <w:rFonts w:ascii="Arial" w:hAnsi="Arial" w:cs="Arial"/>
          <w:b/>
          <w:bCs/>
        </w:rPr>
      </w:pPr>
      <w:r w:rsidRPr="005C1DDB">
        <w:rPr>
          <w:rFonts w:ascii="Arial" w:hAnsi="Arial" w:cs="Arial"/>
          <w:b/>
          <w:bCs/>
        </w:rPr>
        <w:t>Materials &amp; Methods:</w:t>
      </w:r>
    </w:p>
    <w:p w14:paraId="62B3DDBF" w14:textId="673AA21A" w:rsidR="004F4B20" w:rsidRPr="005C1DDB" w:rsidRDefault="004F4B20" w:rsidP="004F4B20">
      <w:pPr>
        <w:rPr>
          <w:rFonts w:ascii="Arial" w:hAnsi="Arial" w:cs="Arial"/>
        </w:rPr>
      </w:pPr>
      <w:r>
        <w:rPr>
          <w:rFonts w:ascii="Arial" w:hAnsi="Arial" w:cs="Arial"/>
        </w:rPr>
        <w:t>Among</w:t>
      </w:r>
      <w:r w:rsidRPr="005C1DDB">
        <w:rPr>
          <w:rFonts w:ascii="Arial" w:hAnsi="Arial" w:cs="Arial"/>
        </w:rPr>
        <w:t xml:space="preserve"> 440 </w:t>
      </w:r>
      <w:r>
        <w:rPr>
          <w:rFonts w:ascii="Arial" w:hAnsi="Arial" w:cs="Arial"/>
        </w:rPr>
        <w:t xml:space="preserve">participants </w:t>
      </w:r>
      <w:r w:rsidRPr="005C1DDB">
        <w:rPr>
          <w:rFonts w:ascii="Arial" w:hAnsi="Arial" w:cs="Arial"/>
        </w:rPr>
        <w:t xml:space="preserve">in the IVAP trial, we included </w:t>
      </w:r>
      <w:r>
        <w:rPr>
          <w:rFonts w:ascii="Arial" w:hAnsi="Arial" w:cs="Arial"/>
        </w:rPr>
        <w:t>286 (</w:t>
      </w:r>
      <w:r w:rsidRPr="005C1DDB">
        <w:rPr>
          <w:rFonts w:ascii="Arial" w:hAnsi="Arial" w:cs="Arial"/>
        </w:rPr>
        <w:t xml:space="preserve">139 in </w:t>
      </w:r>
      <w:r>
        <w:rPr>
          <w:rFonts w:ascii="Arial" w:hAnsi="Arial" w:cs="Arial"/>
        </w:rPr>
        <w:t xml:space="preserve">the </w:t>
      </w:r>
      <w:r w:rsidRPr="005C1DDB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photericin </w:t>
      </w:r>
      <w:r w:rsidRPr="005C1DDB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 xml:space="preserve">group </w:t>
      </w:r>
      <w:r w:rsidRPr="005C1DDB">
        <w:rPr>
          <w:rFonts w:ascii="Arial" w:hAnsi="Arial" w:cs="Arial"/>
        </w:rPr>
        <w:t xml:space="preserve">and 147 in </w:t>
      </w:r>
      <w:r>
        <w:rPr>
          <w:rFonts w:ascii="Arial" w:hAnsi="Arial" w:cs="Arial"/>
        </w:rPr>
        <w:t xml:space="preserve">the </w:t>
      </w:r>
      <w:r w:rsidRPr="005C1DDB">
        <w:rPr>
          <w:rFonts w:ascii="Arial" w:hAnsi="Arial" w:cs="Arial"/>
        </w:rPr>
        <w:t xml:space="preserve">Itraconazole </w:t>
      </w:r>
      <w:r>
        <w:rPr>
          <w:rFonts w:ascii="Arial" w:hAnsi="Arial" w:cs="Arial"/>
        </w:rPr>
        <w:t xml:space="preserve">group) </w:t>
      </w:r>
      <w:r w:rsidRPr="005C1DDB">
        <w:rPr>
          <w:rFonts w:ascii="Arial" w:hAnsi="Arial" w:cs="Arial"/>
        </w:rPr>
        <w:t>who had</w:t>
      </w:r>
      <w:r w:rsidR="0002658E">
        <w:rPr>
          <w:rFonts w:ascii="Arial" w:hAnsi="Arial" w:cs="Arial"/>
        </w:rPr>
        <w:t xml:space="preserve"> a</w:t>
      </w:r>
      <w:r w:rsidRPr="005C1DDB">
        <w:rPr>
          <w:rFonts w:ascii="Arial" w:hAnsi="Arial" w:cs="Arial"/>
        </w:rPr>
        <w:t xml:space="preserve"> positive </w:t>
      </w:r>
      <w:r>
        <w:rPr>
          <w:rFonts w:ascii="Arial" w:hAnsi="Arial" w:cs="Arial"/>
        </w:rPr>
        <w:t xml:space="preserve">blood </w:t>
      </w:r>
      <w:r w:rsidRPr="005C1DDB">
        <w:rPr>
          <w:rFonts w:ascii="Arial" w:hAnsi="Arial" w:cs="Arial"/>
        </w:rPr>
        <w:t xml:space="preserve">fungal count at baseline and at least one additional follow-up fungal count over the first </w:t>
      </w:r>
      <w:r>
        <w:rPr>
          <w:rFonts w:ascii="Arial" w:hAnsi="Arial" w:cs="Arial"/>
        </w:rPr>
        <w:t>14 days</w:t>
      </w:r>
      <w:r w:rsidRPr="005C1D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lang w:eastAsia="zh-CN"/>
        </w:rPr>
        <w:t xml:space="preserve">only </w:t>
      </w:r>
      <w:r w:rsidRPr="005C1DDB">
        <w:rPr>
          <w:rFonts w:ascii="Arial" w:hAnsi="Arial" w:cs="Arial"/>
          <w:lang w:eastAsia="zh-CN"/>
        </w:rPr>
        <w:t xml:space="preserve">95 out of </w:t>
      </w:r>
      <w:r w:rsidR="0002658E">
        <w:rPr>
          <w:rFonts w:ascii="Arial" w:hAnsi="Arial" w:cs="Arial"/>
          <w:lang w:eastAsia="zh-CN"/>
        </w:rPr>
        <w:t xml:space="preserve">the </w:t>
      </w:r>
      <w:r w:rsidRPr="005C1DDB">
        <w:rPr>
          <w:rFonts w:ascii="Arial" w:hAnsi="Arial" w:cs="Arial"/>
          <w:lang w:eastAsia="zh-CN"/>
        </w:rPr>
        <w:t>286 pa</w:t>
      </w:r>
      <w:r>
        <w:rPr>
          <w:rFonts w:ascii="Arial" w:hAnsi="Arial" w:cs="Arial"/>
          <w:lang w:eastAsia="zh-CN"/>
        </w:rPr>
        <w:t>rticipa</w:t>
      </w:r>
      <w:r w:rsidRPr="005C1DDB">
        <w:rPr>
          <w:rFonts w:ascii="Arial" w:hAnsi="Arial" w:cs="Arial"/>
          <w:lang w:eastAsia="zh-CN"/>
        </w:rPr>
        <w:t>nts (33.3%)</w:t>
      </w:r>
      <w:r w:rsidRPr="005C1DDB">
        <w:rPr>
          <w:rFonts w:ascii="Arial" w:hAnsi="Arial" w:cs="Arial"/>
        </w:rPr>
        <w:t xml:space="preserve"> had daily fungal CFU</w:t>
      </w:r>
      <w:r w:rsidRPr="005C1DDB">
        <w:rPr>
          <w:rFonts w:ascii="Arial" w:hAnsi="Arial" w:cs="Arial"/>
          <w:lang w:eastAsia="zh-CN"/>
        </w:rPr>
        <w:t xml:space="preserve">s </w:t>
      </w:r>
      <w:r w:rsidR="00831AC1">
        <w:rPr>
          <w:rFonts w:ascii="Arial" w:hAnsi="Arial" w:cs="Arial"/>
          <w:lang w:eastAsia="zh-CN"/>
        </w:rPr>
        <w:t>during</w:t>
      </w:r>
      <w:r w:rsidRPr="005C1DDB">
        <w:rPr>
          <w:rFonts w:ascii="Arial" w:hAnsi="Arial" w:cs="Arial"/>
          <w:lang w:eastAsia="zh-CN"/>
        </w:rPr>
        <w:t xml:space="preserve"> the first seven days</w:t>
      </w:r>
      <w:r>
        <w:rPr>
          <w:rFonts w:ascii="Arial" w:hAnsi="Arial" w:cs="Arial"/>
          <w:lang w:eastAsia="zh-CN"/>
        </w:rPr>
        <w:t>,</w:t>
      </w:r>
      <w:r>
        <w:rPr>
          <w:rFonts w:ascii="Arial" w:hAnsi="Arial" w:cs="Arial"/>
        </w:rPr>
        <w:t xml:space="preserve"> we used multiple </w:t>
      </w:r>
      <w:r w:rsidRPr="005C1DDB">
        <w:rPr>
          <w:rFonts w:ascii="Arial" w:hAnsi="Arial" w:cs="Arial"/>
        </w:rPr>
        <w:t>imputation techniques to generate imputed dataset</w:t>
      </w:r>
      <w:r>
        <w:rPr>
          <w:rFonts w:ascii="Arial" w:hAnsi="Arial" w:cs="Arial"/>
        </w:rPr>
        <w:t>s for sensitivity analysis</w:t>
      </w:r>
      <w:r w:rsidRPr="005C1D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 used generalized linear regression</w:t>
      </w:r>
      <w:r w:rsidRPr="005C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5C1DDB">
        <w:rPr>
          <w:rFonts w:ascii="Arial" w:hAnsi="Arial" w:cs="Arial"/>
        </w:rPr>
        <w:t xml:space="preserve">calculate </w:t>
      </w:r>
      <w:r>
        <w:rPr>
          <w:rFonts w:ascii="Arial" w:hAnsi="Arial" w:cs="Arial"/>
        </w:rPr>
        <w:t>EFA</w:t>
      </w:r>
      <w:r w:rsidRPr="005C1DDB">
        <w:rPr>
          <w:rFonts w:ascii="Arial" w:hAnsi="Arial" w:cs="Arial"/>
        </w:rPr>
        <w:t xml:space="preserve"> over the first 14 days and </w:t>
      </w:r>
      <w:r>
        <w:rPr>
          <w:rFonts w:ascii="Arial" w:hAnsi="Arial" w:cs="Arial"/>
        </w:rPr>
        <w:t>investigat</w:t>
      </w:r>
      <w:r w:rsidRPr="005C1DDB">
        <w:rPr>
          <w:rFonts w:ascii="Arial" w:hAnsi="Arial" w:cs="Arial"/>
        </w:rPr>
        <w:t xml:space="preserve">ed the association between EFA and </w:t>
      </w:r>
      <w:r>
        <w:rPr>
          <w:rFonts w:ascii="Arial" w:hAnsi="Arial" w:cs="Arial"/>
        </w:rPr>
        <w:t>24-week</w:t>
      </w:r>
      <w:r w:rsidRPr="005C1DDB">
        <w:rPr>
          <w:rFonts w:ascii="Arial" w:hAnsi="Arial" w:cs="Arial"/>
        </w:rPr>
        <w:t xml:space="preserve"> mortality </w:t>
      </w:r>
      <w:r>
        <w:rPr>
          <w:rFonts w:ascii="Arial" w:hAnsi="Arial" w:cs="Arial"/>
        </w:rPr>
        <w:t>using Cox proportional hazards models</w:t>
      </w:r>
      <w:r w:rsidRPr="005C1DDB">
        <w:rPr>
          <w:rFonts w:ascii="Arial" w:hAnsi="Arial" w:cs="Arial"/>
        </w:rPr>
        <w:t>.</w:t>
      </w:r>
      <w:r>
        <w:rPr>
          <w:rFonts w:ascii="Arial" w:hAnsi="Arial" w:cs="Arial" w:hint="eastAsia"/>
          <w:lang w:eastAsia="zh-CN"/>
        </w:rPr>
        <w:t xml:space="preserve"> W</w:t>
      </w:r>
      <w:r w:rsidRPr="005C1DD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then assess</w:t>
      </w:r>
      <w:r w:rsidRPr="005C1DDB">
        <w:rPr>
          <w:rFonts w:ascii="Arial" w:hAnsi="Arial" w:cs="Arial"/>
        </w:rPr>
        <w:t xml:space="preserve">ed the strength of association between EFA and mortality </w:t>
      </w:r>
      <w:r>
        <w:rPr>
          <w:rFonts w:ascii="Arial" w:hAnsi="Arial" w:cs="Arial"/>
        </w:rPr>
        <w:t>using</w:t>
      </w:r>
      <w:r w:rsidRPr="005C1DDB">
        <w:rPr>
          <w:rFonts w:ascii="Arial" w:hAnsi="Arial" w:cs="Arial"/>
        </w:rPr>
        <w:t xml:space="preserve"> </w:t>
      </w:r>
      <w:r w:rsidRPr="005C1DDB">
        <w:rPr>
          <w:rFonts w:ascii="Arial" w:eastAsiaTheme="minorEastAsia" w:hAnsi="Arial" w:cs="Arial"/>
        </w:rPr>
        <w:t>trial-level correlation</w:t>
      </w:r>
      <w:r w:rsidR="00C71524">
        <w:rPr>
          <w:rFonts w:ascii="Arial" w:eastAsiaTheme="minorEastAsia" w:hAnsi="Arial" w:cs="Arial"/>
        </w:rPr>
        <w:t xml:space="preserve"> (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trial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</m:oMath>
      <w:r w:rsidR="00C71524">
        <w:rPr>
          <w:rFonts w:ascii="Arial" w:eastAsiaTheme="minorEastAsia" w:hAnsi="Arial" w:cs="Arial"/>
        </w:rPr>
        <w:t>)</w:t>
      </w:r>
      <w:r w:rsidRPr="005C1DDB">
        <w:rPr>
          <w:rFonts w:ascii="Arial" w:eastAsiaTheme="minorEastAsia" w:hAnsi="Arial" w:cs="Arial"/>
        </w:rPr>
        <w:t xml:space="preserve">, </w:t>
      </w:r>
      <w:r>
        <w:rPr>
          <w:rFonts w:ascii="Arial" w:eastAsiaTheme="minorEastAsia" w:hAnsi="Arial" w:cs="Arial"/>
        </w:rPr>
        <w:t>a method</w:t>
      </w:r>
      <w:r w:rsidRPr="005C1DDB">
        <w:rPr>
          <w:rFonts w:ascii="Arial" w:eastAsiaTheme="minorEastAsia" w:hAnsi="Arial" w:cs="Arial"/>
        </w:rPr>
        <w:t xml:space="preserve"> widely used as the strongest evidence to quantify whether treatment effects on </w:t>
      </w:r>
      <w:r w:rsidR="00C71524">
        <w:rPr>
          <w:rFonts w:ascii="Arial" w:eastAsiaTheme="minorEastAsia" w:hAnsi="Arial" w:cs="Arial"/>
        </w:rPr>
        <w:t xml:space="preserve">the </w:t>
      </w:r>
      <w:r w:rsidRPr="005C1DDB">
        <w:rPr>
          <w:rFonts w:ascii="Arial" w:eastAsiaTheme="minorEastAsia" w:hAnsi="Arial" w:cs="Arial"/>
        </w:rPr>
        <w:t xml:space="preserve">primary outcome are captured by the surrogate. </w:t>
      </w:r>
    </w:p>
    <w:p w14:paraId="294ED03D" w14:textId="77777777" w:rsidR="004F4B20" w:rsidRPr="005C1DDB" w:rsidRDefault="004F4B20" w:rsidP="004F4B20">
      <w:pPr>
        <w:rPr>
          <w:rFonts w:ascii="Arial" w:hAnsi="Arial" w:cs="Arial"/>
        </w:rPr>
      </w:pPr>
      <w:r w:rsidRPr="005C1DDB">
        <w:rPr>
          <w:rFonts w:ascii="Arial" w:hAnsi="Arial" w:cs="Arial"/>
          <w:b/>
          <w:bCs/>
        </w:rPr>
        <w:t>Results</w:t>
      </w:r>
      <w:r w:rsidRPr="005C1DDB">
        <w:rPr>
          <w:rFonts w:ascii="Arial" w:hAnsi="Arial" w:cs="Arial"/>
        </w:rPr>
        <w:t>:</w:t>
      </w:r>
    </w:p>
    <w:p w14:paraId="4F97848F" w14:textId="1D39D911" w:rsidR="004F4B20" w:rsidRPr="005C1DDB" w:rsidRDefault="004F4B20" w:rsidP="004F4B20">
      <w:pPr>
        <w:shd w:val="clear" w:color="auto" w:fill="FFFFFF"/>
        <w:spacing w:line="270" w:lineRule="atLeast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5C1DDB">
        <w:rPr>
          <w:rFonts w:ascii="Arial" w:hAnsi="Arial" w:cs="Arial"/>
        </w:rPr>
        <w:t xml:space="preserve"> Cox proportional hazard</w:t>
      </w:r>
      <w:r>
        <w:rPr>
          <w:rFonts w:ascii="Arial" w:hAnsi="Arial" w:cs="Arial"/>
        </w:rPr>
        <w:t>s</w:t>
      </w:r>
      <w:r w:rsidRPr="005C1DDB">
        <w:rPr>
          <w:rFonts w:ascii="Arial" w:hAnsi="Arial" w:cs="Arial"/>
        </w:rPr>
        <w:t xml:space="preserve"> model </w:t>
      </w:r>
      <w:r>
        <w:rPr>
          <w:rFonts w:ascii="Arial" w:hAnsi="Arial" w:cs="Arial"/>
        </w:rPr>
        <w:t>showed</w:t>
      </w:r>
      <w:r w:rsidRPr="005C1DDB">
        <w:rPr>
          <w:rFonts w:ascii="Arial" w:hAnsi="Arial" w:cs="Arial"/>
        </w:rPr>
        <w:t xml:space="preserve"> that </w:t>
      </w:r>
      <w:r w:rsidRPr="005C1DDB">
        <w:rPr>
          <w:rFonts w:ascii="Arial" w:hAnsi="Arial" w:cs="Arial"/>
          <w:lang w:eastAsia="zh-CN"/>
        </w:rPr>
        <w:t>for every</w:t>
      </w:r>
      <w:r w:rsidRPr="005C1DDB">
        <w:rPr>
          <w:rFonts w:ascii="Arial" w:hAnsi="Arial" w:cs="Arial"/>
        </w:rPr>
        <w:t xml:space="preserve"> 0.2 log</w:t>
      </w:r>
      <w:r w:rsidRPr="005C1DDB">
        <w:rPr>
          <w:rFonts w:ascii="Arial" w:hAnsi="Arial" w:cs="Arial"/>
          <w:vertAlign w:val="subscript"/>
        </w:rPr>
        <w:t xml:space="preserve">10 </w:t>
      </w:r>
      <w:r w:rsidRPr="005C1DDB">
        <w:rPr>
          <w:rFonts w:ascii="Arial" w:hAnsi="Arial" w:cs="Arial"/>
        </w:rPr>
        <w:t>CFUs/mL/day increase in absolute EFA</w:t>
      </w:r>
      <w:r w:rsidRPr="005C1DDB">
        <w:rPr>
          <w:rFonts w:ascii="Arial" w:hAnsi="Arial" w:cs="Arial"/>
          <w:lang w:eastAsia="zh-CN"/>
        </w:rPr>
        <w:t>,</w:t>
      </w:r>
      <w:r w:rsidRPr="005C1DDB">
        <w:rPr>
          <w:rFonts w:ascii="Arial" w:hAnsi="Arial" w:cs="Arial"/>
        </w:rPr>
        <w:t xml:space="preserve"> the hazard of death </w:t>
      </w:r>
      <w:r w:rsidRPr="005C1DDB">
        <w:rPr>
          <w:rFonts w:ascii="Arial" w:hAnsi="Arial" w:cs="Arial"/>
          <w:lang w:eastAsia="zh-CN"/>
        </w:rPr>
        <w:t>decreased</w:t>
      </w:r>
      <w:r w:rsidRPr="005C1DDB">
        <w:rPr>
          <w:rFonts w:ascii="Arial" w:hAnsi="Arial" w:cs="Arial"/>
        </w:rPr>
        <w:t xml:space="preserve"> by 14.7% </w:t>
      </w:r>
      <w:r w:rsidRPr="005C1DDB">
        <w:rPr>
          <w:rFonts w:ascii="Arial" w:hAnsi="Arial" w:cs="Arial"/>
          <w:lang w:eastAsia="zh-CN"/>
        </w:rPr>
        <w:t>in the observed data</w:t>
      </w:r>
      <w:r>
        <w:rPr>
          <w:rFonts w:ascii="Arial" w:hAnsi="Arial" w:cs="Arial"/>
          <w:lang w:eastAsia="zh-CN"/>
        </w:rPr>
        <w:t>set</w:t>
      </w:r>
      <w:r w:rsidRPr="005C1DDB">
        <w:rPr>
          <w:rFonts w:ascii="Arial" w:hAnsi="Arial" w:cs="Arial"/>
          <w:lang w:eastAsia="zh-CN"/>
        </w:rPr>
        <w:t xml:space="preserve"> </w:t>
      </w:r>
      <w:r w:rsidRPr="005C1DDB">
        <w:rPr>
          <w:rFonts w:ascii="Arial" w:hAnsi="Arial" w:cs="Arial"/>
        </w:rPr>
        <w:t>(adjusted hazard ratio [aHR] = 0.85; 95% confidence interval [CI]: 0.07 to 1.52</w:t>
      </w:r>
      <w:r w:rsidRPr="005C1DDB">
        <w:rPr>
          <w:rFonts w:ascii="Arial" w:hAnsi="Arial" w:cs="Arial"/>
          <w:lang w:eastAsia="zh-CN"/>
        </w:rPr>
        <w:t>; p = 0.03)</w:t>
      </w:r>
      <w:r w:rsidR="00DF632B">
        <w:rPr>
          <w:rFonts w:ascii="Arial" w:hAnsi="Arial" w:cs="Arial"/>
          <w:lang w:eastAsia="zh-CN"/>
        </w:rPr>
        <w:t xml:space="preserve"> </w:t>
      </w:r>
      <w:r w:rsidRPr="005C1DDB">
        <w:rPr>
          <w:rFonts w:ascii="Arial" w:hAnsi="Arial" w:cs="Arial"/>
          <w:lang w:eastAsia="zh-CN"/>
        </w:rPr>
        <w:t xml:space="preserve">and </w:t>
      </w:r>
      <w:r>
        <w:rPr>
          <w:rFonts w:ascii="Arial" w:hAnsi="Arial" w:cs="Arial"/>
          <w:lang w:eastAsia="zh-CN"/>
        </w:rPr>
        <w:t xml:space="preserve">decreased </w:t>
      </w:r>
      <w:r w:rsidRPr="005C1DDB">
        <w:rPr>
          <w:rFonts w:ascii="Arial" w:hAnsi="Arial" w:cs="Arial"/>
          <w:lang w:eastAsia="zh-CN"/>
        </w:rPr>
        <w:t>by 13.34% in the imputed data</w:t>
      </w:r>
      <w:r>
        <w:rPr>
          <w:rFonts w:ascii="Arial" w:hAnsi="Arial" w:cs="Arial"/>
          <w:lang w:eastAsia="zh-CN"/>
        </w:rPr>
        <w:t>set</w:t>
      </w:r>
      <w:r w:rsidRPr="005C1DDB">
        <w:rPr>
          <w:rFonts w:ascii="Arial" w:hAnsi="Arial" w:cs="Arial"/>
          <w:lang w:eastAsia="zh-CN"/>
        </w:rPr>
        <w:t xml:space="preserve"> (</w:t>
      </w:r>
      <w:r w:rsidRPr="005C1DDB">
        <w:rPr>
          <w:rFonts w:ascii="Arial" w:hAnsi="Arial" w:cs="Arial"/>
        </w:rPr>
        <w:t xml:space="preserve">aHR = 0.87; 95% CI: 0.02 to 1.45; p = 0.06). </w:t>
      </w:r>
      <w:r>
        <w:rPr>
          <w:rFonts w:ascii="Arial" w:hAnsi="Arial" w:cs="Arial"/>
        </w:rPr>
        <w:t>Based on the Kaplan-Meier estimates of survival stratified by EFA thresholds (</w:t>
      </w:r>
      <w:r w:rsidRPr="001D32ED">
        <w:rPr>
          <w:rFonts w:ascii="Arial" w:hAnsi="Arial" w:cs="Arial"/>
          <w:b/>
        </w:rPr>
        <w:t>Figure</w:t>
      </w:r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>), w</w:t>
      </w:r>
      <w:r w:rsidRPr="005C1DDB">
        <w:rPr>
          <w:rFonts w:ascii="Arial" w:hAnsi="Arial" w:cs="Arial"/>
        </w:rPr>
        <w:t xml:space="preserve">e defined </w:t>
      </w:r>
      <w:r>
        <w:rPr>
          <w:rFonts w:ascii="Arial" w:hAnsi="Arial" w:cs="Arial"/>
        </w:rPr>
        <w:t xml:space="preserve">and validated </w:t>
      </w:r>
      <w:r w:rsidR="005A7D1B">
        <w:rPr>
          <w:rFonts w:ascii="Arial" w:hAnsi="Arial" w:cs="Arial"/>
        </w:rPr>
        <w:t>an</w:t>
      </w:r>
      <w:r w:rsidRPr="005C1DDB">
        <w:rPr>
          <w:rFonts w:ascii="Arial" w:hAnsi="Arial" w:cs="Arial"/>
        </w:rPr>
        <w:t xml:space="preserve"> EFA </w:t>
      </w:r>
      <w:r>
        <w:rPr>
          <w:rFonts w:ascii="Arial" w:hAnsi="Arial" w:cs="Arial"/>
        </w:rPr>
        <w:t>cut-off</w:t>
      </w:r>
      <w:r w:rsidRPr="005C1DDB">
        <w:rPr>
          <w:rFonts w:ascii="Arial" w:hAnsi="Arial" w:cs="Arial"/>
        </w:rPr>
        <w:t xml:space="preserve"> of </w:t>
      </w:r>
      <m:oMath>
        <m:r>
          <m:rPr>
            <m:sty m:val="p"/>
          </m:rPr>
          <w:rPr>
            <w:rFonts w:ascii="Cambria Math" w:hAnsi="Cambria Math" w:cstheme="majorHAnsi"/>
          </w:rPr>
          <m:t>≥</m:t>
        </m:r>
      </m:oMath>
      <w:r w:rsidRPr="005C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0.3 </w:t>
      </w:r>
      <w:r w:rsidRPr="006E20DD">
        <w:rPr>
          <w:rFonts w:ascii="Arial" w:hAnsi="Arial" w:cs="Arial"/>
        </w:rPr>
        <w:t>log</w:t>
      </w:r>
      <w:r w:rsidRPr="006E20DD">
        <w:rPr>
          <w:rFonts w:ascii="Arial" w:hAnsi="Arial" w:cs="Arial"/>
          <w:vertAlign w:val="subscript"/>
        </w:rPr>
        <w:t xml:space="preserve">10 </w:t>
      </w:r>
      <w:r w:rsidRPr="006E20DD">
        <w:rPr>
          <w:rFonts w:ascii="Arial" w:hAnsi="Arial" w:cs="Arial"/>
        </w:rPr>
        <w:t>CFUs/mL/day</w:t>
      </w:r>
      <w:r w:rsidRPr="005C1DDB" w:rsidDel="00F24850">
        <w:rPr>
          <w:rFonts w:ascii="Arial" w:hAnsi="Arial" w:cs="Arial"/>
        </w:rPr>
        <w:t xml:space="preserve"> </w:t>
      </w:r>
      <w:r w:rsidRPr="005C1DDB">
        <w:rPr>
          <w:rFonts w:ascii="Arial" w:hAnsi="Arial" w:cs="Arial"/>
        </w:rPr>
        <w:t xml:space="preserve">as a surrogate for survival in predicting </w:t>
      </w:r>
      <w:r>
        <w:rPr>
          <w:rFonts w:ascii="Arial" w:hAnsi="Arial" w:cs="Arial"/>
        </w:rPr>
        <w:t xml:space="preserve">treatment </w:t>
      </w:r>
      <w:r w:rsidRPr="005C1DDB">
        <w:rPr>
          <w:rFonts w:ascii="Arial" w:hAnsi="Arial" w:cs="Arial"/>
        </w:rPr>
        <w:t>effect</w:t>
      </w:r>
      <w:r w:rsidR="005A7D1B">
        <w:rPr>
          <w:rFonts w:ascii="Arial" w:hAnsi="Arial" w:cs="Arial"/>
        </w:rPr>
        <w:t>s</w:t>
      </w:r>
      <w:r w:rsidRPr="005C1D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surrogacy analysis</w:t>
      </w:r>
      <w:r w:rsidRPr="005C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showed</w:t>
      </w:r>
      <w:r w:rsidRPr="005C1DDB">
        <w:rPr>
          <w:rFonts w:ascii="Arial" w:hAnsi="Arial" w:cs="Arial"/>
        </w:rPr>
        <w:t xml:space="preserve"> a low association between EFA and </w:t>
      </w:r>
      <w:r>
        <w:rPr>
          <w:rFonts w:ascii="Arial" w:hAnsi="Arial" w:cs="Arial"/>
        </w:rPr>
        <w:t>24-week</w:t>
      </w:r>
      <w:r w:rsidRPr="005C1DDB">
        <w:rPr>
          <w:rFonts w:ascii="Arial" w:hAnsi="Arial" w:cs="Arial"/>
        </w:rPr>
        <w:t xml:space="preserve"> survival</w:t>
      </w:r>
      <w:r w:rsidR="000F3C17">
        <w:rPr>
          <w:rFonts w:ascii="Arial" w:hAnsi="Arial" w:cs="Arial"/>
        </w:rPr>
        <w:t xml:space="preserve"> </w:t>
      </w:r>
      <w:r w:rsidR="000F3C17">
        <w:rPr>
          <w:rFonts w:ascii="Arial" w:hAnsi="Arial" w:cs="Arial"/>
        </w:rPr>
        <w:t>(</w:t>
      </w:r>
      <w:r w:rsidR="000F3C17" w:rsidRPr="001D32ED">
        <w:rPr>
          <w:rFonts w:ascii="Arial" w:hAnsi="Arial" w:cs="Arial"/>
          <w:b/>
        </w:rPr>
        <w:t>Figure</w:t>
      </w:r>
      <w:r w:rsidR="000F3C17">
        <w:rPr>
          <w:rFonts w:ascii="Arial" w:hAnsi="Arial" w:cs="Arial"/>
          <w:b/>
        </w:rPr>
        <w:t xml:space="preserve"> 2</w:t>
      </w:r>
      <w:r w:rsidR="000F3C1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</w:t>
      </w:r>
      <w:r w:rsidRPr="005C1DDB">
        <w:rPr>
          <w:rFonts w:ascii="Arial" w:hAnsi="Arial" w:cs="Arial"/>
        </w:rPr>
        <w:t xml:space="preserve">correlation </w:t>
      </w:r>
      <m:oMath>
        <m:sSubSup>
          <m:sSubSupPr>
            <m:ctrlPr>
              <w:rPr>
                <w:rFonts w:ascii="Cambria Math" w:hAnsi="Cambria Math" w:cs="Arial"/>
                <w:i/>
                <w:iCs/>
              </w:rPr>
            </m:ctrlPr>
          </m:sSubSup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trial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  <m:ctrlPr>
              <w:rPr>
                <w:rFonts w:ascii="Cambria Math" w:hAnsi="Cambria Math" w:cs="Arial"/>
              </w:rPr>
            </m:ctrlPr>
          </m:sup>
        </m:sSubSup>
      </m:oMath>
      <w:r>
        <w:rPr>
          <w:rFonts w:ascii="Arial" w:hAnsi="Arial" w:cs="Arial"/>
        </w:rPr>
        <w:t xml:space="preserve"> is</w:t>
      </w:r>
      <w:r w:rsidRPr="005C1DDB">
        <w:rPr>
          <w:rFonts w:ascii="Arial" w:hAnsi="Arial" w:cs="Arial"/>
        </w:rPr>
        <w:t xml:space="preserve"> 0.1</w:t>
      </w:r>
      <w:r>
        <w:rPr>
          <w:rFonts w:ascii="Arial" w:hAnsi="Arial" w:cs="Arial"/>
        </w:rPr>
        <w:t>4 (</w:t>
      </w:r>
      <w:r w:rsidRPr="005C1DDB">
        <w:rPr>
          <w:rFonts w:ascii="Arial" w:hAnsi="Arial" w:cs="Arial"/>
        </w:rPr>
        <w:t>95% CI: 0.</w:t>
      </w:r>
      <w:r w:rsidR="004D0493">
        <w:rPr>
          <w:rFonts w:ascii="Arial" w:hAnsi="Arial" w:cs="Arial"/>
        </w:rPr>
        <w:t>20</w:t>
      </w:r>
      <w:r w:rsidRPr="005C1DDB">
        <w:rPr>
          <w:rFonts w:ascii="Arial" w:hAnsi="Arial" w:cs="Arial"/>
        </w:rPr>
        <w:t xml:space="preserve"> to 0.7</w:t>
      </w:r>
      <w:r w:rsidR="004D0493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Pr="005C1DDB">
        <w:rPr>
          <w:rFonts w:ascii="Arial" w:hAnsi="Arial" w:cs="Arial"/>
        </w:rPr>
        <w:t xml:space="preserve">, which </w:t>
      </w:r>
      <w:r w:rsidR="005A7D1B">
        <w:rPr>
          <w:rFonts w:ascii="Arial" w:hAnsi="Arial" w:cs="Arial"/>
        </w:rPr>
        <w:t xml:space="preserve">represents that </w:t>
      </w:r>
      <w:r w:rsidRPr="005C1DDB">
        <w:rPr>
          <w:rFonts w:ascii="Arial" w:hAnsi="Arial" w:cs="Arial"/>
        </w:rPr>
        <w:t xml:space="preserve">treatment changes in EFA </w:t>
      </w:r>
      <w:r>
        <w:rPr>
          <w:rFonts w:ascii="Arial" w:hAnsi="Arial" w:cs="Arial"/>
        </w:rPr>
        <w:t xml:space="preserve">do </w:t>
      </w:r>
      <w:r w:rsidRPr="005C1DDB">
        <w:rPr>
          <w:rFonts w:ascii="Arial" w:hAnsi="Arial" w:cs="Arial"/>
        </w:rPr>
        <w:t xml:space="preserve">not </w:t>
      </w:r>
      <w:r w:rsidRPr="005C1DDB">
        <w:rPr>
          <w:rFonts w:ascii="Arial" w:hAnsi="Arial" w:cs="Arial"/>
          <w:lang w:eastAsia="zh-CN"/>
        </w:rPr>
        <w:t>yield</w:t>
      </w:r>
      <w:r w:rsidRPr="005C1DD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precise</w:t>
      </w:r>
      <w:r w:rsidRPr="005C1DDB">
        <w:rPr>
          <w:rFonts w:ascii="Arial" w:hAnsi="Arial" w:cs="Arial"/>
        </w:rPr>
        <w:t xml:space="preserve"> prediction of treatment</w:t>
      </w:r>
      <w:r>
        <w:rPr>
          <w:rFonts w:ascii="Arial" w:hAnsi="Arial" w:cs="Arial"/>
        </w:rPr>
        <w:t>-associated</w:t>
      </w:r>
      <w:r w:rsidRPr="005C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changes in </w:t>
      </w:r>
      <w:r w:rsidRPr="005C1DDB">
        <w:rPr>
          <w:rFonts w:ascii="Arial" w:hAnsi="Arial" w:cs="Arial"/>
        </w:rPr>
        <w:t xml:space="preserve">survival. </w:t>
      </w:r>
      <w:r>
        <w:rPr>
          <w:rFonts w:ascii="Arial" w:hAnsi="Arial" w:cs="Arial"/>
        </w:rPr>
        <w:t>As t</w:t>
      </w:r>
      <w:r w:rsidRPr="005C1DDB">
        <w:rPr>
          <w:rFonts w:ascii="Arial" w:hAnsi="Arial" w:cs="Arial"/>
        </w:rPr>
        <w:t>he strength of association var</w:t>
      </w:r>
      <w:r>
        <w:rPr>
          <w:rFonts w:ascii="Arial" w:hAnsi="Arial" w:cs="Arial"/>
        </w:rPr>
        <w:t>ies</w:t>
      </w:r>
      <w:r w:rsidRPr="005C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Pr="005C1DDB">
        <w:rPr>
          <w:rFonts w:ascii="Arial" w:hAnsi="Arial" w:cs="Arial"/>
        </w:rPr>
        <w:t xml:space="preserve"> different dichotomization</w:t>
      </w:r>
      <w:r w:rsidR="005A7D1B">
        <w:rPr>
          <w:rFonts w:ascii="Arial" w:hAnsi="Arial" w:cs="Arial"/>
        </w:rPr>
        <w:t>s</w:t>
      </w:r>
      <w:r w:rsidRPr="005C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5C1DDB">
        <w:rPr>
          <w:rFonts w:ascii="Arial" w:hAnsi="Arial" w:cs="Arial"/>
        </w:rPr>
        <w:t xml:space="preserve"> EFA, we performed an additional analysis </w:t>
      </w:r>
      <w:r>
        <w:rPr>
          <w:rFonts w:ascii="Arial" w:hAnsi="Arial" w:cs="Arial"/>
        </w:rPr>
        <w:t>using</w:t>
      </w:r>
      <w:r w:rsidRPr="005C1DD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more </w:t>
      </w:r>
      <w:r w:rsidRPr="005C1DDB">
        <w:rPr>
          <w:rFonts w:ascii="Arial" w:hAnsi="Arial" w:cs="Arial"/>
        </w:rPr>
        <w:t xml:space="preserve">conservative dichotomization </w:t>
      </w:r>
      <w:r>
        <w:rPr>
          <w:rFonts w:ascii="Arial" w:hAnsi="Arial" w:cs="Arial"/>
        </w:rPr>
        <w:t xml:space="preserve">of </w:t>
      </w:r>
      <w:r w:rsidRPr="005C1DDB">
        <w:rPr>
          <w:rFonts w:ascii="Arial" w:hAnsi="Arial" w:cs="Arial"/>
        </w:rPr>
        <w:t xml:space="preserve">EFA </w:t>
      </w:r>
      <m:oMath>
        <m:r>
          <m:rPr>
            <m:sty m:val="p"/>
          </m:rPr>
          <w:rPr>
            <w:rFonts w:ascii="Cambria Math" w:hAnsi="Cambria Math" w:cs="Arial"/>
          </w:rPr>
          <m:t>≥</m:t>
        </m:r>
      </m:oMath>
      <w:r>
        <w:rPr>
          <w:rFonts w:ascii="Arial" w:hAnsi="Arial" w:cs="Arial"/>
        </w:rPr>
        <w:t xml:space="preserve"> 0.5 </w:t>
      </w:r>
      <w:r w:rsidRPr="006E20DD">
        <w:rPr>
          <w:rFonts w:ascii="Arial" w:hAnsi="Arial" w:cs="Arial"/>
        </w:rPr>
        <w:t>log</w:t>
      </w:r>
      <w:r w:rsidRPr="006E20DD">
        <w:rPr>
          <w:rFonts w:ascii="Arial" w:hAnsi="Arial" w:cs="Arial"/>
          <w:vertAlign w:val="subscript"/>
        </w:rPr>
        <w:t xml:space="preserve">10 </w:t>
      </w:r>
      <w:r w:rsidRPr="006E20DD">
        <w:rPr>
          <w:rFonts w:ascii="Arial" w:hAnsi="Arial" w:cs="Arial"/>
        </w:rPr>
        <w:t>CFUs/mL/day</w:t>
      </w:r>
      <w:r w:rsidRPr="005C1DDB" w:rsidDel="00F24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less </w:t>
      </w:r>
      <w:r w:rsidRPr="005C1DDB">
        <w:rPr>
          <w:rFonts w:ascii="Arial" w:hAnsi="Arial" w:cs="Arial"/>
        </w:rPr>
        <w:t>to verify this possibility</w:t>
      </w:r>
      <w:r w:rsidRPr="005C1DDB">
        <w:rPr>
          <w:rFonts w:ascii="Arial" w:hAnsi="Arial" w:cs="Arial"/>
          <w:lang w:eastAsia="zh-CN"/>
        </w:rPr>
        <w:t xml:space="preserve">, which </w:t>
      </w:r>
      <w:r>
        <w:rPr>
          <w:rFonts w:ascii="Arial" w:hAnsi="Arial" w:cs="Arial"/>
          <w:lang w:eastAsia="zh-CN"/>
        </w:rPr>
        <w:t xml:space="preserve">also </w:t>
      </w:r>
      <w:r w:rsidRPr="005C1DDB">
        <w:rPr>
          <w:rFonts w:ascii="Arial" w:hAnsi="Arial" w:cs="Arial"/>
          <w:lang w:eastAsia="zh-CN"/>
        </w:rPr>
        <w:t>show</w:t>
      </w:r>
      <w:r>
        <w:rPr>
          <w:rFonts w:ascii="Arial" w:hAnsi="Arial" w:cs="Arial"/>
          <w:lang w:eastAsia="zh-CN"/>
        </w:rPr>
        <w:t>ed</w:t>
      </w:r>
      <w:r w:rsidRPr="005C1DDB">
        <w:rPr>
          <w:rFonts w:ascii="Arial" w:hAnsi="Arial" w:cs="Arial"/>
          <w:lang w:eastAsia="zh-CN"/>
        </w:rPr>
        <w:t xml:space="preserve"> </w:t>
      </w:r>
      <w:r w:rsidRPr="005C1D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low</w:t>
      </w:r>
      <w:r w:rsidRPr="005C1DDB">
        <w:rPr>
          <w:rFonts w:ascii="Arial" w:hAnsi="Arial" w:cs="Arial"/>
        </w:rPr>
        <w:t xml:space="preserve"> </w:t>
      </w:r>
      <w:r w:rsidR="004D0493">
        <w:rPr>
          <w:rFonts w:ascii="Arial" w:hAnsi="Arial" w:cs="Arial"/>
        </w:rPr>
        <w:t xml:space="preserve">trial-level </w:t>
      </w:r>
      <w:r w:rsidRPr="005C1DDB">
        <w:rPr>
          <w:rFonts w:ascii="Arial" w:hAnsi="Arial" w:cs="Arial"/>
        </w:rPr>
        <w:t>correlation (</w:t>
      </w:r>
      <m:oMath>
        <m:sSubSup>
          <m:sSubSupPr>
            <m:ctrlPr>
              <w:rPr>
                <w:rFonts w:ascii="Cambria Math" w:hAnsi="Cambria Math" w:cs="Arial"/>
                <w:i/>
                <w:iCs/>
              </w:rPr>
            </m:ctrlPr>
          </m:sSubSup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trial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Pr="005C1DDB">
        <w:rPr>
          <w:rFonts w:ascii="Arial" w:hAnsi="Arial" w:cs="Arial"/>
        </w:rPr>
        <w:t xml:space="preserve"> = 0.1</w:t>
      </w:r>
      <w:r>
        <w:rPr>
          <w:rFonts w:ascii="Arial" w:hAnsi="Arial" w:cs="Arial"/>
        </w:rPr>
        <w:t>6</w:t>
      </w:r>
      <w:r w:rsidRPr="005C1DDB">
        <w:rPr>
          <w:rFonts w:ascii="Arial" w:hAnsi="Arial" w:cs="Arial"/>
        </w:rPr>
        <w:t>; 95% CI: 0.</w:t>
      </w:r>
      <w:r w:rsidR="004D0493">
        <w:rPr>
          <w:rFonts w:ascii="Arial" w:hAnsi="Arial" w:cs="Arial"/>
        </w:rPr>
        <w:t>18</w:t>
      </w:r>
      <w:r w:rsidRPr="005C1DDB">
        <w:rPr>
          <w:rFonts w:ascii="Arial" w:hAnsi="Arial" w:cs="Arial"/>
        </w:rPr>
        <w:t xml:space="preserve"> to 0.7</w:t>
      </w:r>
      <w:r w:rsidR="004D0493">
        <w:rPr>
          <w:rFonts w:ascii="Arial" w:hAnsi="Arial" w:cs="Arial"/>
        </w:rPr>
        <w:t>4</w:t>
      </w:r>
      <w:r w:rsidRPr="005C1DDB">
        <w:rPr>
          <w:rFonts w:ascii="Arial" w:hAnsi="Arial" w:cs="Arial"/>
        </w:rPr>
        <w:t>)</w:t>
      </w:r>
      <w:r w:rsidR="000F3C17">
        <w:rPr>
          <w:rFonts w:ascii="Arial" w:hAnsi="Arial" w:cs="Arial"/>
        </w:rPr>
        <w:t>.</w:t>
      </w:r>
    </w:p>
    <w:p w14:paraId="02C537F9" w14:textId="77777777" w:rsidR="004F4B20" w:rsidRPr="005C1DDB" w:rsidRDefault="004F4B20" w:rsidP="004F4B20">
      <w:pPr>
        <w:rPr>
          <w:rFonts w:ascii="Arial" w:hAnsi="Arial" w:cs="Arial"/>
          <w:lang w:val="en-US" w:eastAsia="zh-CN"/>
        </w:rPr>
      </w:pPr>
      <w:r w:rsidRPr="005C1DDB">
        <w:rPr>
          <w:rFonts w:ascii="Arial" w:hAnsi="Arial" w:cs="Arial"/>
          <w:b/>
          <w:bCs/>
        </w:rPr>
        <w:t>Conclusions</w:t>
      </w:r>
      <w:r w:rsidRPr="005C1DDB">
        <w:rPr>
          <w:rFonts w:ascii="Arial" w:hAnsi="Arial" w:cs="Arial"/>
        </w:rPr>
        <w:t>:</w:t>
      </w:r>
    </w:p>
    <w:p w14:paraId="6300ECA6" w14:textId="76E4FDA6" w:rsidR="004F4B20" w:rsidRDefault="004F4B20" w:rsidP="004F4B20">
      <w:pPr>
        <w:shd w:val="clear" w:color="auto" w:fill="FFFFFF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Despite a</w:t>
      </w:r>
      <w:r w:rsidRPr="005C1DDB">
        <w:rPr>
          <w:rFonts w:ascii="Arial" w:hAnsi="Arial" w:cs="Arial"/>
        </w:rPr>
        <w:t xml:space="preserve"> significant association between EFA and mortality in talaromycosis</w:t>
      </w:r>
      <w:r>
        <w:rPr>
          <w:rFonts w:ascii="Arial" w:hAnsi="Arial" w:cs="Arial"/>
        </w:rPr>
        <w:t xml:space="preserve">, there is not enough evidence within the single IVAP trial to support </w:t>
      </w:r>
      <w:r w:rsidRPr="005C1DDB">
        <w:rPr>
          <w:rFonts w:ascii="Arial" w:hAnsi="Arial" w:cs="Arial"/>
        </w:rPr>
        <w:t xml:space="preserve">EFA </w:t>
      </w:r>
      <w:r>
        <w:rPr>
          <w:rFonts w:ascii="Arial" w:hAnsi="Arial" w:cs="Arial"/>
        </w:rPr>
        <w:t>as a</w:t>
      </w:r>
      <w:r w:rsidRPr="005C1DDB">
        <w:rPr>
          <w:rFonts w:ascii="Arial" w:hAnsi="Arial" w:cs="Arial"/>
        </w:rPr>
        <w:t xml:space="preserve"> surrogate </w:t>
      </w:r>
      <w:r>
        <w:rPr>
          <w:rFonts w:ascii="Arial" w:hAnsi="Arial" w:cs="Arial"/>
        </w:rPr>
        <w:t>for</w:t>
      </w:r>
      <w:r w:rsidRPr="005C1DDB">
        <w:rPr>
          <w:rFonts w:ascii="Arial" w:hAnsi="Arial" w:cs="Arial"/>
        </w:rPr>
        <w:t xml:space="preserve"> treatment effects on survival. Our results </w:t>
      </w:r>
      <w:r>
        <w:rPr>
          <w:rFonts w:ascii="Arial" w:hAnsi="Arial" w:cs="Arial"/>
        </w:rPr>
        <w:t xml:space="preserve">are not conclusive but </w:t>
      </w:r>
      <w:r w:rsidRPr="005C1DDB">
        <w:rPr>
          <w:rFonts w:ascii="Arial" w:hAnsi="Arial" w:cs="Arial"/>
        </w:rPr>
        <w:t xml:space="preserve">underscore the need </w:t>
      </w:r>
      <w:r>
        <w:rPr>
          <w:rFonts w:ascii="Arial" w:hAnsi="Arial" w:cs="Arial"/>
        </w:rPr>
        <w:t xml:space="preserve">for more talaromycosis trials with EFA data to enable </w:t>
      </w:r>
      <w:r w:rsidRPr="005C1DDB">
        <w:rPr>
          <w:rFonts w:ascii="Arial" w:hAnsi="Arial" w:cs="Arial"/>
        </w:rPr>
        <w:t>robust validation</w:t>
      </w:r>
      <w:r>
        <w:rPr>
          <w:rFonts w:ascii="Arial" w:hAnsi="Arial" w:cs="Arial"/>
        </w:rPr>
        <w:t xml:space="preserve">, </w:t>
      </w:r>
      <w:r w:rsidRPr="005C1DDB">
        <w:rPr>
          <w:rFonts w:ascii="Arial" w:hAnsi="Arial" w:cs="Arial"/>
        </w:rPr>
        <w:t xml:space="preserve">which </w:t>
      </w:r>
      <w:r w:rsidR="003E5FAD">
        <w:rPr>
          <w:rFonts w:ascii="Arial" w:hAnsi="Arial" w:cs="Arial"/>
        </w:rPr>
        <w:t>would</w:t>
      </w:r>
      <w:r w:rsidRPr="005C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allow </w:t>
      </w:r>
      <w:r w:rsidR="003E5FAD">
        <w:rPr>
          <w:rFonts w:ascii="Arial" w:hAnsi="Arial" w:cs="Arial"/>
        </w:rPr>
        <w:t xml:space="preserve">for the design of </w:t>
      </w:r>
      <w:r>
        <w:rPr>
          <w:rFonts w:ascii="Arial" w:hAnsi="Arial" w:cs="Arial"/>
        </w:rPr>
        <w:t xml:space="preserve">more efficient phase II trials </w:t>
      </w:r>
      <w:r w:rsidR="003E5FAD">
        <w:rPr>
          <w:rFonts w:ascii="Arial" w:hAnsi="Arial" w:cs="Arial"/>
        </w:rPr>
        <w:t xml:space="preserve">and </w:t>
      </w:r>
      <w:r w:rsidRPr="005C1DDB">
        <w:rPr>
          <w:rFonts w:ascii="Arial" w:hAnsi="Arial" w:cs="Arial"/>
        </w:rPr>
        <w:t xml:space="preserve">advance </w:t>
      </w:r>
      <w:r>
        <w:rPr>
          <w:rFonts w:ascii="Arial" w:hAnsi="Arial" w:cs="Arial"/>
        </w:rPr>
        <w:t xml:space="preserve">the </w:t>
      </w:r>
      <w:r w:rsidRPr="005C1DDB">
        <w:rPr>
          <w:rFonts w:ascii="Arial" w:hAnsi="Arial" w:cs="Arial"/>
        </w:rPr>
        <w:t xml:space="preserve">therapeutic </w:t>
      </w:r>
      <w:r>
        <w:rPr>
          <w:rFonts w:ascii="Arial" w:hAnsi="Arial" w:cs="Arial"/>
        </w:rPr>
        <w:t>agenda for this neglected mycosis</w:t>
      </w:r>
      <w:r w:rsidRPr="005C1DDB">
        <w:rPr>
          <w:rFonts w:ascii="Arial" w:hAnsi="Arial" w:cs="Arial"/>
        </w:rPr>
        <w:t>.</w:t>
      </w:r>
    </w:p>
    <w:p w14:paraId="23093BED" w14:textId="77777777" w:rsidR="00DB24EF" w:rsidRDefault="00DB24EF"/>
    <w:sectPr w:rsidR="00DB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20"/>
    <w:rsid w:val="0002658E"/>
    <w:rsid w:val="000F3C17"/>
    <w:rsid w:val="001D32ED"/>
    <w:rsid w:val="00280C15"/>
    <w:rsid w:val="003E5FAD"/>
    <w:rsid w:val="004D0493"/>
    <w:rsid w:val="004F4B20"/>
    <w:rsid w:val="005A7D1B"/>
    <w:rsid w:val="00795747"/>
    <w:rsid w:val="007C0870"/>
    <w:rsid w:val="00831AC1"/>
    <w:rsid w:val="009006B0"/>
    <w:rsid w:val="00A21E24"/>
    <w:rsid w:val="00A2522F"/>
    <w:rsid w:val="00BF05A2"/>
    <w:rsid w:val="00C71524"/>
    <w:rsid w:val="00D517B0"/>
    <w:rsid w:val="00DB24EF"/>
    <w:rsid w:val="00D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6B26"/>
  <w15:chartTrackingRefBased/>
  <w15:docId w15:val="{635205B5-D6A8-254C-A305-BC22731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B20"/>
    <w:pPr>
      <w:spacing w:line="259" w:lineRule="auto"/>
    </w:pPr>
    <w:rPr>
      <w:rFonts w:eastAsia="SimSun"/>
      <w:kern w:val="0"/>
      <w:sz w:val="22"/>
      <w:szCs w:val="22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B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B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B2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B2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B2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B2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B2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B2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B2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B2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B20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US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B20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val="en-US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Jialin</dc:creator>
  <cp:keywords/>
  <dc:description/>
  <cp:lastModifiedBy>Liu, Jialin</cp:lastModifiedBy>
  <cp:revision>13</cp:revision>
  <dcterms:created xsi:type="dcterms:W3CDTF">2025-04-26T18:06:00Z</dcterms:created>
  <dcterms:modified xsi:type="dcterms:W3CDTF">2025-04-26T23:24:00Z</dcterms:modified>
</cp:coreProperties>
</file>