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1230" w14:textId="347143F4" w:rsidR="00996CD7" w:rsidRPr="00EF3A03" w:rsidRDefault="00032E56" w:rsidP="00EF3A03">
      <w:pPr>
        <w:spacing w:before="100" w:beforeAutospacing="1" w:after="100" w:afterAutospacing="1" w:line="240" w:lineRule="auto"/>
        <w:jc w:val="both"/>
        <w:outlineLvl w:val="1"/>
        <w:rPr>
          <w:rStyle w:val="Fett"/>
          <w:rFonts w:ascii="Helvetica" w:eastAsia="Times New Roman" w:hAnsi="Helvetica" w:cstheme="minorHAnsi"/>
          <w:noProof w:val="0"/>
          <w:color w:val="000000"/>
          <w:sz w:val="24"/>
          <w:szCs w:val="24"/>
          <w:lang w:val="en-US" w:eastAsia="de-DE"/>
        </w:rPr>
      </w:pPr>
      <w:r w:rsidRPr="00032E56">
        <w:rPr>
          <w:rFonts w:ascii="Helvetica" w:eastAsia="Times New Roman" w:hAnsi="Helvetica" w:cstheme="minorHAnsi"/>
          <w:b/>
          <w:bCs/>
          <w:noProof w:val="0"/>
          <w:color w:val="000000"/>
          <w:sz w:val="24"/>
          <w:szCs w:val="24"/>
          <w:lang w:val="en-US" w:eastAsia="de-DE"/>
        </w:rPr>
        <w:t>Clinical and Microbiological Characteristics of</w:t>
      </w:r>
      <w:r w:rsidR="00D00D7A">
        <w:rPr>
          <w:rFonts w:ascii="Helvetica" w:eastAsia="Times New Roman" w:hAnsi="Helvetica" w:cstheme="minorHAnsi"/>
          <w:b/>
          <w:bCs/>
          <w:noProof w:val="0"/>
          <w:color w:val="000000"/>
          <w:sz w:val="24"/>
          <w:szCs w:val="24"/>
          <w:lang w:val="en-US" w:eastAsia="de-DE"/>
        </w:rPr>
        <w:t xml:space="preserve"> patients with</w:t>
      </w:r>
      <w:r w:rsidRPr="00032E56">
        <w:rPr>
          <w:rFonts w:ascii="Helvetica" w:eastAsia="Times New Roman" w:hAnsi="Helvetica" w:cstheme="minorHAnsi"/>
          <w:b/>
          <w:bCs/>
          <w:noProof w:val="0"/>
          <w:color w:val="000000"/>
          <w:sz w:val="24"/>
          <w:szCs w:val="24"/>
          <w:lang w:val="en-US" w:eastAsia="de-DE"/>
        </w:rPr>
        <w:t xml:space="preserve"> </w:t>
      </w:r>
      <w:proofErr w:type="spellStart"/>
      <w:r w:rsidRPr="00032E56">
        <w:rPr>
          <w:rFonts w:ascii="Helvetica" w:eastAsia="Times New Roman" w:hAnsi="Helvetica" w:cstheme="minorHAnsi"/>
          <w:b/>
          <w:bCs/>
          <w:i/>
          <w:iCs/>
          <w:noProof w:val="0"/>
          <w:color w:val="000000"/>
          <w:sz w:val="24"/>
          <w:szCs w:val="24"/>
          <w:lang w:val="en-US" w:eastAsia="de-DE"/>
        </w:rPr>
        <w:t>Geotrichum</w:t>
      </w:r>
      <w:proofErr w:type="spellEnd"/>
      <w:r w:rsidRPr="00032E56">
        <w:rPr>
          <w:rFonts w:ascii="Helvetica" w:eastAsia="Times New Roman" w:hAnsi="Helvetica" w:cstheme="minorHAnsi"/>
          <w:b/>
          <w:bCs/>
          <w:i/>
          <w:iCs/>
          <w:noProof w:val="0"/>
          <w:color w:val="000000"/>
          <w:sz w:val="24"/>
          <w:szCs w:val="24"/>
          <w:lang w:val="en-US" w:eastAsia="de-DE"/>
        </w:rPr>
        <w:t xml:space="preserve"> spp.</w:t>
      </w:r>
      <w:r w:rsidRPr="00032E56">
        <w:rPr>
          <w:rFonts w:ascii="Helvetica" w:eastAsia="Times New Roman" w:hAnsi="Helvetica" w:cstheme="minorHAnsi"/>
          <w:b/>
          <w:bCs/>
          <w:noProof w:val="0"/>
          <w:color w:val="000000"/>
          <w:sz w:val="24"/>
          <w:szCs w:val="24"/>
          <w:lang w:val="en-US" w:eastAsia="de-DE"/>
        </w:rPr>
        <w:t xml:space="preserve"> Isolates: A Five-Year Case Series from a Tertiary Care Center</w:t>
      </w:r>
    </w:p>
    <w:p w14:paraId="773A3F6B" w14:textId="77777777" w:rsidR="00F40856" w:rsidRDefault="00032E56" w:rsidP="00F40856">
      <w:pPr>
        <w:spacing w:after="0" w:line="240" w:lineRule="auto"/>
        <w:jc w:val="both"/>
        <w:rPr>
          <w:rFonts w:ascii="Arial" w:eastAsia="Times New Roman" w:hAnsi="Arial" w:cs="Arial"/>
          <w:b/>
          <w:bCs/>
          <w:noProof w:val="0"/>
          <w:color w:val="000000"/>
          <w:lang w:val="en-US" w:eastAsia="de-DE"/>
        </w:rPr>
      </w:pPr>
      <w:r w:rsidRPr="00F40856">
        <w:rPr>
          <w:rFonts w:ascii="Arial" w:eastAsia="Times New Roman" w:hAnsi="Arial" w:cs="Arial"/>
          <w:b/>
          <w:bCs/>
          <w:noProof w:val="0"/>
          <w:color w:val="000000"/>
          <w:lang w:val="en-US" w:eastAsia="de-DE"/>
        </w:rPr>
        <w:t>Objectives</w:t>
      </w:r>
    </w:p>
    <w:p w14:paraId="52084972" w14:textId="1F8CCA51" w:rsidR="00032E56" w:rsidRDefault="00032E56" w:rsidP="00F40856">
      <w:pPr>
        <w:spacing w:after="0" w:line="240" w:lineRule="auto"/>
        <w:jc w:val="both"/>
        <w:rPr>
          <w:rFonts w:ascii="Arial" w:eastAsia="Times New Roman" w:hAnsi="Arial" w:cs="Arial"/>
          <w:noProof w:val="0"/>
          <w:color w:val="000000"/>
          <w:lang w:val="en-US" w:eastAsia="de-DE"/>
        </w:rPr>
      </w:pPr>
      <w:proofErr w:type="spellStart"/>
      <w:r w:rsidRPr="00F40856">
        <w:rPr>
          <w:rFonts w:ascii="Arial" w:eastAsia="Times New Roman" w:hAnsi="Arial" w:cs="Arial"/>
          <w:i/>
          <w:iCs/>
          <w:noProof w:val="0"/>
          <w:color w:val="000000"/>
          <w:lang w:val="en-US" w:eastAsia="de-DE"/>
        </w:rPr>
        <w:t>Geotrichum</w:t>
      </w:r>
      <w:proofErr w:type="spellEnd"/>
      <w:r w:rsidRPr="00F40856">
        <w:rPr>
          <w:rFonts w:ascii="Arial" w:eastAsia="Times New Roman" w:hAnsi="Arial" w:cs="Arial"/>
          <w:noProof w:val="0"/>
          <w:color w:val="000000"/>
          <w:lang w:val="en-US" w:eastAsia="de-DE"/>
        </w:rPr>
        <w:t> species are environmental yeast</w:t>
      </w:r>
      <w:r w:rsidR="00D00D7A" w:rsidRPr="00F40856">
        <w:rPr>
          <w:rFonts w:ascii="Arial" w:eastAsia="Times New Roman" w:hAnsi="Arial" w:cs="Arial"/>
          <w:noProof w:val="0"/>
          <w:color w:val="000000"/>
          <w:lang w:val="en-US" w:eastAsia="de-DE"/>
        </w:rPr>
        <w:t>s</w:t>
      </w:r>
      <w:r w:rsidRPr="00F40856">
        <w:rPr>
          <w:rFonts w:ascii="Arial" w:eastAsia="Times New Roman" w:hAnsi="Arial" w:cs="Arial"/>
          <w:noProof w:val="0"/>
          <w:color w:val="000000"/>
          <w:lang w:val="en-US" w:eastAsia="de-DE"/>
        </w:rPr>
        <w:t xml:space="preserve"> that can cause rare invasive infections, particularly in immunocompromised patients. We aimed to characterize the clinical relevance of </w:t>
      </w:r>
      <w:proofErr w:type="spellStart"/>
      <w:r w:rsidRPr="00F40856">
        <w:rPr>
          <w:rFonts w:ascii="Arial" w:eastAsia="Times New Roman" w:hAnsi="Arial" w:cs="Arial"/>
          <w:i/>
          <w:iCs/>
          <w:noProof w:val="0"/>
          <w:color w:val="000000"/>
          <w:lang w:val="en-US" w:eastAsia="de-DE"/>
        </w:rPr>
        <w:t>Geotrichum</w:t>
      </w:r>
      <w:proofErr w:type="spellEnd"/>
      <w:r w:rsidRPr="00F40856">
        <w:rPr>
          <w:rFonts w:ascii="Arial" w:eastAsia="Times New Roman" w:hAnsi="Arial" w:cs="Arial"/>
          <w:noProof w:val="0"/>
          <w:color w:val="000000"/>
          <w:lang w:val="en-US" w:eastAsia="de-DE"/>
        </w:rPr>
        <w:t xml:space="preserve"> spp. isolates </w:t>
      </w:r>
      <w:r w:rsidR="00610A7A" w:rsidRPr="00F40856">
        <w:rPr>
          <w:rFonts w:ascii="Arial" w:eastAsia="Times New Roman" w:hAnsi="Arial" w:cs="Arial"/>
          <w:noProof w:val="0"/>
          <w:color w:val="000000"/>
          <w:lang w:val="en-US" w:eastAsia="de-DE"/>
        </w:rPr>
        <w:t xml:space="preserve">and its microbiological profile </w:t>
      </w:r>
      <w:r w:rsidRPr="00F40856">
        <w:rPr>
          <w:rFonts w:ascii="Arial" w:eastAsia="Times New Roman" w:hAnsi="Arial" w:cs="Arial"/>
          <w:noProof w:val="0"/>
          <w:color w:val="000000"/>
          <w:lang w:val="en-US" w:eastAsia="de-DE"/>
        </w:rPr>
        <w:t>over a five-year period</w:t>
      </w:r>
      <w:r w:rsidR="00B905BB" w:rsidRPr="00F40856">
        <w:rPr>
          <w:rFonts w:ascii="Arial" w:eastAsia="Times New Roman" w:hAnsi="Arial" w:cs="Arial"/>
          <w:noProof w:val="0"/>
          <w:color w:val="000000"/>
          <w:lang w:val="en-US" w:eastAsia="de-DE"/>
        </w:rPr>
        <w:t>.</w:t>
      </w:r>
    </w:p>
    <w:p w14:paraId="5FD4C1CE" w14:textId="77777777" w:rsidR="00F40856" w:rsidRPr="00F40856" w:rsidRDefault="00F40856" w:rsidP="00F40856">
      <w:pPr>
        <w:spacing w:after="0" w:line="240" w:lineRule="auto"/>
        <w:jc w:val="both"/>
        <w:rPr>
          <w:rFonts w:ascii="Arial" w:eastAsia="Times New Roman" w:hAnsi="Arial" w:cs="Arial"/>
          <w:b/>
          <w:bCs/>
          <w:noProof w:val="0"/>
          <w:color w:val="000000"/>
          <w:lang w:val="en-US" w:eastAsia="de-DE"/>
        </w:rPr>
      </w:pPr>
    </w:p>
    <w:p w14:paraId="51CD5F3E" w14:textId="77777777" w:rsidR="00F40856" w:rsidRPr="00F40856" w:rsidRDefault="00032E56" w:rsidP="00F40856">
      <w:pPr>
        <w:spacing w:after="0" w:line="240" w:lineRule="auto"/>
        <w:jc w:val="both"/>
        <w:rPr>
          <w:rFonts w:ascii="Arial" w:eastAsia="Times New Roman" w:hAnsi="Arial" w:cs="Arial"/>
          <w:b/>
          <w:bCs/>
          <w:noProof w:val="0"/>
          <w:color w:val="000000"/>
          <w:lang w:val="en-US" w:eastAsia="de-DE"/>
        </w:rPr>
      </w:pPr>
      <w:r w:rsidRPr="00F40856">
        <w:rPr>
          <w:rFonts w:ascii="Arial" w:eastAsia="Times New Roman" w:hAnsi="Arial" w:cs="Arial"/>
          <w:b/>
          <w:bCs/>
          <w:noProof w:val="0"/>
          <w:color w:val="000000"/>
          <w:lang w:val="en-US" w:eastAsia="de-DE"/>
        </w:rPr>
        <w:t>Methods</w:t>
      </w:r>
      <w:r w:rsidR="00F40856" w:rsidRPr="00F40856">
        <w:rPr>
          <w:rFonts w:ascii="Arial" w:eastAsia="Times New Roman" w:hAnsi="Arial" w:cs="Arial"/>
          <w:b/>
          <w:bCs/>
          <w:noProof w:val="0"/>
          <w:color w:val="000000"/>
          <w:lang w:val="en-US" w:eastAsia="de-DE"/>
        </w:rPr>
        <w:t xml:space="preserve"> &amp; Materials</w:t>
      </w:r>
    </w:p>
    <w:p w14:paraId="22F67C59" w14:textId="32AC3FED" w:rsidR="00032E56" w:rsidRPr="00F40856" w:rsidRDefault="00032E56" w:rsidP="00F40856">
      <w:pPr>
        <w:spacing w:after="0" w:line="240" w:lineRule="auto"/>
        <w:jc w:val="both"/>
        <w:rPr>
          <w:rFonts w:ascii="Arial" w:eastAsia="Times New Roman" w:hAnsi="Arial" w:cs="Arial"/>
          <w:noProof w:val="0"/>
          <w:color w:val="000000"/>
          <w:lang w:val="en-US" w:eastAsia="de-DE"/>
        </w:rPr>
      </w:pPr>
      <w:r w:rsidRPr="00F40856">
        <w:rPr>
          <w:rFonts w:ascii="Arial" w:eastAsia="Times New Roman" w:hAnsi="Arial" w:cs="Arial"/>
          <w:noProof w:val="0"/>
          <w:color w:val="000000"/>
          <w:lang w:val="en-US" w:eastAsia="de-DE"/>
        </w:rPr>
        <w:t>Between January 2020 and March 2025, patients with </w:t>
      </w:r>
      <w:proofErr w:type="spellStart"/>
      <w:r w:rsidRPr="00F40856">
        <w:rPr>
          <w:rFonts w:ascii="Arial" w:eastAsia="Times New Roman" w:hAnsi="Arial" w:cs="Arial"/>
          <w:i/>
          <w:iCs/>
          <w:noProof w:val="0"/>
          <w:color w:val="000000"/>
          <w:lang w:val="en-US" w:eastAsia="de-DE"/>
        </w:rPr>
        <w:t>Geotrichum</w:t>
      </w:r>
      <w:proofErr w:type="spellEnd"/>
      <w:r w:rsidRPr="00F40856">
        <w:rPr>
          <w:rFonts w:ascii="Arial" w:eastAsia="Times New Roman" w:hAnsi="Arial" w:cs="Arial"/>
          <w:noProof w:val="0"/>
          <w:color w:val="000000"/>
          <w:lang w:val="en-US" w:eastAsia="de-DE"/>
        </w:rPr>
        <w:t> species isolate</w:t>
      </w:r>
      <w:r w:rsidR="00D00D7A" w:rsidRPr="00F40856">
        <w:rPr>
          <w:rFonts w:ascii="Arial" w:eastAsia="Times New Roman" w:hAnsi="Arial" w:cs="Arial"/>
          <w:noProof w:val="0"/>
          <w:color w:val="000000"/>
          <w:lang w:val="en-US" w:eastAsia="de-DE"/>
        </w:rPr>
        <w:t>s</w:t>
      </w:r>
      <w:r w:rsidR="00FA19E6" w:rsidRPr="00F40856">
        <w:rPr>
          <w:rFonts w:ascii="Arial" w:eastAsia="Times New Roman" w:hAnsi="Arial" w:cs="Arial"/>
          <w:noProof w:val="0"/>
          <w:color w:val="000000"/>
          <w:lang w:val="en-US" w:eastAsia="de-DE"/>
        </w:rPr>
        <w:t xml:space="preserve"> </w:t>
      </w:r>
      <w:r w:rsidR="00D00D7A" w:rsidRPr="00F40856">
        <w:rPr>
          <w:rFonts w:ascii="Arial" w:eastAsia="Times New Roman" w:hAnsi="Arial" w:cs="Arial"/>
          <w:noProof w:val="0"/>
          <w:color w:val="000000"/>
          <w:lang w:val="en-US" w:eastAsia="de-DE"/>
        </w:rPr>
        <w:t xml:space="preserve">detected in </w:t>
      </w:r>
      <w:r w:rsidRPr="00F40856">
        <w:rPr>
          <w:rFonts w:ascii="Arial" w:eastAsia="Times New Roman" w:hAnsi="Arial" w:cs="Arial"/>
          <w:noProof w:val="0"/>
          <w:color w:val="000000"/>
          <w:lang w:val="en-US" w:eastAsia="de-DE"/>
        </w:rPr>
        <w:t>a microbiology lab of a tertiary care internal medicine university hospital in Austria were retrospectively analyzed. Species identification was based on culture and MALDI-TOF mass spectrometry. Clinical records were reviewed for underlying diseases, sites of isolation, serum 1,3-</w:t>
      </w:r>
      <w:r w:rsidRPr="00F40856">
        <w:rPr>
          <w:rFonts w:ascii="Arial" w:eastAsia="Times New Roman" w:hAnsi="Arial" w:cs="Arial"/>
          <w:noProof w:val="0"/>
          <w:color w:val="000000"/>
          <w:lang w:val="de-AT" w:eastAsia="de-DE"/>
        </w:rPr>
        <w:t>β</w:t>
      </w:r>
      <w:r w:rsidRPr="00F40856">
        <w:rPr>
          <w:rFonts w:ascii="Arial" w:eastAsia="Times New Roman" w:hAnsi="Arial" w:cs="Arial"/>
          <w:noProof w:val="0"/>
          <w:color w:val="000000"/>
          <w:lang w:val="en-US" w:eastAsia="de-DE"/>
        </w:rPr>
        <w:t xml:space="preserve">-D-glucan (BDG) and </w:t>
      </w:r>
      <w:r w:rsidR="00B905BB" w:rsidRPr="00F40856">
        <w:rPr>
          <w:rFonts w:ascii="Arial" w:eastAsia="Times New Roman" w:hAnsi="Arial" w:cs="Arial"/>
          <w:noProof w:val="0"/>
          <w:color w:val="000000"/>
          <w:lang w:val="en-US" w:eastAsia="de-DE"/>
        </w:rPr>
        <w:t xml:space="preserve">serum </w:t>
      </w:r>
      <w:r w:rsidRPr="00F40856">
        <w:rPr>
          <w:rFonts w:ascii="Arial" w:eastAsia="Times New Roman" w:hAnsi="Arial" w:cs="Arial"/>
          <w:noProof w:val="0"/>
          <w:color w:val="000000"/>
          <w:lang w:val="en-US" w:eastAsia="de-DE"/>
        </w:rPr>
        <w:t>galactomannan (GM) levels, antifungal susceptibility, treatment, and outcomes. Invasive infection was defined as isolation from sterile sites with clinical symptoms.</w:t>
      </w:r>
    </w:p>
    <w:p w14:paraId="07D08F82" w14:textId="77777777" w:rsidR="00F40856" w:rsidRPr="00F40856" w:rsidRDefault="00F40856" w:rsidP="00F40856">
      <w:pPr>
        <w:spacing w:after="0" w:line="240" w:lineRule="auto"/>
        <w:jc w:val="both"/>
        <w:rPr>
          <w:rFonts w:ascii="Arial" w:eastAsia="Times New Roman" w:hAnsi="Arial" w:cs="Arial"/>
          <w:noProof w:val="0"/>
          <w:color w:val="000000"/>
          <w:lang w:val="en-US" w:eastAsia="de-DE"/>
        </w:rPr>
      </w:pPr>
    </w:p>
    <w:p w14:paraId="650D2551" w14:textId="104C0A59" w:rsidR="00032E56" w:rsidRPr="00F40856" w:rsidRDefault="00032E56" w:rsidP="00F40856">
      <w:pPr>
        <w:spacing w:after="0" w:line="240" w:lineRule="auto"/>
        <w:jc w:val="both"/>
        <w:rPr>
          <w:rFonts w:ascii="Arial" w:eastAsia="Times New Roman" w:hAnsi="Arial" w:cs="Arial"/>
          <w:b/>
          <w:bCs/>
          <w:noProof w:val="0"/>
          <w:color w:val="000000"/>
          <w:lang w:val="en-US" w:eastAsia="de-DE"/>
        </w:rPr>
      </w:pPr>
      <w:r w:rsidRPr="00F40856">
        <w:rPr>
          <w:rFonts w:ascii="Arial" w:eastAsia="Times New Roman" w:hAnsi="Arial" w:cs="Arial"/>
          <w:b/>
          <w:bCs/>
          <w:noProof w:val="0"/>
          <w:color w:val="000000"/>
          <w:lang w:val="en-US" w:eastAsia="de-DE"/>
        </w:rPr>
        <w:t>Results</w:t>
      </w:r>
      <w:r w:rsidRPr="00F40856">
        <w:rPr>
          <w:rFonts w:ascii="Arial" w:eastAsia="Times New Roman" w:hAnsi="Arial" w:cs="Arial"/>
          <w:noProof w:val="0"/>
          <w:color w:val="000000"/>
          <w:lang w:val="en-US" w:eastAsia="de-DE"/>
        </w:rPr>
        <w:br/>
        <w:t>Five patients were identified (three males, two females; median age 67 years, range 60–77 years). Species were </w:t>
      </w:r>
      <w:proofErr w:type="spellStart"/>
      <w:r w:rsidRPr="00F40856">
        <w:rPr>
          <w:rFonts w:ascii="Arial" w:eastAsia="Times New Roman" w:hAnsi="Arial" w:cs="Arial"/>
          <w:i/>
          <w:iCs/>
          <w:noProof w:val="0"/>
          <w:color w:val="000000"/>
          <w:lang w:val="en-US" w:eastAsia="de-DE"/>
        </w:rPr>
        <w:t>Geotrichum</w:t>
      </w:r>
      <w:proofErr w:type="spellEnd"/>
      <w:r w:rsidRPr="00F40856">
        <w:rPr>
          <w:rFonts w:ascii="Arial" w:eastAsia="Times New Roman" w:hAnsi="Arial" w:cs="Arial"/>
          <w:i/>
          <w:iCs/>
          <w:noProof w:val="0"/>
          <w:color w:val="000000"/>
          <w:lang w:val="en-US" w:eastAsia="de-DE"/>
        </w:rPr>
        <w:t xml:space="preserve"> </w:t>
      </w:r>
      <w:proofErr w:type="spellStart"/>
      <w:r w:rsidRPr="00F40856">
        <w:rPr>
          <w:rFonts w:ascii="Arial" w:eastAsia="Times New Roman" w:hAnsi="Arial" w:cs="Arial"/>
          <w:i/>
          <w:iCs/>
          <w:noProof w:val="0"/>
          <w:color w:val="000000"/>
          <w:lang w:val="en-US" w:eastAsia="de-DE"/>
        </w:rPr>
        <w:t>candidum</w:t>
      </w:r>
      <w:proofErr w:type="spellEnd"/>
      <w:r w:rsidRPr="00F40856">
        <w:rPr>
          <w:rFonts w:ascii="Arial" w:eastAsia="Times New Roman" w:hAnsi="Arial" w:cs="Arial"/>
          <w:noProof w:val="0"/>
          <w:color w:val="000000"/>
          <w:lang w:val="en-US" w:eastAsia="de-DE"/>
        </w:rPr>
        <w:t> (n=3) and </w:t>
      </w:r>
      <w:proofErr w:type="spellStart"/>
      <w:r w:rsidRPr="00F40856">
        <w:rPr>
          <w:rFonts w:ascii="Arial" w:eastAsia="Times New Roman" w:hAnsi="Arial" w:cs="Arial"/>
          <w:i/>
          <w:iCs/>
          <w:noProof w:val="0"/>
          <w:color w:val="000000"/>
          <w:lang w:val="en-US" w:eastAsia="de-DE"/>
        </w:rPr>
        <w:t>Geotrichum</w:t>
      </w:r>
      <w:proofErr w:type="spellEnd"/>
      <w:r w:rsidRPr="00F40856">
        <w:rPr>
          <w:rFonts w:ascii="Arial" w:eastAsia="Times New Roman" w:hAnsi="Arial" w:cs="Arial"/>
          <w:i/>
          <w:iCs/>
          <w:noProof w:val="0"/>
          <w:color w:val="000000"/>
          <w:lang w:val="en-US" w:eastAsia="de-DE"/>
        </w:rPr>
        <w:t xml:space="preserve"> capitatum</w:t>
      </w:r>
      <w:r w:rsidRPr="00F40856">
        <w:rPr>
          <w:rFonts w:ascii="Arial" w:eastAsia="Times New Roman" w:hAnsi="Arial" w:cs="Arial"/>
          <w:noProof w:val="0"/>
          <w:color w:val="000000"/>
          <w:lang w:val="en-US" w:eastAsia="de-DE"/>
        </w:rPr>
        <w:t> (n=2). Underlying conditions included metastatic colorectal cancer including liver metastases (n=2), acute myeloid leukemia (</w:t>
      </w:r>
      <w:r w:rsidR="00B905BB" w:rsidRPr="00F40856">
        <w:rPr>
          <w:rFonts w:ascii="Arial" w:eastAsia="Times New Roman" w:hAnsi="Arial" w:cs="Arial"/>
          <w:noProof w:val="0"/>
          <w:color w:val="000000"/>
          <w:lang w:val="en-US" w:eastAsia="de-DE"/>
        </w:rPr>
        <w:t xml:space="preserve">AML, </w:t>
      </w:r>
      <w:r w:rsidRPr="00F40856">
        <w:rPr>
          <w:rFonts w:ascii="Arial" w:eastAsia="Times New Roman" w:hAnsi="Arial" w:cs="Arial"/>
          <w:noProof w:val="0"/>
          <w:color w:val="000000"/>
          <w:lang w:val="en-US" w:eastAsia="de-DE"/>
        </w:rPr>
        <w:t xml:space="preserve">n=1), </w:t>
      </w:r>
      <w:r w:rsidR="00B905BB" w:rsidRPr="00F40856">
        <w:rPr>
          <w:rFonts w:ascii="Arial" w:eastAsia="Times New Roman" w:hAnsi="Arial" w:cs="Arial"/>
          <w:noProof w:val="0"/>
          <w:color w:val="000000"/>
          <w:lang w:val="en-US" w:eastAsia="de-DE"/>
        </w:rPr>
        <w:t xml:space="preserve">liver </w:t>
      </w:r>
      <w:proofErr w:type="spellStart"/>
      <w:r w:rsidR="00B905BB" w:rsidRPr="00F40856">
        <w:rPr>
          <w:rFonts w:ascii="Arial" w:eastAsia="Times New Roman" w:hAnsi="Arial" w:cs="Arial"/>
          <w:noProof w:val="0"/>
          <w:color w:val="000000"/>
          <w:lang w:val="en-US" w:eastAsia="de-DE"/>
        </w:rPr>
        <w:t>transplantion</w:t>
      </w:r>
      <w:proofErr w:type="spellEnd"/>
      <w:r w:rsidR="00B905BB" w:rsidRPr="00F40856">
        <w:rPr>
          <w:rFonts w:ascii="Arial" w:eastAsia="Times New Roman" w:hAnsi="Arial" w:cs="Arial"/>
          <w:noProof w:val="0"/>
          <w:color w:val="000000"/>
          <w:lang w:val="en-US" w:eastAsia="de-DE"/>
        </w:rPr>
        <w:t xml:space="preserve"> under immunosuppression </w:t>
      </w:r>
      <w:r w:rsidRPr="00F40856">
        <w:rPr>
          <w:rFonts w:ascii="Arial" w:eastAsia="Times New Roman" w:hAnsi="Arial" w:cs="Arial"/>
          <w:noProof w:val="0"/>
          <w:color w:val="000000"/>
          <w:lang w:val="en-US" w:eastAsia="de-DE"/>
        </w:rPr>
        <w:t>(n=1), and chronic pancreatitis (n=1).</w:t>
      </w:r>
    </w:p>
    <w:p w14:paraId="445D7D1A" w14:textId="07FF36A6" w:rsidR="00032E56" w:rsidRPr="00F40856" w:rsidRDefault="00032E56" w:rsidP="00032E56">
      <w:pPr>
        <w:spacing w:before="100" w:beforeAutospacing="1" w:after="100" w:afterAutospacing="1" w:line="240" w:lineRule="auto"/>
        <w:jc w:val="both"/>
        <w:rPr>
          <w:rFonts w:ascii="Arial" w:eastAsia="Times New Roman" w:hAnsi="Arial" w:cs="Arial"/>
          <w:noProof w:val="0"/>
          <w:color w:val="000000"/>
          <w:lang w:val="en-US" w:eastAsia="de-DE"/>
        </w:rPr>
      </w:pPr>
      <w:r w:rsidRPr="00F40856">
        <w:rPr>
          <w:rFonts w:ascii="Arial" w:eastAsia="Times New Roman" w:hAnsi="Arial" w:cs="Arial"/>
          <w:noProof w:val="0"/>
          <w:color w:val="000000"/>
          <w:lang w:val="en-US" w:eastAsia="de-DE"/>
        </w:rPr>
        <w:t>Three cases represented invasive infections: </w:t>
      </w:r>
      <w:r w:rsidRPr="00F40856">
        <w:rPr>
          <w:rFonts w:ascii="Arial" w:eastAsia="Times New Roman" w:hAnsi="Arial" w:cs="Arial"/>
          <w:i/>
          <w:iCs/>
          <w:noProof w:val="0"/>
          <w:color w:val="000000"/>
          <w:lang w:val="en-US" w:eastAsia="de-DE"/>
        </w:rPr>
        <w:t xml:space="preserve">G. </w:t>
      </w:r>
      <w:proofErr w:type="spellStart"/>
      <w:r w:rsidRPr="00F40856">
        <w:rPr>
          <w:rFonts w:ascii="Arial" w:eastAsia="Times New Roman" w:hAnsi="Arial" w:cs="Arial"/>
          <w:i/>
          <w:iCs/>
          <w:noProof w:val="0"/>
          <w:color w:val="000000"/>
          <w:lang w:val="en-US" w:eastAsia="de-DE"/>
        </w:rPr>
        <w:t>candidum</w:t>
      </w:r>
      <w:proofErr w:type="spellEnd"/>
      <w:r w:rsidRPr="00F40856">
        <w:rPr>
          <w:rFonts w:ascii="Arial" w:eastAsia="Times New Roman" w:hAnsi="Arial" w:cs="Arial"/>
          <w:noProof w:val="0"/>
          <w:color w:val="000000"/>
          <w:lang w:val="en-US" w:eastAsia="de-DE"/>
        </w:rPr>
        <w:t> from biliary drainage and superinfected pancreatic walled-off necrosis, and </w:t>
      </w:r>
      <w:r w:rsidRPr="00F40856">
        <w:rPr>
          <w:rFonts w:ascii="Arial" w:eastAsia="Times New Roman" w:hAnsi="Arial" w:cs="Arial"/>
          <w:i/>
          <w:iCs/>
          <w:noProof w:val="0"/>
          <w:color w:val="000000"/>
          <w:lang w:val="en-US" w:eastAsia="de-DE"/>
        </w:rPr>
        <w:t>G. capitatum</w:t>
      </w:r>
      <w:r w:rsidRPr="00F40856">
        <w:rPr>
          <w:rFonts w:ascii="Arial" w:eastAsia="Times New Roman" w:hAnsi="Arial" w:cs="Arial"/>
          <w:noProof w:val="0"/>
          <w:color w:val="000000"/>
          <w:lang w:val="en-US" w:eastAsia="de-DE"/>
        </w:rPr>
        <w:t> from pleural effusion. Two cases were colonization: </w:t>
      </w:r>
      <w:r w:rsidRPr="00F40856">
        <w:rPr>
          <w:rFonts w:ascii="Arial" w:eastAsia="Times New Roman" w:hAnsi="Arial" w:cs="Arial"/>
          <w:i/>
          <w:iCs/>
          <w:noProof w:val="0"/>
          <w:color w:val="000000"/>
          <w:lang w:val="en-US" w:eastAsia="de-DE"/>
        </w:rPr>
        <w:t>G. capitatum</w:t>
      </w:r>
      <w:r w:rsidRPr="00F40856">
        <w:rPr>
          <w:rFonts w:ascii="Arial" w:eastAsia="Times New Roman" w:hAnsi="Arial" w:cs="Arial"/>
          <w:noProof w:val="0"/>
          <w:color w:val="000000"/>
          <w:lang w:val="en-US" w:eastAsia="de-DE"/>
        </w:rPr>
        <w:t> from stool surveillance of an AML patient, and </w:t>
      </w:r>
      <w:r w:rsidRPr="00F40856">
        <w:rPr>
          <w:rFonts w:ascii="Arial" w:eastAsia="Times New Roman" w:hAnsi="Arial" w:cs="Arial"/>
          <w:i/>
          <w:iCs/>
          <w:noProof w:val="0"/>
          <w:color w:val="000000"/>
          <w:lang w:val="en-US" w:eastAsia="de-DE"/>
        </w:rPr>
        <w:t xml:space="preserve">G. </w:t>
      </w:r>
      <w:proofErr w:type="spellStart"/>
      <w:r w:rsidRPr="00F40856">
        <w:rPr>
          <w:rFonts w:ascii="Arial" w:eastAsia="Times New Roman" w:hAnsi="Arial" w:cs="Arial"/>
          <w:i/>
          <w:iCs/>
          <w:noProof w:val="0"/>
          <w:color w:val="000000"/>
          <w:lang w:val="en-US" w:eastAsia="de-DE"/>
        </w:rPr>
        <w:t>candidum</w:t>
      </w:r>
      <w:proofErr w:type="spellEnd"/>
      <w:r w:rsidRPr="00F40856">
        <w:rPr>
          <w:rFonts w:ascii="Arial" w:eastAsia="Times New Roman" w:hAnsi="Arial" w:cs="Arial"/>
          <w:noProof w:val="0"/>
          <w:color w:val="000000"/>
          <w:lang w:val="en-US" w:eastAsia="de-DE"/>
        </w:rPr>
        <w:t xml:space="preserve"> from biliary drainage fluid during stent exchanges in </w:t>
      </w:r>
      <w:r w:rsidR="00B905BB" w:rsidRPr="00F40856">
        <w:rPr>
          <w:rFonts w:ascii="Arial" w:eastAsia="Times New Roman" w:hAnsi="Arial" w:cs="Arial"/>
          <w:noProof w:val="0"/>
          <w:color w:val="000000"/>
          <w:lang w:val="en-US" w:eastAsia="de-DE"/>
        </w:rPr>
        <w:t>the</w:t>
      </w:r>
      <w:r w:rsidRPr="00F40856">
        <w:rPr>
          <w:rFonts w:ascii="Arial" w:eastAsia="Times New Roman" w:hAnsi="Arial" w:cs="Arial"/>
          <w:noProof w:val="0"/>
          <w:color w:val="000000"/>
          <w:lang w:val="en-US" w:eastAsia="de-DE"/>
        </w:rPr>
        <w:t xml:space="preserve"> liver transplant recipient, both without systemic </w:t>
      </w:r>
      <w:r w:rsidR="00D00D7A" w:rsidRPr="00F40856">
        <w:rPr>
          <w:rFonts w:ascii="Arial" w:eastAsia="Times New Roman" w:hAnsi="Arial" w:cs="Arial"/>
          <w:noProof w:val="0"/>
          <w:color w:val="000000"/>
          <w:lang w:val="en-US" w:eastAsia="de-DE"/>
        </w:rPr>
        <w:t xml:space="preserve">signs of </w:t>
      </w:r>
      <w:r w:rsidRPr="00F40856">
        <w:rPr>
          <w:rFonts w:ascii="Arial" w:eastAsia="Times New Roman" w:hAnsi="Arial" w:cs="Arial"/>
          <w:noProof w:val="0"/>
          <w:color w:val="000000"/>
          <w:lang w:val="en-US" w:eastAsia="de-DE"/>
        </w:rPr>
        <w:t>infection.</w:t>
      </w:r>
    </w:p>
    <w:p w14:paraId="5B2D0F20" w14:textId="62487CA6" w:rsidR="002B0E67" w:rsidRPr="00F40856" w:rsidRDefault="002B0E67" w:rsidP="002B0E67">
      <w:pPr>
        <w:spacing w:before="100" w:beforeAutospacing="1" w:after="100" w:afterAutospacing="1" w:line="240" w:lineRule="auto"/>
        <w:jc w:val="both"/>
        <w:rPr>
          <w:rFonts w:ascii="Arial" w:eastAsia="Times New Roman" w:hAnsi="Arial" w:cs="Arial"/>
          <w:noProof w:val="0"/>
          <w:color w:val="000000"/>
          <w:lang w:val="en-US" w:eastAsia="de-DE"/>
        </w:rPr>
      </w:pPr>
      <w:r w:rsidRPr="00F40856">
        <w:rPr>
          <w:rFonts w:ascii="Arial" w:eastAsia="Times New Roman" w:hAnsi="Arial" w:cs="Arial"/>
          <w:noProof w:val="0"/>
          <w:color w:val="000000"/>
          <w:lang w:val="en-US" w:eastAsia="de-DE"/>
        </w:rPr>
        <w:t xml:space="preserve">BDG was measured in four patients, elevated in two infections (pancreatic necrosis and pleural effusion, 962 and 74.2 </w:t>
      </w:r>
      <w:proofErr w:type="spellStart"/>
      <w:r w:rsidRPr="00F40856">
        <w:rPr>
          <w:rFonts w:ascii="Arial" w:eastAsia="Times New Roman" w:hAnsi="Arial" w:cs="Arial"/>
          <w:noProof w:val="0"/>
          <w:color w:val="000000"/>
          <w:lang w:val="en-US" w:eastAsia="de-DE"/>
        </w:rPr>
        <w:t>pg</w:t>
      </w:r>
      <w:proofErr w:type="spellEnd"/>
      <w:r w:rsidRPr="00F40856">
        <w:rPr>
          <w:rFonts w:ascii="Arial" w:eastAsia="Times New Roman" w:hAnsi="Arial" w:cs="Arial"/>
          <w:noProof w:val="0"/>
          <w:color w:val="000000"/>
          <w:lang w:val="en-US" w:eastAsia="de-DE"/>
        </w:rPr>
        <w:t>/mL) and negative in stool colonization and colorectal carcinoma; it was not measured in the biliary colonization case. All</w:t>
      </w:r>
      <w:r w:rsidR="00B905BB" w:rsidRPr="00F40856">
        <w:rPr>
          <w:rFonts w:ascii="Arial" w:eastAsia="Times New Roman" w:hAnsi="Arial" w:cs="Arial"/>
          <w:noProof w:val="0"/>
          <w:color w:val="000000"/>
          <w:lang w:val="en-US" w:eastAsia="de-DE"/>
        </w:rPr>
        <w:t xml:space="preserve"> serum </w:t>
      </w:r>
      <w:r w:rsidRPr="00F40856">
        <w:rPr>
          <w:rFonts w:ascii="Arial" w:eastAsia="Times New Roman" w:hAnsi="Arial" w:cs="Arial"/>
          <w:noProof w:val="0"/>
          <w:color w:val="000000"/>
          <w:lang w:val="en-US" w:eastAsia="de-DE"/>
        </w:rPr>
        <w:t xml:space="preserve">GM assays (n=3) were negative. In three patients (60%), </w:t>
      </w:r>
      <w:proofErr w:type="spellStart"/>
      <w:r w:rsidRPr="00F40856">
        <w:rPr>
          <w:rFonts w:ascii="Arial" w:eastAsia="Times New Roman" w:hAnsi="Arial" w:cs="Arial"/>
          <w:noProof w:val="0"/>
          <w:color w:val="000000"/>
          <w:lang w:val="en-US" w:eastAsia="de-DE"/>
        </w:rPr>
        <w:t>Geotrichum</w:t>
      </w:r>
      <w:proofErr w:type="spellEnd"/>
      <w:r w:rsidRPr="00F40856">
        <w:rPr>
          <w:rFonts w:ascii="Arial" w:eastAsia="Times New Roman" w:hAnsi="Arial" w:cs="Arial"/>
          <w:noProof w:val="0"/>
          <w:color w:val="000000"/>
          <w:lang w:val="en-US" w:eastAsia="de-DE"/>
        </w:rPr>
        <w:t xml:space="preserve"> spp. was recovered in polymicrobial cultures alongside </w:t>
      </w:r>
      <w:r w:rsidRPr="00F40856">
        <w:rPr>
          <w:rFonts w:ascii="Arial" w:eastAsia="Times New Roman" w:hAnsi="Arial" w:cs="Arial"/>
          <w:i/>
          <w:iCs/>
          <w:noProof w:val="0"/>
          <w:color w:val="000000"/>
          <w:lang w:val="en-US" w:eastAsia="de-DE"/>
        </w:rPr>
        <w:t xml:space="preserve">Candida albicans, Candida </w:t>
      </w:r>
      <w:proofErr w:type="spellStart"/>
      <w:r w:rsidRPr="00F40856">
        <w:rPr>
          <w:rFonts w:ascii="Arial" w:eastAsia="Times New Roman" w:hAnsi="Arial" w:cs="Arial"/>
          <w:i/>
          <w:iCs/>
          <w:noProof w:val="0"/>
          <w:color w:val="000000"/>
          <w:lang w:val="en-US" w:eastAsia="de-DE"/>
        </w:rPr>
        <w:t>krusei</w:t>
      </w:r>
      <w:proofErr w:type="spellEnd"/>
      <w:r w:rsidRPr="00F40856">
        <w:rPr>
          <w:rFonts w:ascii="Arial" w:eastAsia="Times New Roman" w:hAnsi="Arial" w:cs="Arial"/>
          <w:i/>
          <w:iCs/>
          <w:noProof w:val="0"/>
          <w:color w:val="000000"/>
          <w:lang w:val="en-US" w:eastAsia="de-DE"/>
        </w:rPr>
        <w:t>, Candida glabrata, Pseudomonas aeruginosa</w:t>
      </w:r>
      <w:r w:rsidRPr="00F40856">
        <w:rPr>
          <w:rFonts w:ascii="Arial" w:eastAsia="Times New Roman" w:hAnsi="Arial" w:cs="Arial"/>
          <w:noProof w:val="0"/>
          <w:color w:val="000000"/>
          <w:lang w:val="en-US" w:eastAsia="de-DE"/>
        </w:rPr>
        <w:t xml:space="preserve">, and </w:t>
      </w:r>
      <w:r w:rsidRPr="00F40856">
        <w:rPr>
          <w:rFonts w:ascii="Arial" w:eastAsia="Times New Roman" w:hAnsi="Arial" w:cs="Arial"/>
          <w:i/>
          <w:iCs/>
          <w:noProof w:val="0"/>
          <w:color w:val="000000"/>
          <w:lang w:val="en-US" w:eastAsia="de-DE"/>
        </w:rPr>
        <w:t>Enterococcus faecium</w:t>
      </w:r>
      <w:r w:rsidRPr="00F40856">
        <w:rPr>
          <w:rFonts w:ascii="Arial" w:eastAsia="Times New Roman" w:hAnsi="Arial" w:cs="Arial"/>
          <w:noProof w:val="0"/>
          <w:color w:val="000000"/>
          <w:lang w:val="en-US" w:eastAsia="de-DE"/>
        </w:rPr>
        <w:t>.</w:t>
      </w:r>
    </w:p>
    <w:p w14:paraId="6AD793FC" w14:textId="5E22F792" w:rsidR="002B0E67" w:rsidRPr="00F40856" w:rsidRDefault="002B0E67" w:rsidP="002B0E67">
      <w:pPr>
        <w:spacing w:before="100" w:beforeAutospacing="1" w:after="100" w:afterAutospacing="1" w:line="240" w:lineRule="auto"/>
        <w:jc w:val="both"/>
        <w:rPr>
          <w:rFonts w:ascii="Arial" w:eastAsia="Times New Roman" w:hAnsi="Arial" w:cs="Arial"/>
          <w:noProof w:val="0"/>
          <w:color w:val="000000"/>
          <w:lang w:val="en-US" w:eastAsia="de-DE"/>
        </w:rPr>
      </w:pPr>
      <w:r w:rsidRPr="00F40856">
        <w:rPr>
          <w:rFonts w:ascii="Arial" w:eastAsia="Times New Roman" w:hAnsi="Arial" w:cs="Arial"/>
          <w:noProof w:val="0"/>
          <w:color w:val="000000"/>
          <w:lang w:val="en-US" w:eastAsia="de-DE"/>
        </w:rPr>
        <w:t xml:space="preserve">Antifungal susceptibility testing showed low MICs for amphotericin B (0.25–1 µg/mL), with voriconazole and </w:t>
      </w:r>
      <w:proofErr w:type="spellStart"/>
      <w:r w:rsidRPr="00F40856">
        <w:rPr>
          <w:rFonts w:ascii="Arial" w:eastAsia="Times New Roman" w:hAnsi="Arial" w:cs="Arial"/>
          <w:noProof w:val="0"/>
          <w:color w:val="000000"/>
          <w:lang w:val="en-US" w:eastAsia="de-DE"/>
        </w:rPr>
        <w:t>posaconazole</w:t>
      </w:r>
      <w:proofErr w:type="spellEnd"/>
      <w:r w:rsidRPr="00F40856">
        <w:rPr>
          <w:rFonts w:ascii="Arial" w:eastAsia="Times New Roman" w:hAnsi="Arial" w:cs="Arial"/>
          <w:noProof w:val="0"/>
          <w:color w:val="000000"/>
          <w:lang w:val="en-US" w:eastAsia="de-DE"/>
        </w:rPr>
        <w:t xml:space="preserve"> MICs ≤0.5 µg/</w:t>
      </w:r>
      <w:proofErr w:type="spellStart"/>
      <w:r w:rsidRPr="00F40856">
        <w:rPr>
          <w:rFonts w:ascii="Arial" w:eastAsia="Times New Roman" w:hAnsi="Arial" w:cs="Arial"/>
          <w:noProof w:val="0"/>
          <w:color w:val="000000"/>
          <w:lang w:val="en-US" w:eastAsia="de-DE"/>
        </w:rPr>
        <w:t>mL.</w:t>
      </w:r>
      <w:proofErr w:type="spellEnd"/>
      <w:r w:rsidRPr="00F40856">
        <w:rPr>
          <w:rFonts w:ascii="Arial" w:eastAsia="Times New Roman" w:hAnsi="Arial" w:cs="Arial"/>
          <w:noProof w:val="0"/>
          <w:color w:val="000000"/>
          <w:lang w:val="en-US" w:eastAsia="de-DE"/>
        </w:rPr>
        <w:t xml:space="preserve"> MIC interpretation remained descriptive, as no clinical breakpoints are established for </w:t>
      </w:r>
      <w:proofErr w:type="spellStart"/>
      <w:r w:rsidRPr="00F40856">
        <w:rPr>
          <w:rFonts w:ascii="Arial" w:eastAsia="Times New Roman" w:hAnsi="Arial" w:cs="Arial"/>
          <w:i/>
          <w:iCs/>
          <w:noProof w:val="0"/>
          <w:color w:val="000000"/>
          <w:lang w:val="en-US" w:eastAsia="de-DE"/>
        </w:rPr>
        <w:t>Geotrichum</w:t>
      </w:r>
      <w:proofErr w:type="spellEnd"/>
      <w:r w:rsidRPr="00F40856">
        <w:rPr>
          <w:rFonts w:ascii="Arial" w:eastAsia="Times New Roman" w:hAnsi="Arial" w:cs="Arial"/>
          <w:noProof w:val="0"/>
          <w:color w:val="000000"/>
          <w:lang w:val="en-US" w:eastAsia="de-DE"/>
        </w:rPr>
        <w:t> spp. Three patients received targeted antifungal therapy, two with voriconazole and one with delayed anidulafungin due to Candida predominance. Three patients recovered, one died two months after fungal isolation due to abdominal ischemia, and two colonized patients remained clinically stable without antifungal therapy.</w:t>
      </w:r>
    </w:p>
    <w:p w14:paraId="51951EC5" w14:textId="02423C02" w:rsidR="00032E56" w:rsidRPr="00F40856" w:rsidRDefault="00032E56" w:rsidP="00032E56">
      <w:pPr>
        <w:spacing w:before="100" w:beforeAutospacing="1" w:after="100" w:afterAutospacing="1" w:line="240" w:lineRule="auto"/>
        <w:jc w:val="both"/>
        <w:rPr>
          <w:rFonts w:ascii="Arial" w:eastAsia="Times New Roman" w:hAnsi="Arial" w:cs="Arial"/>
          <w:noProof w:val="0"/>
          <w:color w:val="000000"/>
          <w:lang w:val="en-US" w:eastAsia="de-DE"/>
        </w:rPr>
      </w:pPr>
      <w:r w:rsidRPr="00F40856">
        <w:rPr>
          <w:rFonts w:ascii="Arial" w:eastAsia="Times New Roman" w:hAnsi="Arial" w:cs="Arial"/>
          <w:noProof w:val="0"/>
          <w:color w:val="000000"/>
          <w:lang w:val="en-US" w:eastAsia="de-DE"/>
        </w:rPr>
        <w:t xml:space="preserve">A detailed case involved a 65-year-old woman who developed acute-on-chronic necrotizing pancreatitis complicated by hemorrhagic walled-off necrosis and a fistula originating from the colon, extending </w:t>
      </w:r>
      <w:proofErr w:type="spellStart"/>
      <w:r w:rsidRPr="00F40856">
        <w:rPr>
          <w:rFonts w:ascii="Arial" w:eastAsia="Times New Roman" w:hAnsi="Arial" w:cs="Arial"/>
          <w:noProof w:val="0"/>
          <w:color w:val="000000"/>
          <w:lang w:val="en-US" w:eastAsia="de-DE"/>
        </w:rPr>
        <w:t>perisplenically</w:t>
      </w:r>
      <w:proofErr w:type="spellEnd"/>
      <w:r w:rsidRPr="00F40856">
        <w:rPr>
          <w:rFonts w:ascii="Arial" w:eastAsia="Times New Roman" w:hAnsi="Arial" w:cs="Arial"/>
          <w:noProof w:val="0"/>
          <w:color w:val="000000"/>
          <w:lang w:val="en-US" w:eastAsia="de-DE"/>
        </w:rPr>
        <w:t xml:space="preserve"> to the pleural space. </w:t>
      </w:r>
      <w:r w:rsidRPr="00F40856">
        <w:rPr>
          <w:rFonts w:ascii="Arial" w:eastAsia="Times New Roman" w:hAnsi="Arial" w:cs="Arial"/>
          <w:i/>
          <w:iCs/>
          <w:noProof w:val="0"/>
          <w:color w:val="000000"/>
          <w:lang w:val="en-US" w:eastAsia="de-DE"/>
        </w:rPr>
        <w:t xml:space="preserve">G. </w:t>
      </w:r>
      <w:proofErr w:type="spellStart"/>
      <w:r w:rsidRPr="00F40856">
        <w:rPr>
          <w:rFonts w:ascii="Arial" w:eastAsia="Times New Roman" w:hAnsi="Arial" w:cs="Arial"/>
          <w:i/>
          <w:iCs/>
          <w:noProof w:val="0"/>
          <w:color w:val="000000"/>
          <w:lang w:val="en-US" w:eastAsia="de-DE"/>
        </w:rPr>
        <w:t>candidum</w:t>
      </w:r>
      <w:proofErr w:type="spellEnd"/>
      <w:r w:rsidRPr="00F40856">
        <w:rPr>
          <w:rFonts w:ascii="Arial" w:eastAsia="Times New Roman" w:hAnsi="Arial" w:cs="Arial"/>
          <w:noProof w:val="0"/>
          <w:color w:val="000000"/>
          <w:lang w:val="en-US" w:eastAsia="de-DE"/>
        </w:rPr>
        <w:t xml:space="preserve"> was cultured multiple times from CT-guided drainage fluid. BDG was markedly elevated at 962 </w:t>
      </w:r>
      <w:proofErr w:type="spellStart"/>
      <w:r w:rsidRPr="00F40856">
        <w:rPr>
          <w:rFonts w:ascii="Arial" w:eastAsia="Times New Roman" w:hAnsi="Arial" w:cs="Arial"/>
          <w:noProof w:val="0"/>
          <w:color w:val="000000"/>
          <w:lang w:val="en-US" w:eastAsia="de-DE"/>
        </w:rPr>
        <w:t>pg</w:t>
      </w:r>
      <w:proofErr w:type="spellEnd"/>
      <w:r w:rsidRPr="00F40856">
        <w:rPr>
          <w:rFonts w:ascii="Arial" w:eastAsia="Times New Roman" w:hAnsi="Arial" w:cs="Arial"/>
          <w:noProof w:val="0"/>
          <w:color w:val="000000"/>
          <w:lang w:val="en-US" w:eastAsia="de-DE"/>
        </w:rPr>
        <w:t>/</w:t>
      </w:r>
      <w:proofErr w:type="spellStart"/>
      <w:r w:rsidRPr="00F40856">
        <w:rPr>
          <w:rFonts w:ascii="Arial" w:eastAsia="Times New Roman" w:hAnsi="Arial" w:cs="Arial"/>
          <w:noProof w:val="0"/>
          <w:color w:val="000000"/>
          <w:lang w:val="en-US" w:eastAsia="de-DE"/>
        </w:rPr>
        <w:t>mL.</w:t>
      </w:r>
      <w:proofErr w:type="spellEnd"/>
      <w:r w:rsidRPr="00F40856">
        <w:rPr>
          <w:rFonts w:ascii="Arial" w:eastAsia="Times New Roman" w:hAnsi="Arial" w:cs="Arial"/>
          <w:noProof w:val="0"/>
          <w:color w:val="000000"/>
          <w:lang w:val="en-US" w:eastAsia="de-DE"/>
        </w:rPr>
        <w:t xml:space="preserve"> Antifungal susceptibility showed low minimum inhibitory concentrations (MICs) for amphotericin B (0.5 µg/mL), anidulafungin (0.03 µg/mL), </w:t>
      </w:r>
      <w:proofErr w:type="spellStart"/>
      <w:r w:rsidRPr="00F40856">
        <w:rPr>
          <w:rFonts w:ascii="Arial" w:eastAsia="Times New Roman" w:hAnsi="Arial" w:cs="Arial"/>
          <w:noProof w:val="0"/>
          <w:color w:val="000000"/>
          <w:lang w:val="en-US" w:eastAsia="de-DE"/>
        </w:rPr>
        <w:t>caspofungin</w:t>
      </w:r>
      <w:proofErr w:type="spellEnd"/>
      <w:r w:rsidRPr="00F40856">
        <w:rPr>
          <w:rFonts w:ascii="Arial" w:eastAsia="Times New Roman" w:hAnsi="Arial" w:cs="Arial"/>
          <w:noProof w:val="0"/>
          <w:color w:val="000000"/>
          <w:lang w:val="en-US" w:eastAsia="de-DE"/>
        </w:rPr>
        <w:t xml:space="preserve"> (0.25 µg/mL), voriconazole (≤0.008 µg/mL), and </w:t>
      </w:r>
      <w:proofErr w:type="spellStart"/>
      <w:r w:rsidRPr="00F40856">
        <w:rPr>
          <w:rFonts w:ascii="Arial" w:eastAsia="Times New Roman" w:hAnsi="Arial" w:cs="Arial"/>
          <w:noProof w:val="0"/>
          <w:color w:val="000000"/>
          <w:lang w:val="en-US" w:eastAsia="de-DE"/>
        </w:rPr>
        <w:t>posaconazole</w:t>
      </w:r>
      <w:proofErr w:type="spellEnd"/>
      <w:r w:rsidRPr="00F40856">
        <w:rPr>
          <w:rFonts w:ascii="Arial" w:eastAsia="Times New Roman" w:hAnsi="Arial" w:cs="Arial"/>
          <w:noProof w:val="0"/>
          <w:color w:val="000000"/>
          <w:lang w:val="en-US" w:eastAsia="de-DE"/>
        </w:rPr>
        <w:t xml:space="preserve"> (0.06 µg/mL). Voriconazole was administered for 35 days, resulting in clinical response.</w:t>
      </w:r>
    </w:p>
    <w:p w14:paraId="285BEB50" w14:textId="591CBE48" w:rsidR="00032E56" w:rsidRPr="00F40856" w:rsidRDefault="00032E56" w:rsidP="00032E56">
      <w:pPr>
        <w:spacing w:before="100" w:beforeAutospacing="1" w:after="100" w:afterAutospacing="1" w:line="240" w:lineRule="auto"/>
        <w:jc w:val="both"/>
        <w:rPr>
          <w:rFonts w:ascii="Arial" w:eastAsia="Times New Roman" w:hAnsi="Arial" w:cs="Arial"/>
          <w:noProof w:val="0"/>
          <w:color w:val="000000"/>
          <w:lang w:eastAsia="de-DE"/>
        </w:rPr>
      </w:pPr>
      <w:r w:rsidRPr="00F40856">
        <w:rPr>
          <w:rFonts w:ascii="Arial" w:eastAsia="Times New Roman" w:hAnsi="Arial" w:cs="Arial"/>
          <w:b/>
          <w:bCs/>
          <w:noProof w:val="0"/>
          <w:color w:val="000000"/>
          <w:lang w:val="en-US" w:eastAsia="de-DE"/>
        </w:rPr>
        <w:lastRenderedPageBreak/>
        <w:t>Conclusions</w:t>
      </w:r>
      <w:r w:rsidRPr="00F40856">
        <w:rPr>
          <w:rFonts w:ascii="Arial" w:eastAsia="Times New Roman" w:hAnsi="Arial" w:cs="Arial"/>
          <w:noProof w:val="0"/>
          <w:color w:val="000000"/>
          <w:lang w:val="en-US" w:eastAsia="de-DE"/>
        </w:rPr>
        <w:br/>
        <w:t xml:space="preserve">This case series underscores that </w:t>
      </w:r>
      <w:proofErr w:type="spellStart"/>
      <w:r w:rsidRPr="00406B4D">
        <w:rPr>
          <w:rFonts w:ascii="Arial" w:eastAsia="Times New Roman" w:hAnsi="Arial" w:cs="Arial"/>
          <w:i/>
          <w:iCs/>
          <w:noProof w:val="0"/>
          <w:color w:val="000000"/>
          <w:lang w:val="en-US" w:eastAsia="de-DE"/>
        </w:rPr>
        <w:t>Geotrichum</w:t>
      </w:r>
      <w:proofErr w:type="spellEnd"/>
      <w:r w:rsidRPr="00F40856">
        <w:rPr>
          <w:rFonts w:ascii="Arial" w:eastAsia="Times New Roman" w:hAnsi="Arial" w:cs="Arial"/>
          <w:noProof w:val="0"/>
          <w:color w:val="000000"/>
          <w:lang w:val="en-US" w:eastAsia="de-DE"/>
        </w:rPr>
        <w:t xml:space="preserve"> spp., including </w:t>
      </w:r>
      <w:r w:rsidRPr="00F40856">
        <w:rPr>
          <w:rFonts w:ascii="Arial" w:eastAsia="Times New Roman" w:hAnsi="Arial" w:cs="Arial"/>
          <w:i/>
          <w:iCs/>
          <w:noProof w:val="0"/>
          <w:color w:val="000000"/>
          <w:lang w:val="en-US" w:eastAsia="de-DE"/>
        </w:rPr>
        <w:t xml:space="preserve">G. </w:t>
      </w:r>
      <w:proofErr w:type="spellStart"/>
      <w:r w:rsidRPr="00F40856">
        <w:rPr>
          <w:rFonts w:ascii="Arial" w:eastAsia="Times New Roman" w:hAnsi="Arial" w:cs="Arial"/>
          <w:i/>
          <w:iCs/>
          <w:noProof w:val="0"/>
          <w:color w:val="000000"/>
          <w:lang w:val="en-US" w:eastAsia="de-DE"/>
        </w:rPr>
        <w:t>candidum</w:t>
      </w:r>
      <w:proofErr w:type="spellEnd"/>
      <w:r w:rsidRPr="00F40856">
        <w:rPr>
          <w:rFonts w:ascii="Arial" w:eastAsia="Times New Roman" w:hAnsi="Arial" w:cs="Arial"/>
          <w:i/>
          <w:iCs/>
          <w:noProof w:val="0"/>
          <w:color w:val="000000"/>
          <w:lang w:val="en-US" w:eastAsia="de-DE"/>
        </w:rPr>
        <w:t xml:space="preserve"> </w:t>
      </w:r>
      <w:r w:rsidRPr="00F40856">
        <w:rPr>
          <w:rFonts w:ascii="Arial" w:eastAsia="Times New Roman" w:hAnsi="Arial" w:cs="Arial"/>
          <w:noProof w:val="0"/>
          <w:color w:val="000000"/>
          <w:lang w:val="en-US" w:eastAsia="de-DE"/>
        </w:rPr>
        <w:t xml:space="preserve">and </w:t>
      </w:r>
      <w:r w:rsidRPr="00F40856">
        <w:rPr>
          <w:rFonts w:ascii="Arial" w:eastAsia="Times New Roman" w:hAnsi="Arial" w:cs="Arial"/>
          <w:i/>
          <w:iCs/>
          <w:noProof w:val="0"/>
          <w:color w:val="000000"/>
          <w:lang w:val="en-US" w:eastAsia="de-DE"/>
        </w:rPr>
        <w:t>G. capitatum</w:t>
      </w:r>
      <w:r w:rsidRPr="00F40856">
        <w:rPr>
          <w:rFonts w:ascii="Arial" w:eastAsia="Times New Roman" w:hAnsi="Arial" w:cs="Arial"/>
          <w:noProof w:val="0"/>
          <w:color w:val="000000"/>
          <w:lang w:val="en-US" w:eastAsia="de-DE"/>
        </w:rPr>
        <w:t xml:space="preserve">, can cause invasive infections in patients with severe underlying diseases. BDG elevations were inconsistent, and GM negative. Early </w:t>
      </w:r>
      <w:r w:rsidR="00B905BB" w:rsidRPr="00F40856">
        <w:rPr>
          <w:rFonts w:ascii="Arial" w:eastAsia="Times New Roman" w:hAnsi="Arial" w:cs="Arial"/>
          <w:noProof w:val="0"/>
          <w:color w:val="000000"/>
          <w:lang w:val="en-US" w:eastAsia="de-DE"/>
        </w:rPr>
        <w:t>identification</w:t>
      </w:r>
      <w:r w:rsidRPr="00F40856">
        <w:rPr>
          <w:rFonts w:ascii="Arial" w:eastAsia="Times New Roman" w:hAnsi="Arial" w:cs="Arial"/>
          <w:noProof w:val="0"/>
          <w:color w:val="000000"/>
          <w:lang w:val="en-US" w:eastAsia="de-DE"/>
        </w:rPr>
        <w:t>, susceptibility testing, and timely antifungal therapy</w:t>
      </w:r>
      <w:r w:rsidR="00B905BB" w:rsidRPr="00F40856">
        <w:rPr>
          <w:rFonts w:ascii="Arial" w:eastAsia="Times New Roman" w:hAnsi="Arial" w:cs="Arial"/>
          <w:noProof w:val="0"/>
          <w:color w:val="000000"/>
          <w:lang w:val="en-US" w:eastAsia="de-DE"/>
        </w:rPr>
        <w:t xml:space="preserve"> should be pursued</w:t>
      </w:r>
      <w:r w:rsidRPr="00F40856">
        <w:rPr>
          <w:rFonts w:ascii="Arial" w:eastAsia="Times New Roman" w:hAnsi="Arial" w:cs="Arial"/>
          <w:noProof w:val="0"/>
          <w:color w:val="000000"/>
          <w:lang w:val="en-US" w:eastAsia="de-DE"/>
        </w:rPr>
        <w:t xml:space="preserve">. </w:t>
      </w:r>
      <w:r w:rsidR="00B905BB" w:rsidRPr="00F40856">
        <w:rPr>
          <w:rFonts w:ascii="Arial" w:eastAsia="Times New Roman" w:hAnsi="Arial" w:cs="Arial"/>
          <w:noProof w:val="0"/>
          <w:color w:val="000000"/>
          <w:lang w:val="en-US" w:eastAsia="de-DE"/>
        </w:rPr>
        <w:t>Current k</w:t>
      </w:r>
      <w:r w:rsidRPr="00F40856">
        <w:rPr>
          <w:rFonts w:ascii="Arial" w:eastAsia="Times New Roman" w:hAnsi="Arial" w:cs="Arial"/>
          <w:noProof w:val="0"/>
          <w:color w:val="000000"/>
          <w:lang w:val="en-US" w:eastAsia="de-DE"/>
        </w:rPr>
        <w:t>nowledge remains limited, and further studies are needed to refine diagnostic criteria and optimize management for these rare infections.</w:t>
      </w:r>
    </w:p>
    <w:p w14:paraId="06171F6E" w14:textId="77777777" w:rsidR="00B905BB" w:rsidRPr="00032E56" w:rsidRDefault="00B905BB">
      <w:pPr>
        <w:spacing w:before="100" w:beforeAutospacing="1" w:after="100" w:afterAutospacing="1" w:line="240" w:lineRule="auto"/>
        <w:jc w:val="both"/>
        <w:rPr>
          <w:rFonts w:ascii="Helvetica" w:eastAsia="Times New Roman" w:hAnsi="Helvetica" w:cstheme="minorHAnsi"/>
          <w:noProof w:val="0"/>
          <w:color w:val="000000"/>
          <w:sz w:val="24"/>
          <w:szCs w:val="24"/>
          <w:lang w:eastAsia="de-DE"/>
        </w:rPr>
      </w:pPr>
    </w:p>
    <w:sectPr w:rsidR="00B905BB" w:rsidRPr="00032E56"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032E56"/>
    <w:rsid w:val="002537C3"/>
    <w:rsid w:val="002B0E67"/>
    <w:rsid w:val="00384137"/>
    <w:rsid w:val="00406B4D"/>
    <w:rsid w:val="005B610D"/>
    <w:rsid w:val="00610A7A"/>
    <w:rsid w:val="006412DE"/>
    <w:rsid w:val="006A04F9"/>
    <w:rsid w:val="006C2EE9"/>
    <w:rsid w:val="006F58A7"/>
    <w:rsid w:val="00747B57"/>
    <w:rsid w:val="007F1E21"/>
    <w:rsid w:val="0084097F"/>
    <w:rsid w:val="00944CEF"/>
    <w:rsid w:val="00983C1F"/>
    <w:rsid w:val="00996CD7"/>
    <w:rsid w:val="00B905BB"/>
    <w:rsid w:val="00BA1C61"/>
    <w:rsid w:val="00CA78D8"/>
    <w:rsid w:val="00D00D7A"/>
    <w:rsid w:val="00D26EAE"/>
    <w:rsid w:val="00EF3A03"/>
    <w:rsid w:val="00F40856"/>
    <w:rsid w:val="00FA19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en-GB"/>
    </w:rPr>
  </w:style>
  <w:style w:type="paragraph" w:styleId="berschrift2">
    <w:name w:val="heading 2"/>
    <w:basedOn w:val="Standard"/>
    <w:link w:val="berschrift2Zchn"/>
    <w:uiPriority w:val="9"/>
    <w:qFormat/>
    <w:rsid w:val="00032E56"/>
    <w:pPr>
      <w:spacing w:before="100" w:beforeAutospacing="1" w:after="100" w:afterAutospacing="1" w:line="240" w:lineRule="auto"/>
      <w:outlineLvl w:val="1"/>
    </w:pPr>
    <w:rPr>
      <w:rFonts w:ascii="Times New Roman" w:eastAsia="Times New Roman" w:hAnsi="Times New Roman" w:cs="Times New Roman"/>
      <w:b/>
      <w:bCs/>
      <w:noProof w:val="0"/>
      <w:sz w:val="36"/>
      <w:szCs w:val="36"/>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32E56"/>
    <w:rPr>
      <w:b/>
      <w:bCs/>
    </w:rPr>
  </w:style>
  <w:style w:type="character" w:styleId="Hervorhebung">
    <w:name w:val="Emphasis"/>
    <w:basedOn w:val="Absatz-Standardschriftart"/>
    <w:uiPriority w:val="20"/>
    <w:qFormat/>
    <w:rsid w:val="00032E56"/>
    <w:rPr>
      <w:i/>
      <w:iCs/>
    </w:rPr>
  </w:style>
  <w:style w:type="character" w:customStyle="1" w:styleId="apple-converted-space">
    <w:name w:val="apple-converted-space"/>
    <w:basedOn w:val="Absatz-Standardschriftart"/>
    <w:rsid w:val="00032E56"/>
  </w:style>
  <w:style w:type="character" w:customStyle="1" w:styleId="berschrift2Zchn">
    <w:name w:val="Überschrift 2 Zchn"/>
    <w:basedOn w:val="Absatz-Standardschriftart"/>
    <w:link w:val="berschrift2"/>
    <w:uiPriority w:val="9"/>
    <w:rsid w:val="00032E56"/>
    <w:rPr>
      <w:rFonts w:ascii="Times New Roman" w:eastAsia="Times New Roman" w:hAnsi="Times New Roman" w:cs="Times New Roman"/>
      <w:b/>
      <w:bCs/>
      <w:sz w:val="36"/>
      <w:szCs w:val="36"/>
      <w:lang w:val="de-AT" w:eastAsia="de-DE"/>
    </w:rPr>
  </w:style>
  <w:style w:type="paragraph" w:styleId="berarbeitung">
    <w:name w:val="Revision"/>
    <w:hidden/>
    <w:uiPriority w:val="99"/>
    <w:semiHidden/>
    <w:rsid w:val="00D00D7A"/>
    <w:pPr>
      <w:spacing w:after="0" w:line="240" w:lineRule="auto"/>
    </w:pPr>
    <w:rPr>
      <w:noProof/>
      <w:lang w:val="en-GB"/>
    </w:rPr>
  </w:style>
  <w:style w:type="character" w:styleId="Kommentarzeichen">
    <w:name w:val="annotation reference"/>
    <w:basedOn w:val="Absatz-Standardschriftart"/>
    <w:uiPriority w:val="99"/>
    <w:semiHidden/>
    <w:unhideWhenUsed/>
    <w:rsid w:val="00D00D7A"/>
    <w:rPr>
      <w:sz w:val="16"/>
      <w:szCs w:val="16"/>
    </w:rPr>
  </w:style>
  <w:style w:type="paragraph" w:styleId="Kommentartext">
    <w:name w:val="annotation text"/>
    <w:basedOn w:val="Standard"/>
    <w:link w:val="KommentartextZchn"/>
    <w:uiPriority w:val="99"/>
    <w:semiHidden/>
    <w:unhideWhenUsed/>
    <w:rsid w:val="00D00D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0D7A"/>
    <w:rPr>
      <w:noProof/>
      <w:sz w:val="20"/>
      <w:szCs w:val="20"/>
      <w:lang w:val="en-GB"/>
    </w:rPr>
  </w:style>
  <w:style w:type="paragraph" w:styleId="Kommentarthema">
    <w:name w:val="annotation subject"/>
    <w:basedOn w:val="Kommentartext"/>
    <w:next w:val="Kommentartext"/>
    <w:link w:val="KommentarthemaZchn"/>
    <w:uiPriority w:val="99"/>
    <w:semiHidden/>
    <w:unhideWhenUsed/>
    <w:rsid w:val="00D00D7A"/>
    <w:rPr>
      <w:b/>
      <w:bCs/>
    </w:rPr>
  </w:style>
  <w:style w:type="character" w:customStyle="1" w:styleId="KommentarthemaZchn">
    <w:name w:val="Kommentarthema Zchn"/>
    <w:basedOn w:val="KommentartextZchn"/>
    <w:link w:val="Kommentarthema"/>
    <w:uiPriority w:val="99"/>
    <w:semiHidden/>
    <w:rsid w:val="00D00D7A"/>
    <w:rPr>
      <w:b/>
      <w:bCs/>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90495">
      <w:bodyDiv w:val="1"/>
      <w:marLeft w:val="0"/>
      <w:marRight w:val="0"/>
      <w:marTop w:val="0"/>
      <w:marBottom w:val="0"/>
      <w:divBdr>
        <w:top w:val="none" w:sz="0" w:space="0" w:color="auto"/>
        <w:left w:val="none" w:sz="0" w:space="0" w:color="auto"/>
        <w:bottom w:val="none" w:sz="0" w:space="0" w:color="auto"/>
        <w:right w:val="none" w:sz="0" w:space="0" w:color="auto"/>
      </w:divBdr>
    </w:div>
    <w:div w:id="546643950">
      <w:bodyDiv w:val="1"/>
      <w:marLeft w:val="0"/>
      <w:marRight w:val="0"/>
      <w:marTop w:val="0"/>
      <w:marBottom w:val="0"/>
      <w:divBdr>
        <w:top w:val="none" w:sz="0" w:space="0" w:color="auto"/>
        <w:left w:val="none" w:sz="0" w:space="0" w:color="auto"/>
        <w:bottom w:val="none" w:sz="0" w:space="0" w:color="auto"/>
        <w:right w:val="none" w:sz="0" w:space="0" w:color="auto"/>
      </w:divBdr>
    </w:div>
    <w:div w:id="863976144">
      <w:bodyDiv w:val="1"/>
      <w:marLeft w:val="0"/>
      <w:marRight w:val="0"/>
      <w:marTop w:val="0"/>
      <w:marBottom w:val="0"/>
      <w:divBdr>
        <w:top w:val="none" w:sz="0" w:space="0" w:color="auto"/>
        <w:left w:val="none" w:sz="0" w:space="0" w:color="auto"/>
        <w:bottom w:val="none" w:sz="0" w:space="0" w:color="auto"/>
        <w:right w:val="none" w:sz="0" w:space="0" w:color="auto"/>
      </w:divBdr>
    </w:div>
    <w:div w:id="962886640">
      <w:bodyDiv w:val="1"/>
      <w:marLeft w:val="0"/>
      <w:marRight w:val="0"/>
      <w:marTop w:val="0"/>
      <w:marBottom w:val="0"/>
      <w:divBdr>
        <w:top w:val="none" w:sz="0" w:space="0" w:color="auto"/>
        <w:left w:val="none" w:sz="0" w:space="0" w:color="auto"/>
        <w:bottom w:val="none" w:sz="0" w:space="0" w:color="auto"/>
        <w:right w:val="none" w:sz="0" w:space="0" w:color="auto"/>
      </w:divBdr>
    </w:div>
    <w:div w:id="1351369236">
      <w:bodyDiv w:val="1"/>
      <w:marLeft w:val="0"/>
      <w:marRight w:val="0"/>
      <w:marTop w:val="0"/>
      <w:marBottom w:val="0"/>
      <w:divBdr>
        <w:top w:val="none" w:sz="0" w:space="0" w:color="auto"/>
        <w:left w:val="none" w:sz="0" w:space="0" w:color="auto"/>
        <w:bottom w:val="none" w:sz="0" w:space="0" w:color="auto"/>
        <w:right w:val="none" w:sz="0" w:space="0" w:color="auto"/>
      </w:divBdr>
    </w:div>
    <w:div w:id="1662805807">
      <w:bodyDiv w:val="1"/>
      <w:marLeft w:val="0"/>
      <w:marRight w:val="0"/>
      <w:marTop w:val="0"/>
      <w:marBottom w:val="0"/>
      <w:divBdr>
        <w:top w:val="none" w:sz="0" w:space="0" w:color="auto"/>
        <w:left w:val="none" w:sz="0" w:space="0" w:color="auto"/>
        <w:bottom w:val="none" w:sz="0" w:space="0" w:color="auto"/>
        <w:right w:val="none" w:sz="0" w:space="0" w:color="auto"/>
      </w:divBdr>
    </w:div>
    <w:div w:id="1814179622">
      <w:bodyDiv w:val="1"/>
      <w:marLeft w:val="0"/>
      <w:marRight w:val="0"/>
      <w:marTop w:val="0"/>
      <w:marBottom w:val="0"/>
      <w:divBdr>
        <w:top w:val="none" w:sz="0" w:space="0" w:color="auto"/>
        <w:left w:val="none" w:sz="0" w:space="0" w:color="auto"/>
        <w:bottom w:val="none" w:sz="0" w:space="0" w:color="auto"/>
        <w:right w:val="none" w:sz="0" w:space="0" w:color="auto"/>
      </w:divBdr>
    </w:div>
    <w:div w:id="21048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34E1B-55F3-4BBD-BC6A-5A38C7E2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3400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Lisa Kriegl</cp:lastModifiedBy>
  <cp:revision>4</cp:revision>
  <dcterms:created xsi:type="dcterms:W3CDTF">2025-04-27T08:30:00Z</dcterms:created>
  <dcterms:modified xsi:type="dcterms:W3CDTF">2025-04-27T08:31:00Z</dcterms:modified>
</cp:coreProperties>
</file>