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335E8440" w:rsidR="007F1E21" w:rsidRPr="00DC7D3A" w:rsidRDefault="00983C1F">
      <w:pPr>
        <w:rPr>
          <w:rFonts w:cstheme="minorHAnsi"/>
        </w:rPr>
      </w:pPr>
      <w:r w:rsidRPr="00DC7D3A">
        <w:rPr>
          <w:rFonts w:cstheme="minorHAnsi"/>
          <w:b/>
          <w:bCs/>
        </w:rPr>
        <w:t>Ob</w:t>
      </w:r>
      <w:r w:rsidR="00996CD7" w:rsidRPr="00DC7D3A">
        <w:rPr>
          <w:rFonts w:cstheme="minorHAnsi"/>
          <w:b/>
          <w:bCs/>
        </w:rPr>
        <w:t>jectives</w:t>
      </w:r>
      <w:r w:rsidR="00996CD7" w:rsidRPr="00DC7D3A">
        <w:rPr>
          <w:rFonts w:cstheme="minorHAnsi"/>
        </w:rPr>
        <w:t>:</w:t>
      </w:r>
    </w:p>
    <w:p w14:paraId="38DE1FC6" w14:textId="2C93F242" w:rsidR="00C12AE3" w:rsidRPr="00C12AE3" w:rsidRDefault="00C12AE3" w:rsidP="00D32533">
      <w:pPr>
        <w:rPr>
          <w:rFonts w:cstheme="minorHAnsi"/>
        </w:rPr>
      </w:pPr>
      <w:r w:rsidRPr="00C12AE3">
        <w:rPr>
          <w:rFonts w:cstheme="minorHAnsi"/>
          <w:i/>
          <w:iCs/>
        </w:rPr>
        <w:t>Candidozyma auris</w:t>
      </w:r>
      <w:r w:rsidRPr="00C12AE3">
        <w:rPr>
          <w:rFonts w:cstheme="minorHAnsi"/>
        </w:rPr>
        <w:t xml:space="preserve"> has emerged as a significant global health concern due to its persistence in healthcare environments and its high level of resistance to antifungal agents, particularly azoles. One key mechanism underlying azole resistance is the overexpression of </w:t>
      </w:r>
      <w:r w:rsidRPr="00C12AE3">
        <w:rPr>
          <w:rFonts w:cstheme="minorHAnsi"/>
          <w:i/>
          <w:iCs/>
        </w:rPr>
        <w:t>CDR1</w:t>
      </w:r>
      <w:r w:rsidRPr="00C12AE3">
        <w:rPr>
          <w:rFonts w:cstheme="minorHAnsi"/>
        </w:rPr>
        <w:t xml:space="preserve">, an ATP-binding cassette (ABC) transporter gene. Gain-of-function mutations in </w:t>
      </w:r>
      <w:r w:rsidRPr="00C12AE3">
        <w:rPr>
          <w:rFonts w:cstheme="minorHAnsi"/>
          <w:i/>
          <w:iCs/>
        </w:rPr>
        <w:t>TAC1b</w:t>
      </w:r>
      <w:r w:rsidRPr="00C12AE3">
        <w:rPr>
          <w:rFonts w:cstheme="minorHAnsi"/>
        </w:rPr>
        <w:t xml:space="preserve">, which encodes a zinc cluster transcription factor, are also implicated in mediating azole resistance. However, the regulatory relationship between </w:t>
      </w:r>
      <w:r w:rsidRPr="00C12AE3">
        <w:rPr>
          <w:rFonts w:cstheme="minorHAnsi"/>
          <w:i/>
          <w:iCs/>
        </w:rPr>
        <w:t>TAC1b</w:t>
      </w:r>
      <w:r w:rsidRPr="00C12AE3">
        <w:rPr>
          <w:rFonts w:cstheme="minorHAnsi"/>
        </w:rPr>
        <w:t xml:space="preserve"> and </w:t>
      </w:r>
      <w:r w:rsidRPr="00C12AE3">
        <w:rPr>
          <w:rFonts w:cstheme="minorHAnsi"/>
          <w:i/>
          <w:iCs/>
        </w:rPr>
        <w:t>CDR1</w:t>
      </w:r>
      <w:r w:rsidRPr="00C12AE3">
        <w:rPr>
          <w:rFonts w:cstheme="minorHAnsi"/>
        </w:rPr>
        <w:t xml:space="preserve"> remains poorly understood. We </w:t>
      </w:r>
      <w:r w:rsidR="00B37D97">
        <w:rPr>
          <w:rFonts w:cstheme="minorHAnsi"/>
        </w:rPr>
        <w:t>recently</w:t>
      </w:r>
      <w:r w:rsidR="00B37D97" w:rsidRPr="00C12AE3">
        <w:rPr>
          <w:rFonts w:cstheme="minorHAnsi"/>
        </w:rPr>
        <w:t xml:space="preserve"> </w:t>
      </w:r>
      <w:r w:rsidRPr="00C12AE3">
        <w:rPr>
          <w:rFonts w:cstheme="minorHAnsi"/>
        </w:rPr>
        <w:t>developed an</w:t>
      </w:r>
      <w:r w:rsidRPr="00C12AE3">
        <w:rPr>
          <w:rFonts w:cstheme="minorHAnsi"/>
          <w:i/>
          <w:iCs/>
        </w:rPr>
        <w:t xml:space="preserve"> in vitro</w:t>
      </w:r>
      <w:r w:rsidRPr="00C12AE3">
        <w:rPr>
          <w:rFonts w:cstheme="minorHAnsi"/>
        </w:rPr>
        <w:t xml:space="preserve"> minichromosome isolation technique in </w:t>
      </w:r>
      <w:r w:rsidRPr="00C12AE3">
        <w:rPr>
          <w:rFonts w:cstheme="minorHAnsi"/>
          <w:i/>
          <w:iCs/>
        </w:rPr>
        <w:t>Saccharomyces cerevisiae</w:t>
      </w:r>
      <w:r w:rsidRPr="00C12AE3">
        <w:rPr>
          <w:rFonts w:cstheme="minorHAnsi"/>
        </w:rPr>
        <w:t xml:space="preserve"> to study proteins associated with specific promoters and successfully demonstrated its utility in identifying regulators of </w:t>
      </w:r>
      <w:r w:rsidRPr="00C12AE3">
        <w:rPr>
          <w:rFonts w:cstheme="minorHAnsi"/>
          <w:i/>
          <w:iCs/>
        </w:rPr>
        <w:t>PDR5</w:t>
      </w:r>
      <w:r w:rsidRPr="00C12AE3">
        <w:rPr>
          <w:rFonts w:cstheme="minorHAnsi"/>
        </w:rPr>
        <w:t xml:space="preserve">, a homolog of </w:t>
      </w:r>
      <w:r w:rsidRPr="00C12AE3">
        <w:rPr>
          <w:rFonts w:cstheme="minorHAnsi"/>
          <w:i/>
          <w:iCs/>
        </w:rPr>
        <w:t>CDR1</w:t>
      </w:r>
      <w:r w:rsidRPr="00C12AE3">
        <w:rPr>
          <w:rFonts w:cstheme="minorHAnsi"/>
        </w:rPr>
        <w:t xml:space="preserve">. In this study, we aimed to adapt this technique to investigate transcription factors associated with the </w:t>
      </w:r>
      <w:r w:rsidRPr="00C12AE3">
        <w:rPr>
          <w:rFonts w:cstheme="minorHAnsi"/>
          <w:i/>
          <w:iCs/>
        </w:rPr>
        <w:t>C. auris CDR1</w:t>
      </w:r>
      <w:r w:rsidRPr="00C12AE3">
        <w:rPr>
          <w:rFonts w:cstheme="minorHAnsi"/>
        </w:rPr>
        <w:t xml:space="preserve"> promoter.</w:t>
      </w:r>
    </w:p>
    <w:p w14:paraId="5B44CAD0" w14:textId="77777777" w:rsidR="00996CD7" w:rsidRPr="00DC7D3A" w:rsidRDefault="00996CD7" w:rsidP="00D32533">
      <w:pPr>
        <w:rPr>
          <w:rFonts w:cstheme="minorHAnsi"/>
          <w:b/>
          <w:bCs/>
        </w:rPr>
      </w:pPr>
      <w:r w:rsidRPr="00DC7D3A">
        <w:rPr>
          <w:rFonts w:cstheme="minorHAnsi"/>
          <w:b/>
          <w:bCs/>
        </w:rPr>
        <w:t>Materials &amp; Methods:</w:t>
      </w:r>
    </w:p>
    <w:p w14:paraId="3F472F64" w14:textId="2D102396" w:rsidR="00C12AE3" w:rsidRDefault="00C12AE3" w:rsidP="00D32533">
      <w:pPr>
        <w:rPr>
          <w:rFonts w:cstheme="minorHAnsi"/>
        </w:rPr>
      </w:pPr>
      <w:r>
        <w:t xml:space="preserve">We </w:t>
      </w:r>
      <w:r w:rsidR="00377ECF">
        <w:t xml:space="preserve">successfully developled </w:t>
      </w:r>
      <w:r>
        <w:rPr>
          <w:rStyle w:val="Emphasis"/>
        </w:rPr>
        <w:t>in vitro</w:t>
      </w:r>
      <w:r>
        <w:t xml:space="preserve"> minichromosome isolation combined with proteomic analysis to identify transcription factors binding to the </w:t>
      </w:r>
      <w:r w:rsidRPr="00E75A75">
        <w:rPr>
          <w:i/>
          <w:iCs/>
        </w:rPr>
        <w:t>CDR1</w:t>
      </w:r>
      <w:r>
        <w:t xml:space="preserve"> promoter in </w:t>
      </w:r>
      <w:r>
        <w:rPr>
          <w:rStyle w:val="Emphasis"/>
        </w:rPr>
        <w:t>C. auris</w:t>
      </w:r>
      <w:r w:rsidR="00377ECF">
        <w:t xml:space="preserve"> as follows.</w:t>
      </w:r>
      <w:r>
        <w:t xml:space="preserve"> </w:t>
      </w:r>
      <w:r w:rsidR="00377ECF">
        <w:t>Frist, t</w:t>
      </w:r>
      <w:r>
        <w:t xml:space="preserve">wo clade I strains—CDC-0387 (azole-susceptible) and CDC-0390 (azole-resistant)—were transformed with DNA cassettes expressing LacI-V5. Whole-cell lysates from transformed </w:t>
      </w:r>
      <w:r>
        <w:rPr>
          <w:rStyle w:val="Emphasis"/>
        </w:rPr>
        <w:t>C. auris</w:t>
      </w:r>
      <w:r>
        <w:t xml:space="preserve"> were</w:t>
      </w:r>
      <w:r w:rsidR="00377ECF">
        <w:t xml:space="preserve"> then</w:t>
      </w:r>
      <w:r>
        <w:t xml:space="preserve"> incubated with a plasmid containing the </w:t>
      </w:r>
      <w:r w:rsidRPr="00C12AE3">
        <w:rPr>
          <w:i/>
          <w:iCs/>
        </w:rPr>
        <w:t>CDR1</w:t>
      </w:r>
      <w:r>
        <w:t xml:space="preserve"> promoter and eight lactose operator repeats (8×</w:t>
      </w:r>
      <w:r w:rsidRPr="00C12AE3">
        <w:rPr>
          <w:i/>
          <w:iCs/>
        </w:rPr>
        <w:t>lacO</w:t>
      </w:r>
      <w:r>
        <w:t>).</w:t>
      </w:r>
      <w:r w:rsidR="00BC1AD6">
        <w:t xml:space="preserve"> </w:t>
      </w:r>
      <w:r>
        <w:t>LacI-V5 binds to</w:t>
      </w:r>
      <w:r w:rsidR="00377ECF">
        <w:t xml:space="preserve"> those</w:t>
      </w:r>
      <w:r>
        <w:t xml:space="preserve"> </w:t>
      </w:r>
      <w:r w:rsidRPr="00C12AE3">
        <w:rPr>
          <w:i/>
          <w:iCs/>
        </w:rPr>
        <w:t>lacO</w:t>
      </w:r>
      <w:r>
        <w:t xml:space="preserve"> sites,</w:t>
      </w:r>
      <w:r w:rsidR="00377ECF">
        <w:t xml:space="preserve"> and proteins in the lysate assemble on the plasmid, f</w:t>
      </w:r>
      <w:r w:rsidR="00BC1AD6">
        <w:t>or</w:t>
      </w:r>
      <w:r w:rsidR="00377ECF">
        <w:t>ming</w:t>
      </w:r>
      <w:r w:rsidR="00BC1AD6">
        <w:t xml:space="preserve"> minichromosomes </w:t>
      </w:r>
      <w:r w:rsidR="00BC1AD6" w:rsidRPr="00E75A75">
        <w:rPr>
          <w:i/>
          <w:iCs/>
        </w:rPr>
        <w:t>in vitro</w:t>
      </w:r>
      <w:r w:rsidR="00BC1AD6">
        <w:t>.</w:t>
      </w:r>
      <w:r w:rsidR="00377ECF">
        <w:t xml:space="preserve"> </w:t>
      </w:r>
      <w:r w:rsidR="00BC1AD6">
        <w:t>Minichromosomes were then immunoprecipiated</w:t>
      </w:r>
      <w:r>
        <w:t xml:space="preserve"> using anti-V5 antibod</w:t>
      </w:r>
      <w:r w:rsidR="00BC1AD6">
        <w:t>y</w:t>
      </w:r>
      <w:r>
        <w:t xml:space="preserve">, and </w:t>
      </w:r>
      <w:r w:rsidR="00BC1AD6">
        <w:t xml:space="preserve">proteins on minichromosomes were finally </w:t>
      </w:r>
      <w:r>
        <w:t>identified by LC-MS/MS. Candidate transcription factors were further investigated by generating gene deletion mutants using the CRISPR-Cas9 system. The impact on gene expression was evaluated by RT-qPCR and RNA-seq.</w:t>
      </w:r>
    </w:p>
    <w:p w14:paraId="56F43E08" w14:textId="77777777" w:rsidR="00996CD7" w:rsidRPr="00DC7D3A" w:rsidRDefault="00996CD7" w:rsidP="00D32533">
      <w:pPr>
        <w:rPr>
          <w:rFonts w:cstheme="minorHAnsi"/>
        </w:rPr>
      </w:pPr>
      <w:r w:rsidRPr="00DC7D3A">
        <w:rPr>
          <w:rFonts w:cstheme="minorHAnsi"/>
          <w:b/>
          <w:bCs/>
        </w:rPr>
        <w:t>Results</w:t>
      </w:r>
      <w:r w:rsidRPr="00DC7D3A">
        <w:rPr>
          <w:rFonts w:cstheme="minorHAnsi"/>
        </w:rPr>
        <w:t>:</w:t>
      </w:r>
    </w:p>
    <w:p w14:paraId="4B707B48" w14:textId="2111ED64" w:rsidR="00E706A6" w:rsidRPr="00E706A6" w:rsidRDefault="00E706A6" w:rsidP="00D32533">
      <w:pPr>
        <w:rPr>
          <w:rFonts w:cstheme="minorHAnsi"/>
        </w:rPr>
      </w:pPr>
      <w:r w:rsidRPr="00E706A6">
        <w:t>Seven transcription factors—</w:t>
      </w:r>
      <w:r w:rsidRPr="00E706A6">
        <w:rPr>
          <w:rStyle w:val="Strong"/>
          <w:b w:val="0"/>
          <w:bCs w:val="0"/>
        </w:rPr>
        <w:t>Tac1a</w:t>
      </w:r>
      <w:r w:rsidRPr="00E706A6">
        <w:rPr>
          <w:b/>
          <w:bCs/>
        </w:rPr>
        <w:t xml:space="preserve">, </w:t>
      </w:r>
      <w:r w:rsidRPr="00E706A6">
        <w:rPr>
          <w:rStyle w:val="Strong"/>
          <w:b w:val="0"/>
          <w:bCs w:val="0"/>
        </w:rPr>
        <w:t>Tac1b</w:t>
      </w:r>
      <w:r w:rsidRPr="00E706A6">
        <w:rPr>
          <w:b/>
          <w:bCs/>
        </w:rPr>
        <w:t xml:space="preserve">, </w:t>
      </w:r>
      <w:r w:rsidRPr="00E706A6">
        <w:rPr>
          <w:rStyle w:val="Strong"/>
          <w:b w:val="0"/>
          <w:bCs w:val="0"/>
        </w:rPr>
        <w:t>Mrr1-like (B9J08_005155)</w:t>
      </w:r>
      <w:r w:rsidRPr="00E706A6">
        <w:rPr>
          <w:b/>
          <w:bCs/>
        </w:rPr>
        <w:t xml:space="preserve">, </w:t>
      </w:r>
      <w:r w:rsidRPr="00E706A6">
        <w:rPr>
          <w:rStyle w:val="Strong"/>
          <w:b w:val="0"/>
          <w:bCs w:val="0"/>
        </w:rPr>
        <w:t>Cwt1 (B9J08_005107)</w:t>
      </w:r>
      <w:r w:rsidRPr="00E706A6">
        <w:rPr>
          <w:b/>
          <w:bCs/>
        </w:rPr>
        <w:t xml:space="preserve">, </w:t>
      </w:r>
      <w:r w:rsidRPr="00E706A6">
        <w:rPr>
          <w:rStyle w:val="Strong"/>
          <w:b w:val="0"/>
          <w:bCs w:val="0"/>
        </w:rPr>
        <w:t>Zcf11 (B9J08_000348)</w:t>
      </w:r>
      <w:r w:rsidRPr="00E706A6">
        <w:rPr>
          <w:b/>
          <w:bCs/>
        </w:rPr>
        <w:t xml:space="preserve">, </w:t>
      </w:r>
      <w:r w:rsidRPr="00E706A6">
        <w:rPr>
          <w:rStyle w:val="Strong"/>
          <w:b w:val="0"/>
          <w:bCs w:val="0"/>
        </w:rPr>
        <w:t>Fgr15 (B9J08_001289)</w:t>
      </w:r>
      <w:r w:rsidRPr="00E706A6">
        <w:t>,</w:t>
      </w:r>
      <w:r w:rsidRPr="00E706A6">
        <w:rPr>
          <w:b/>
          <w:bCs/>
        </w:rPr>
        <w:t xml:space="preserve"> </w:t>
      </w:r>
      <w:r w:rsidRPr="00E706A6">
        <w:t xml:space="preserve">and </w:t>
      </w:r>
      <w:r w:rsidRPr="00E706A6">
        <w:rPr>
          <w:rStyle w:val="Strong"/>
          <w:b w:val="0"/>
          <w:bCs w:val="0"/>
        </w:rPr>
        <w:t>Mig1 (B9J08_002219)</w:t>
      </w:r>
      <w:r w:rsidRPr="00E706A6">
        <w:rPr>
          <w:b/>
          <w:bCs/>
        </w:rPr>
        <w:t>—</w:t>
      </w:r>
      <w:r w:rsidRPr="00E706A6">
        <w:t xml:space="preserve">were identified as binding to the </w:t>
      </w:r>
      <w:r w:rsidRPr="00E706A6">
        <w:rPr>
          <w:i/>
          <w:iCs/>
        </w:rPr>
        <w:t>CDR1</w:t>
      </w:r>
      <w:r w:rsidRPr="00E706A6">
        <w:t xml:space="preserve"> promoter. Deletion mutants were successfully generated for </w:t>
      </w:r>
      <w:r w:rsidRPr="00E706A6">
        <w:rPr>
          <w:rStyle w:val="Strong"/>
          <w:b w:val="0"/>
          <w:bCs w:val="0"/>
          <w:i/>
          <w:iCs/>
        </w:rPr>
        <w:t>TAC1a</w:t>
      </w:r>
      <w:r w:rsidRPr="00E706A6">
        <w:rPr>
          <w:b/>
          <w:bCs/>
          <w:i/>
          <w:iCs/>
        </w:rPr>
        <w:t xml:space="preserve">, </w:t>
      </w:r>
      <w:r w:rsidRPr="00E706A6">
        <w:rPr>
          <w:rStyle w:val="Strong"/>
          <w:b w:val="0"/>
          <w:bCs w:val="0"/>
          <w:i/>
          <w:iCs/>
        </w:rPr>
        <w:t>TAC1b</w:t>
      </w:r>
      <w:r w:rsidRPr="00E706A6">
        <w:rPr>
          <w:b/>
          <w:bCs/>
          <w:i/>
          <w:iCs/>
        </w:rPr>
        <w:t xml:space="preserve">, </w:t>
      </w:r>
      <w:r w:rsidRPr="00E706A6">
        <w:rPr>
          <w:rStyle w:val="Strong"/>
          <w:b w:val="0"/>
          <w:bCs w:val="0"/>
          <w:i/>
          <w:iCs/>
        </w:rPr>
        <w:t>MRR1-L</w:t>
      </w:r>
      <w:r w:rsidRPr="00E706A6">
        <w:rPr>
          <w:b/>
          <w:bCs/>
          <w:i/>
          <w:iCs/>
        </w:rPr>
        <w:t>,</w:t>
      </w:r>
      <w:r w:rsidRPr="00E706A6">
        <w:t xml:space="preserve"> and </w:t>
      </w:r>
      <w:r w:rsidRPr="00E706A6">
        <w:rPr>
          <w:rStyle w:val="Strong"/>
          <w:b w:val="0"/>
          <w:bCs w:val="0"/>
          <w:i/>
          <w:iCs/>
        </w:rPr>
        <w:t>CWT1</w:t>
      </w:r>
      <w:r w:rsidRPr="00E706A6">
        <w:t xml:space="preserve">. Interestingly, deletion of </w:t>
      </w:r>
      <w:r w:rsidRPr="00E706A6">
        <w:rPr>
          <w:rStyle w:val="Strong"/>
          <w:b w:val="0"/>
          <w:bCs w:val="0"/>
          <w:i/>
          <w:iCs/>
        </w:rPr>
        <w:t>TAC1b</w:t>
      </w:r>
      <w:r w:rsidRPr="00E706A6">
        <w:t xml:space="preserve"> </w:t>
      </w:r>
      <w:r w:rsidR="007D00AB">
        <w:t xml:space="preserve">from CDC-0387 </w:t>
      </w:r>
      <w:r w:rsidRPr="00E706A6">
        <w:t xml:space="preserve">led to a significant increase in </w:t>
      </w:r>
      <w:r w:rsidRPr="00E706A6">
        <w:rPr>
          <w:rStyle w:val="Strong"/>
          <w:b w:val="0"/>
          <w:bCs w:val="0"/>
          <w:i/>
          <w:iCs/>
        </w:rPr>
        <w:t>CDR1</w:t>
      </w:r>
      <w:r w:rsidRPr="00E706A6">
        <w:rPr>
          <w:b/>
          <w:bCs/>
          <w:i/>
          <w:iCs/>
        </w:rPr>
        <w:t xml:space="preserve"> </w:t>
      </w:r>
      <w:r w:rsidRPr="00E706A6">
        <w:t xml:space="preserve">expression, while deletion of </w:t>
      </w:r>
      <w:r w:rsidRPr="00E75A75">
        <w:rPr>
          <w:rStyle w:val="Strong"/>
          <w:b w:val="0"/>
          <w:bCs w:val="0"/>
          <w:i/>
          <w:iCs/>
        </w:rPr>
        <w:t>TAC1b</w:t>
      </w:r>
      <w:r w:rsidR="00BC1AD6">
        <w:rPr>
          <w:rStyle w:val="Strong"/>
          <w:b w:val="0"/>
          <w:bCs w:val="0"/>
          <w:i/>
          <w:iCs/>
        </w:rPr>
        <w:t>-A640V</w:t>
      </w:r>
      <w:r w:rsidRPr="00E706A6">
        <w:t xml:space="preserve"> allele</w:t>
      </w:r>
      <w:r w:rsidR="00B37D97">
        <w:t xml:space="preserve"> from CDC-0390</w:t>
      </w:r>
      <w:r w:rsidRPr="00E706A6">
        <w:t xml:space="preserve"> led to decreased </w:t>
      </w:r>
      <w:r w:rsidRPr="00E706A6">
        <w:rPr>
          <w:rStyle w:val="Strong"/>
          <w:b w:val="0"/>
          <w:bCs w:val="0"/>
          <w:i/>
          <w:iCs/>
        </w:rPr>
        <w:t>CDR1</w:t>
      </w:r>
      <w:r w:rsidRPr="00E706A6">
        <w:t xml:space="preserve"> expression. These findings suggest that Tac1b can function as both a repressor and an activator of </w:t>
      </w:r>
      <w:r w:rsidRPr="00E706A6">
        <w:rPr>
          <w:i/>
          <w:iCs/>
        </w:rPr>
        <w:t>CDR1</w:t>
      </w:r>
      <w:r w:rsidRPr="00E706A6">
        <w:t xml:space="preserve"> expression in </w:t>
      </w:r>
      <w:r w:rsidRPr="00E706A6">
        <w:rPr>
          <w:rStyle w:val="Emphasis"/>
        </w:rPr>
        <w:t>C. auris</w:t>
      </w:r>
      <w:r w:rsidRPr="00E706A6">
        <w:t>. Tac1a and Cwt1 exhibited minor regulatory effects</w:t>
      </w:r>
      <w:r w:rsidR="00B836DF">
        <w:t xml:space="preserve"> on </w:t>
      </w:r>
      <w:r w:rsidR="00B37D97" w:rsidRPr="00E75A75">
        <w:rPr>
          <w:i/>
          <w:iCs/>
        </w:rPr>
        <w:t>CDR1</w:t>
      </w:r>
      <w:r w:rsidR="00B37D97">
        <w:t xml:space="preserve"> expression</w:t>
      </w:r>
      <w:r w:rsidRPr="00E706A6">
        <w:t>, while Mrr1-like had no discernible impact</w:t>
      </w:r>
      <w:r w:rsidR="00B37D97">
        <w:t xml:space="preserve"> on it</w:t>
      </w:r>
      <w:r w:rsidRPr="00E706A6">
        <w:t>. Furthermore,</w:t>
      </w:r>
      <w:r w:rsidR="007D00AB">
        <w:t xml:space="preserve"> deletion of </w:t>
      </w:r>
      <w:r w:rsidR="007D00AB" w:rsidRPr="00E75A75">
        <w:rPr>
          <w:i/>
          <w:iCs/>
        </w:rPr>
        <w:t>TAC1b-A640V</w:t>
      </w:r>
      <w:r w:rsidRPr="00E706A6">
        <w:t xml:space="preserve"> </w:t>
      </w:r>
      <w:r w:rsidR="007D00AB">
        <w:t xml:space="preserve">caused </w:t>
      </w:r>
      <w:r w:rsidRPr="00E706A6">
        <w:t xml:space="preserve">significant downregulation of </w:t>
      </w:r>
      <w:r w:rsidR="007D00AB">
        <w:t xml:space="preserve">expression of </w:t>
      </w:r>
      <w:r w:rsidRPr="00E706A6">
        <w:rPr>
          <w:rStyle w:val="Strong"/>
          <w:b w:val="0"/>
          <w:bCs w:val="0"/>
          <w:i/>
          <w:iCs/>
        </w:rPr>
        <w:t>MDR1</w:t>
      </w:r>
      <w:r w:rsidRPr="00E706A6">
        <w:t>, a gene encoding a major facilitator superfamily (MFS) transporter.</w:t>
      </w:r>
    </w:p>
    <w:p w14:paraId="39F156DA" w14:textId="77777777" w:rsidR="00996CD7" w:rsidRPr="00DC7D3A" w:rsidRDefault="00996CD7" w:rsidP="00D32533">
      <w:pPr>
        <w:rPr>
          <w:rFonts w:cstheme="minorHAnsi"/>
        </w:rPr>
      </w:pPr>
      <w:r w:rsidRPr="00DC7D3A">
        <w:rPr>
          <w:rFonts w:cstheme="minorHAnsi"/>
          <w:b/>
          <w:bCs/>
        </w:rPr>
        <w:t>Conclusions</w:t>
      </w:r>
      <w:r w:rsidRPr="00DC7D3A">
        <w:rPr>
          <w:rFonts w:cstheme="minorHAnsi"/>
        </w:rPr>
        <w:t>:</w:t>
      </w:r>
    </w:p>
    <w:p w14:paraId="13D01230" w14:textId="19E5E441" w:rsidR="00996CD7" w:rsidRPr="00C12AE3" w:rsidRDefault="00C12AE3">
      <w:pPr>
        <w:rPr>
          <w:rFonts w:cstheme="minorHAnsi"/>
        </w:rPr>
      </w:pPr>
      <w:r>
        <w:t xml:space="preserve">Our study demonstrates that </w:t>
      </w:r>
      <w:r>
        <w:rPr>
          <w:rStyle w:val="Emphasis"/>
        </w:rPr>
        <w:t>in vitro</w:t>
      </w:r>
      <w:r>
        <w:t xml:space="preserve"> minichromosome isolation is an effective method for identifying transcription factors binding to the </w:t>
      </w:r>
      <w:r w:rsidRPr="00C12AE3">
        <w:rPr>
          <w:rStyle w:val="Strong"/>
          <w:b w:val="0"/>
          <w:bCs w:val="0"/>
          <w:i/>
          <w:iCs/>
        </w:rPr>
        <w:t>CDR1</w:t>
      </w:r>
      <w:r>
        <w:t xml:space="preserve"> promoter in </w:t>
      </w:r>
      <w:r>
        <w:rPr>
          <w:rStyle w:val="Emphasis"/>
        </w:rPr>
        <w:t>C. auris</w:t>
      </w:r>
      <w:r>
        <w:t xml:space="preserve">. We identified key regulators, particularly </w:t>
      </w:r>
      <w:r w:rsidRPr="00C12AE3">
        <w:rPr>
          <w:rStyle w:val="Strong"/>
          <w:b w:val="0"/>
          <w:bCs w:val="0"/>
        </w:rPr>
        <w:t>Tac1b</w:t>
      </w:r>
      <w:r>
        <w:t xml:space="preserve">, whose dual regulatory role in </w:t>
      </w:r>
      <w:r w:rsidRPr="00C12AE3">
        <w:rPr>
          <w:i/>
          <w:iCs/>
        </w:rPr>
        <w:t>CDR1</w:t>
      </w:r>
      <w:r>
        <w:t xml:space="preserve"> expression offers new insights into the transcriptional control of azole resistance. Further studies are warranted to elucidate the broader regulatory network and functional mechanisms underlying antifungal resistance in </w:t>
      </w:r>
      <w:r>
        <w:rPr>
          <w:rStyle w:val="Emphasis"/>
        </w:rPr>
        <w:t>C. auris</w:t>
      </w:r>
      <w:r>
        <w:t>.</w:t>
      </w:r>
    </w:p>
    <w:sectPr w:rsidR="00996CD7" w:rsidRPr="00C12AE3"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377ECF"/>
    <w:rsid w:val="00467FAF"/>
    <w:rsid w:val="004C31C3"/>
    <w:rsid w:val="004D51BF"/>
    <w:rsid w:val="004E7667"/>
    <w:rsid w:val="00517165"/>
    <w:rsid w:val="005B610D"/>
    <w:rsid w:val="006079D2"/>
    <w:rsid w:val="006C2EE9"/>
    <w:rsid w:val="006C3983"/>
    <w:rsid w:val="006E1CAA"/>
    <w:rsid w:val="007D00AB"/>
    <w:rsid w:val="007F1E21"/>
    <w:rsid w:val="0084097F"/>
    <w:rsid w:val="00941021"/>
    <w:rsid w:val="00983C1F"/>
    <w:rsid w:val="00993BBD"/>
    <w:rsid w:val="00996CD7"/>
    <w:rsid w:val="00A13F0A"/>
    <w:rsid w:val="00A9154C"/>
    <w:rsid w:val="00B37D97"/>
    <w:rsid w:val="00B836DF"/>
    <w:rsid w:val="00BC1AD6"/>
    <w:rsid w:val="00BC3C7B"/>
    <w:rsid w:val="00C00F9F"/>
    <w:rsid w:val="00C12AE3"/>
    <w:rsid w:val="00C3230B"/>
    <w:rsid w:val="00CA78D8"/>
    <w:rsid w:val="00CC4E19"/>
    <w:rsid w:val="00D26EAE"/>
    <w:rsid w:val="00D32533"/>
    <w:rsid w:val="00D624E5"/>
    <w:rsid w:val="00DC7D3A"/>
    <w:rsid w:val="00E706A6"/>
    <w:rsid w:val="00E75A75"/>
    <w:rsid w:val="00ED2442"/>
  </w:rsids>
  <m:mathPr>
    <m:mathFont m:val="Cambria Math"/>
    <m:brkBin m:val="before"/>
    <m:brkBinSub m:val="--"/>
    <m:smallFrac m:val="0"/>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DC7D3A"/>
    <w:pPr>
      <w:spacing w:before="100" w:beforeAutospacing="1" w:after="100" w:afterAutospacing="1" w:line="240" w:lineRule="auto"/>
    </w:pPr>
    <w:rPr>
      <w:rFonts w:ascii="Times New Roman" w:eastAsia="Times New Roman" w:hAnsi="Times New Roman" w:cs="Times New Roman"/>
      <w:noProof w:val="0"/>
      <w:sz w:val="24"/>
      <w:szCs w:val="24"/>
      <w:lang w:eastAsia="en-GB" w:bidi="th-TH"/>
    </w:rPr>
  </w:style>
  <w:style w:type="character" w:customStyle="1" w:styleId="cf01">
    <w:name w:val="cf01"/>
    <w:basedOn w:val="DefaultParagraphFont"/>
    <w:rsid w:val="00DC7D3A"/>
    <w:rPr>
      <w:rFonts w:ascii="Segoe UI" w:hAnsi="Segoe UI" w:cs="Segoe UI" w:hint="default"/>
      <w:sz w:val="18"/>
      <w:szCs w:val="18"/>
    </w:rPr>
  </w:style>
  <w:style w:type="character" w:styleId="Emphasis">
    <w:name w:val="Emphasis"/>
    <w:basedOn w:val="DefaultParagraphFont"/>
    <w:uiPriority w:val="20"/>
    <w:qFormat/>
    <w:rsid w:val="00C12AE3"/>
    <w:rPr>
      <w:i/>
      <w:iCs/>
    </w:rPr>
  </w:style>
  <w:style w:type="character" w:styleId="Strong">
    <w:name w:val="Strong"/>
    <w:basedOn w:val="DefaultParagraphFont"/>
    <w:uiPriority w:val="22"/>
    <w:qFormat/>
    <w:rsid w:val="00C12AE3"/>
    <w:rPr>
      <w:b/>
      <w:bCs/>
    </w:rPr>
  </w:style>
  <w:style w:type="paragraph" w:styleId="Revision">
    <w:name w:val="Revision"/>
    <w:hidden/>
    <w:uiPriority w:val="99"/>
    <w:semiHidden/>
    <w:rsid w:val="00B836DF"/>
    <w:pPr>
      <w:spacing w:after="0" w:line="240" w:lineRule="auto"/>
    </w:pPr>
    <w:rPr>
      <w:noProof/>
      <w:lang w:val="en-GB"/>
    </w:rPr>
  </w:style>
  <w:style w:type="character" w:styleId="CommentReference">
    <w:name w:val="annotation reference"/>
    <w:basedOn w:val="DefaultParagraphFont"/>
    <w:uiPriority w:val="99"/>
    <w:semiHidden/>
    <w:unhideWhenUsed/>
    <w:rsid w:val="00941021"/>
    <w:rPr>
      <w:sz w:val="16"/>
      <w:szCs w:val="16"/>
    </w:rPr>
  </w:style>
  <w:style w:type="paragraph" w:styleId="CommentText">
    <w:name w:val="annotation text"/>
    <w:basedOn w:val="Normal"/>
    <w:link w:val="CommentTextChar"/>
    <w:uiPriority w:val="99"/>
    <w:semiHidden/>
    <w:unhideWhenUsed/>
    <w:rsid w:val="00941021"/>
    <w:pPr>
      <w:spacing w:line="240" w:lineRule="auto"/>
    </w:pPr>
    <w:rPr>
      <w:sz w:val="20"/>
      <w:szCs w:val="20"/>
    </w:rPr>
  </w:style>
  <w:style w:type="character" w:customStyle="1" w:styleId="CommentTextChar">
    <w:name w:val="Comment Text Char"/>
    <w:basedOn w:val="DefaultParagraphFont"/>
    <w:link w:val="CommentText"/>
    <w:uiPriority w:val="99"/>
    <w:semiHidden/>
    <w:rsid w:val="00941021"/>
    <w:rPr>
      <w:noProof/>
      <w:sz w:val="20"/>
      <w:szCs w:val="20"/>
      <w:lang w:val="en-GB"/>
    </w:rPr>
  </w:style>
  <w:style w:type="paragraph" w:styleId="CommentSubject">
    <w:name w:val="annotation subject"/>
    <w:basedOn w:val="CommentText"/>
    <w:next w:val="CommentText"/>
    <w:link w:val="CommentSubjectChar"/>
    <w:uiPriority w:val="99"/>
    <w:semiHidden/>
    <w:unhideWhenUsed/>
    <w:rsid w:val="00941021"/>
    <w:rPr>
      <w:b/>
      <w:bCs/>
    </w:rPr>
  </w:style>
  <w:style w:type="character" w:customStyle="1" w:styleId="CommentSubjectChar">
    <w:name w:val="Comment Subject Char"/>
    <w:basedOn w:val="CommentTextChar"/>
    <w:link w:val="CommentSubject"/>
    <w:uiPriority w:val="99"/>
    <w:semiHidden/>
    <w:rsid w:val="00941021"/>
    <w:rPr>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8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LEEPATTARAKIT, TEERA (PGR)</cp:lastModifiedBy>
  <cp:revision>3</cp:revision>
  <dcterms:created xsi:type="dcterms:W3CDTF">2025-04-24T13:05:00Z</dcterms:created>
  <dcterms:modified xsi:type="dcterms:W3CDTF">2025-04-24T13:07:00Z</dcterms:modified>
</cp:coreProperties>
</file>