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Objectives</w:t>
      </w:r>
      <w:r>
        <w:rPr>
          <w:rFonts w:ascii="Arial" w:hAnsi="Arial" w:cs="Arial"/>
        </w:rPr>
        <w:t>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Mucormycosis is a life-threatening disease, which is difficult to treat due to intrinsic resistance. It has been shown that the use of azole fungicides in agriculture lead to emergence of </w:t>
      </w:r>
      <w:r>
        <w:rPr>
          <w:rFonts w:ascii="Arial" w:hAnsi="Arial" w:cs="Arial"/>
          <w:i/>
          <w:iCs/>
        </w:rPr>
        <w:t xml:space="preserve">Aspergillus fumigatus </w:t>
      </w:r>
      <w:r>
        <w:rPr>
          <w:rFonts w:ascii="Arial" w:hAnsi="Arial" w:cs="Arial"/>
        </w:rPr>
        <w:t>resistance to medical antifungals. S</w:t>
      </w:r>
      <w:r>
        <w:rPr>
          <w:rFonts w:ascii="Arial" w:hAnsi="Arial" w:cs="Arial"/>
        </w:rPr>
        <w:t>election pressure from azole fungicides could also be involved in the emergence of mucormycosis.</w:t>
      </w:r>
      <w:r>
        <w:rPr>
          <w:rFonts w:ascii="Arial" w:hAnsi="Arial" w:cs="Arial"/>
        </w:rPr>
        <w:t xml:space="preserve">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objective of this study is to provide a detailed description of the </w:t>
      </w:r>
      <w:r>
        <w:rPr>
          <w:rFonts w:ascii="Arial" w:hAnsi="Arial" w:cs="Arial"/>
          <w:i/>
          <w:iCs/>
        </w:rPr>
        <w:t>Mucorales</w:t>
      </w:r>
      <w:r>
        <w:rPr>
          <w:rFonts w:ascii="Arial" w:hAnsi="Arial" w:cs="Arial"/>
        </w:rPr>
        <w:t xml:space="preserve"> species present in an environment subjected to significant azole fungicides </w:t>
      </w:r>
      <w:r>
        <w:rPr>
          <w:rFonts w:ascii="Arial" w:hAnsi="Arial" w:cs="Arial"/>
        </w:rPr>
        <w:t>pressure</w:t>
      </w:r>
      <w:r>
        <w:rPr>
          <w:rFonts w:ascii="Arial" w:hAnsi="Arial" w:cs="Arial"/>
        </w:rPr>
        <w:t xml:space="preserve"> (sawmills in Eastern France) , as well as their sensitivity profiles to various azole molecules. 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Materials &amp; Methods: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Mucorales</w:t>
      </w:r>
      <w:r>
        <w:rPr>
          <w:rFonts w:ascii="Arial" w:hAnsi="Arial" w:cs="Arial"/>
        </w:rPr>
        <w:t xml:space="preserve"> strains, selected by culture on itraconazole or voriconazole medium at 48°C, were isolated from environnemental substrates collected during a previous study of </w:t>
      </w:r>
      <w:r>
        <w:rPr>
          <w:rFonts w:ascii="Arial" w:hAnsi="Arial" w:cs="Arial"/>
          <w:i/>
          <w:iCs/>
        </w:rPr>
        <w:t>A. fumigatus</w:t>
      </w:r>
      <w:r>
        <w:rPr>
          <w:rFonts w:ascii="Arial" w:hAnsi="Arial" w:cs="Arial"/>
        </w:rPr>
        <w:t xml:space="preserve"> resistance prevalence in sawmills (Jeanvoine, </w:t>
      </w:r>
      <w:r>
        <w:rPr>
          <w:rFonts w:ascii="Arial" w:hAnsi="Arial" w:cs="Arial"/>
        </w:rPr>
        <w:t>J Appl Microbiol</w:t>
      </w:r>
      <w:r>
        <w:rPr>
          <w:rFonts w:ascii="Arial" w:hAnsi="Arial" w:cs="Arial"/>
        </w:rPr>
        <w:t xml:space="preserve">, 2017). Fungal strains identified as </w:t>
      </w:r>
      <w:r>
        <w:rPr>
          <w:rFonts w:ascii="Arial" w:hAnsi="Arial" w:cs="Arial"/>
          <w:i/>
          <w:iCs/>
        </w:rPr>
        <w:t>Mucorales</w:t>
      </w:r>
      <w:r>
        <w:rPr>
          <w:rFonts w:ascii="Arial" w:hAnsi="Arial" w:cs="Arial"/>
        </w:rPr>
        <w:t xml:space="preserve"> by macro and microscopic characteristics (n= 202 ) were conserved in glycerol medium at -80°C. Data on the use of azole fungicides in the sawmills were collected to categorize the sites into “azole” and “no azole” sawmills.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the present study, the </w:t>
      </w:r>
      <w:r>
        <w:rPr>
          <w:rFonts w:ascii="Arial" w:hAnsi="Arial" w:cs="Arial"/>
          <w:i/>
          <w:iCs/>
        </w:rPr>
        <w:t xml:space="preserve">Mucorales </w:t>
      </w:r>
      <w:r>
        <w:rPr>
          <w:rFonts w:ascii="Arial" w:hAnsi="Arial" w:cs="Arial"/>
          <w:iCs/>
        </w:rPr>
        <w:t xml:space="preserve">strains </w:t>
      </w:r>
      <w:r>
        <w:rPr>
          <w:rFonts w:ascii="Arial" w:hAnsi="Arial" w:cs="Arial"/>
        </w:rPr>
        <w:t xml:space="preserve"> were thawed, and then identified at the species level by MALDI-TOF spectrometry or ITS sequencing. The MIC of 5 azole compounds has been determined, 2 medical antifungals (posaconazole and isavuconazole) and 3 agricultural fongicides (propiconazole, tebuconazole and difenoconazole). The MIC were determined according to the EUCAST protocol. The </w:t>
      </w:r>
      <w:r>
        <w:rPr>
          <w:rFonts w:ascii="Arial" w:hAnsi="Arial" w:cs="Arial"/>
          <w:i/>
          <w:iCs/>
        </w:rPr>
        <w:t>cyp51A</w:t>
      </w:r>
      <w:r>
        <w:rPr>
          <w:rFonts w:ascii="Arial" w:hAnsi="Arial" w:cs="Arial"/>
        </w:rPr>
        <w:t xml:space="preserve"> gene sequencing was done for all the </w:t>
      </w:r>
      <w:r>
        <w:rPr>
          <w:rFonts w:ascii="Arial" w:hAnsi="Arial" w:cs="Arial"/>
          <w:i/>
          <w:iCs/>
        </w:rPr>
        <w:t>Mucor circinelloides</w:t>
      </w:r>
      <w:r>
        <w:rPr>
          <w:rFonts w:ascii="Arial" w:hAnsi="Arial" w:cs="Arial"/>
        </w:rPr>
        <w:t xml:space="preserve"> strains (</w:t>
      </w:r>
      <w:r>
        <w:rPr>
          <w:rFonts w:ascii="Arial" w:hAnsi="Arial" w:cs="Arial"/>
        </w:rPr>
        <w:t>Caramalho, Sci. Rep.</w:t>
      </w:r>
      <w:r>
        <w:rPr>
          <w:rFonts w:ascii="Arial" w:hAnsi="Arial" w:cs="Arial"/>
        </w:rPr>
        <w:t xml:space="preserve">2017). </w: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Results</w:t>
      </w:r>
      <w:r>
        <w:rPr>
          <w:rFonts w:ascii="Arial" w:hAnsi="Arial" w:cs="Arial"/>
        </w:rPr>
        <w:t>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total,  202 strains of </w:t>
      </w:r>
      <w:r>
        <w:rPr>
          <w:rFonts w:ascii="Arial" w:hAnsi="Arial" w:cs="Arial"/>
          <w:i/>
          <w:iCs/>
        </w:rPr>
        <w:t>Mucorales</w:t>
      </w:r>
      <w:r>
        <w:rPr>
          <w:rFonts w:ascii="Arial" w:hAnsi="Arial" w:cs="Arial"/>
        </w:rPr>
        <w:t xml:space="preserve">, isolated in 18 sawmills (13 “azole” and 5 “no azole”) between 2014 and 2016, could be identified at the species level. The identification revealed 6 </w:t>
      </w:r>
      <w:r>
        <w:rPr>
          <w:rFonts w:ascii="Arial" w:hAnsi="Arial" w:cs="Arial"/>
          <w:i/>
          <w:iCs/>
        </w:rPr>
        <w:t>Mucorales</w:t>
      </w:r>
      <w:r>
        <w:rPr>
          <w:rFonts w:ascii="Arial" w:hAnsi="Arial" w:cs="Arial"/>
        </w:rPr>
        <w:t xml:space="preserve"> species belonging to 4 genera. Fifty three pourcent (107/202) of the strains belonged to the </w:t>
      </w:r>
      <w:r>
        <w:rPr>
          <w:rFonts w:ascii="Arial" w:hAnsi="Arial" w:cs="Arial"/>
          <w:i/>
          <w:iCs/>
        </w:rPr>
        <w:t>Rhizomucor</w:t>
      </w:r>
      <w:r>
        <w:rPr>
          <w:rFonts w:ascii="Arial" w:hAnsi="Arial" w:cs="Arial"/>
        </w:rPr>
        <w:t xml:space="preserve"> genus of which 93.5% (100/107) are </w:t>
      </w:r>
      <w:r>
        <w:rPr>
          <w:rFonts w:ascii="Arial" w:hAnsi="Arial" w:cs="Arial"/>
          <w:i/>
          <w:iCs/>
        </w:rPr>
        <w:t>Rhizomucor pusillus</w:t>
      </w:r>
      <w:r>
        <w:rPr>
          <w:rFonts w:ascii="Arial" w:hAnsi="Arial" w:cs="Arial"/>
        </w:rPr>
        <w:t xml:space="preserve">. The other species are distributed as follow : </w:t>
      </w:r>
      <w:r>
        <w:rPr>
          <w:rFonts w:ascii="Arial" w:hAnsi="Arial" w:cs="Arial"/>
        </w:rPr>
        <w:t>23.8%</w:t>
      </w:r>
      <w:r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Rhizopus microsporus</w:t>
      </w:r>
      <w:r>
        <w:rPr>
          <w:rFonts w:ascii="Arial" w:hAnsi="Arial" w:cs="Arial"/>
        </w:rPr>
        <w:t xml:space="preserve"> (48/202), </w:t>
      </w:r>
      <w:r>
        <w:rPr>
          <w:rFonts w:ascii="Arial" w:hAnsi="Arial" w:cs="Arial"/>
        </w:rPr>
        <w:t>11.4%</w:t>
      </w:r>
      <w:r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Lichtheimia ramosa</w:t>
      </w:r>
      <w:r>
        <w:rPr>
          <w:rFonts w:ascii="Arial" w:hAnsi="Arial" w:cs="Arial"/>
        </w:rPr>
        <w:t xml:space="preserve"> (23/202), 4% of </w:t>
      </w:r>
      <w:r>
        <w:rPr>
          <w:rFonts w:ascii="Arial" w:hAnsi="Arial" w:cs="Arial"/>
          <w:i/>
          <w:iCs/>
        </w:rPr>
        <w:t>Mucor circinelloides</w:t>
      </w:r>
      <w:r>
        <w:rPr>
          <w:rFonts w:ascii="Arial" w:hAnsi="Arial" w:cs="Arial"/>
        </w:rPr>
        <w:t xml:space="preserve"> (8/202) and 4.5% of other species. 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distribution of Mucorales species did not significantly differ between in “azole” </w:t>
      </w:r>
      <w:r>
        <w:rPr>
          <w:rFonts w:ascii="Arial" w:hAnsi="Arial" w:cs="Arial"/>
          <w:i/>
          <w:iCs/>
        </w:rPr>
        <w:t>versus</w:t>
      </w:r>
      <w:r>
        <w:rPr>
          <w:rFonts w:ascii="Arial" w:hAnsi="Arial" w:cs="Arial"/>
        </w:rPr>
        <w:t xml:space="preserve"> “non azole” sawmills.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MIC for posaconazole ranged from 0.25 to 1 µg/mL, for isavuconazole and the azoles fungicides from  4 to &gt;16 µg/mL.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Four strains of </w:t>
      </w:r>
      <w:r>
        <w:rPr>
          <w:rFonts w:ascii="Arial" w:hAnsi="Arial" w:cs="Arial"/>
          <w:i/>
          <w:iCs/>
        </w:rPr>
        <w:t>Mucor circinelloides</w:t>
      </w:r>
      <w:r>
        <w:rPr>
          <w:rFonts w:ascii="Arial" w:hAnsi="Arial" w:cs="Arial"/>
        </w:rPr>
        <w:t xml:space="preserve"> revealed mutations in proteic sequence : A256T (n=1) and E344K (n=3) but no differences in MIC were observed compared to strains without mutation.</w: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Conclusions</w:t>
      </w:r>
      <w:r>
        <w:rPr>
          <w:rFonts w:ascii="Arial" w:hAnsi="Arial" w:cs="Arial"/>
        </w:rPr>
        <w:t>:</w:t>
      </w:r>
    </w:p>
    <w:p>
      <w:pPr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conclusion, the various </w:t>
      </w:r>
      <w:r>
        <w:rPr>
          <w:rStyle w:val="Accentuation"/>
          <w:rFonts w:ascii="Arial" w:hAnsi="Arial" w:cs="Arial"/>
        </w:rPr>
        <w:t>Mucorales</w:t>
      </w:r>
      <w:r>
        <w:rPr>
          <w:rFonts w:ascii="Arial" w:hAnsi="Arial" w:cs="Arial"/>
        </w:rPr>
        <w:t xml:space="preserve"> species identified in the sawmill exhibit high MICs to agricultural fungicides, which can be </w:t>
      </w:r>
      <w:r>
        <w:rPr>
          <w:rFonts w:ascii="Arial" w:hAnsi="Arial" w:cs="Arial"/>
        </w:rPr>
        <w:t>related</w:t>
      </w:r>
      <w:r>
        <w:rPr>
          <w:rFonts w:ascii="Arial" w:hAnsi="Arial" w:cs="Arial"/>
        </w:rPr>
        <w:t xml:space="preserve"> to the strong selection pressure in this environment. The MICs for the two azole antifungals currently used as second-line treatments were also </w:t>
      </w:r>
      <w:r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for these species, which are associated with severe human infections. The mutations detected in the CYP51A protein sequence of </w:t>
      </w:r>
      <w:r>
        <w:rPr>
          <w:rStyle w:val="Accentuation"/>
          <w:rFonts w:ascii="Arial" w:hAnsi="Arial" w:cs="Arial"/>
        </w:rPr>
        <w:t>Mucor circinelloides</w:t>
      </w:r>
      <w:r>
        <w:rPr>
          <w:rFonts w:ascii="Arial" w:hAnsi="Arial" w:cs="Arial"/>
        </w:rPr>
        <w:t xml:space="preserve"> strains do not appear to be involved in antifungal resistance. Further molecular analysis is needed to investigate the mechanisms underlying azole resistance in </w:t>
      </w:r>
      <w:r>
        <w:rPr>
          <w:rStyle w:val="Accentuation"/>
          <w:rFonts w:ascii="Arial" w:hAnsi="Arial" w:cs="Arial"/>
        </w:rPr>
        <w:t>Mucorales</w:t>
      </w:r>
    </w:p>
    <w:sect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751DD-D57F-43FF-8127-F26A532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noProof/>
      <w:sz w:val="18"/>
      <w:szCs w:val="18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noProof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noProof/>
      <w:sz w:val="20"/>
      <w:szCs w:val="20"/>
      <w:lang w:val="en-GB"/>
    </w:rPr>
  </w:style>
  <w:style w:type="character" w:styleId="Accentuation">
    <w:name w:val="Emphasis"/>
    <w:basedOn w:val="Policepardfau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Borrendam</dc:creator>
  <cp:keywords/>
  <dc:description/>
  <cp:lastModifiedBy>Julie ROUSSELOT</cp:lastModifiedBy>
  <cp:revision>3</cp:revision>
  <cp:lastPrinted>2025-04-25T13:04:00Z</cp:lastPrinted>
  <dcterms:created xsi:type="dcterms:W3CDTF">2025-04-25T14:15:00Z</dcterms:created>
  <dcterms:modified xsi:type="dcterms:W3CDTF">2025-04-25T14:27:00Z</dcterms:modified>
</cp:coreProperties>
</file>