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CFD4" w14:textId="335E8440" w:rsidR="007F1E21" w:rsidRPr="00D77BAD" w:rsidRDefault="00983C1F">
      <w:r w:rsidRPr="00D77BAD">
        <w:rPr>
          <w:b/>
          <w:bCs/>
        </w:rPr>
        <w:t>Ob</w:t>
      </w:r>
      <w:r w:rsidR="00996CD7" w:rsidRPr="00D77BAD">
        <w:rPr>
          <w:b/>
          <w:bCs/>
        </w:rPr>
        <w:t>jectives</w:t>
      </w:r>
      <w:r w:rsidR="00996CD7" w:rsidRPr="00D77BAD">
        <w:t>:</w:t>
      </w:r>
    </w:p>
    <w:p w14:paraId="58F6CCA1" w14:textId="7FACAA4F" w:rsidR="00951ED9" w:rsidRPr="00D77BAD" w:rsidRDefault="00951ED9">
      <w:pPr>
        <w:rPr>
          <w:lang w:eastAsia="zh-CN"/>
        </w:rPr>
      </w:pPr>
      <w:r w:rsidRPr="00D77BAD">
        <w:rPr>
          <w:lang w:eastAsia="zh-CN"/>
        </w:rPr>
        <w:t xml:space="preserve">Immune tolerance is a critical determinant in the pathogenesis of non-HIV-associated cryptococcal meningitis (CM). While STING has been identified as a negative regulator of antifungal immunity, its mechanistic role in </w:t>
      </w:r>
      <w:r w:rsidR="009B4792" w:rsidRPr="00D77BAD">
        <w:rPr>
          <w:lang w:eastAsia="zh-CN"/>
        </w:rPr>
        <w:t>mediating</w:t>
      </w:r>
      <w:r w:rsidR="009B4792" w:rsidRPr="00D77BAD">
        <w:rPr>
          <w:rFonts w:hint="eastAsia"/>
          <w:lang w:eastAsia="zh-CN"/>
        </w:rPr>
        <w:t xml:space="preserve"> </w:t>
      </w:r>
      <w:r w:rsidRPr="00D77BAD">
        <w:rPr>
          <w:lang w:eastAsia="zh-CN"/>
        </w:rPr>
        <w:t>immune tolerance remains unclear. This study aims to elucidate how STING interacts with glycolysis-related pathways to mediate immunometabolic suppression in non-HIV CM, identifying</w:t>
      </w:r>
      <w:r w:rsidRPr="00D77BAD">
        <w:rPr>
          <w:lang w:eastAsia="zh-CN"/>
        </w:rPr>
        <w:t xml:space="preserve"> potential</w:t>
      </w:r>
      <w:r w:rsidRPr="00D77BAD">
        <w:rPr>
          <w:lang w:eastAsia="zh-CN"/>
        </w:rPr>
        <w:t xml:space="preserve"> therapeutic targets to reverse immune tolerance.</w:t>
      </w:r>
    </w:p>
    <w:p w14:paraId="5B44CAD0" w14:textId="039A7E95" w:rsidR="00996CD7" w:rsidRPr="00D77BAD" w:rsidRDefault="00996CD7">
      <w:pPr>
        <w:rPr>
          <w:b/>
          <w:bCs/>
        </w:rPr>
      </w:pPr>
      <w:r w:rsidRPr="00D77BAD">
        <w:rPr>
          <w:b/>
          <w:bCs/>
        </w:rPr>
        <w:t>Materials &amp; Methods:</w:t>
      </w:r>
    </w:p>
    <w:p w14:paraId="467131DE" w14:textId="411E01D9" w:rsidR="00951ED9" w:rsidRPr="00D77BAD" w:rsidRDefault="00951ED9" w:rsidP="00951ED9">
      <w:pPr>
        <w:rPr>
          <w:rFonts w:hint="eastAsia"/>
          <w:lang w:eastAsia="zh-CN"/>
        </w:rPr>
      </w:pPr>
      <w:r w:rsidRPr="00D77BAD">
        <w:rPr>
          <w:rFonts w:hint="eastAsia"/>
          <w:lang w:eastAsia="zh-CN"/>
        </w:rPr>
        <w:t>P</w:t>
      </w:r>
      <w:r w:rsidRPr="00951ED9">
        <w:rPr>
          <w:lang w:eastAsia="zh-CN"/>
        </w:rPr>
        <w:t xml:space="preserve">eripheral blood monocytes </w:t>
      </w:r>
      <w:r w:rsidRPr="00D77BAD">
        <w:rPr>
          <w:lang w:eastAsia="zh-CN"/>
        </w:rPr>
        <w:t xml:space="preserve">were collected </w:t>
      </w:r>
      <w:r w:rsidRPr="00951ED9">
        <w:rPr>
          <w:lang w:eastAsia="zh-CN"/>
        </w:rPr>
        <w:t>from non-HIV CM patients</w:t>
      </w:r>
      <w:r w:rsidRPr="00D77BAD">
        <w:rPr>
          <w:lang w:eastAsia="zh-CN"/>
        </w:rPr>
        <w:t>, pulmonary cryptococcosis (PC)</w:t>
      </w:r>
      <w:r w:rsidRPr="00951ED9">
        <w:rPr>
          <w:lang w:eastAsia="zh-CN"/>
        </w:rPr>
        <w:t xml:space="preserve"> </w:t>
      </w:r>
      <w:r w:rsidR="009B4792" w:rsidRPr="00D77BAD">
        <w:rPr>
          <w:rFonts w:hint="eastAsia"/>
          <w:lang w:eastAsia="zh-CN"/>
        </w:rPr>
        <w:t>patients</w:t>
      </w:r>
      <w:r w:rsidR="009B4792" w:rsidRPr="00D77BAD">
        <w:rPr>
          <w:lang w:eastAsia="zh-CN"/>
        </w:rPr>
        <w:t xml:space="preserve"> </w:t>
      </w:r>
      <w:r w:rsidRPr="00951ED9">
        <w:rPr>
          <w:lang w:eastAsia="zh-CN"/>
        </w:rPr>
        <w:t>and healthy controls</w:t>
      </w:r>
      <w:r w:rsidRPr="00D77BAD">
        <w:rPr>
          <w:lang w:eastAsia="zh-CN"/>
        </w:rPr>
        <w:t xml:space="preserve">. </w:t>
      </w:r>
      <w:r w:rsidRPr="00D77BAD">
        <w:rPr>
          <w:lang w:eastAsia="zh-CN"/>
        </w:rPr>
        <w:t xml:space="preserve">Subsequent multi-platform analyses were systematically conducted, including cytokine profiling (ELISA), STING pathway activation assessment </w:t>
      </w:r>
      <w:r w:rsidRPr="00D77BAD">
        <w:rPr>
          <w:lang w:eastAsia="zh-CN"/>
        </w:rPr>
        <w:t>(</w:t>
      </w:r>
      <w:r w:rsidRPr="00D77BAD">
        <w:rPr>
          <w:lang w:eastAsia="zh-CN"/>
        </w:rPr>
        <w:t>flow cytometry), and glycolytic flux quantification (targeted LC-MS metabolomics), to characterize disease-specific immunometabolic profiles.</w:t>
      </w:r>
      <w:r w:rsidRPr="00D77BAD">
        <w:rPr>
          <w:lang w:eastAsia="zh-CN"/>
        </w:rPr>
        <w:t xml:space="preserve"> T</w:t>
      </w:r>
      <w:r w:rsidRPr="00951ED9">
        <w:rPr>
          <w:lang w:eastAsia="zh-CN"/>
        </w:rPr>
        <w:t>o validate STING’s functional role</w:t>
      </w:r>
      <w:r w:rsidRPr="00D77BAD">
        <w:rPr>
          <w:lang w:eastAsia="zh-CN"/>
        </w:rPr>
        <w:t>, a</w:t>
      </w:r>
      <w:r w:rsidRPr="00951ED9">
        <w:rPr>
          <w:lang w:eastAsia="zh-CN"/>
        </w:rPr>
        <w:t>n</w:t>
      </w:r>
      <w:r w:rsidRPr="00951ED9">
        <w:rPr>
          <w:i/>
          <w:iCs/>
          <w:lang w:eastAsia="zh-CN"/>
        </w:rPr>
        <w:t> in vitro </w:t>
      </w:r>
      <w:r w:rsidRPr="00951ED9">
        <w:rPr>
          <w:lang w:eastAsia="zh-CN"/>
        </w:rPr>
        <w:t>immune-tolerant cell model and a murine cryptococcal infection model were established</w:t>
      </w:r>
      <w:r w:rsidRPr="00D77BAD">
        <w:rPr>
          <w:lang w:eastAsia="zh-CN"/>
        </w:rPr>
        <w:t xml:space="preserve">, and </w:t>
      </w:r>
      <w:r w:rsidRPr="00D77BAD">
        <w:rPr>
          <w:lang w:eastAsia="zh-CN"/>
        </w:rPr>
        <w:t xml:space="preserve">STING genetic </w:t>
      </w:r>
      <w:r w:rsidR="009B4792" w:rsidRPr="00D77BAD">
        <w:rPr>
          <w:lang w:eastAsia="zh-CN"/>
        </w:rPr>
        <w:t>knockout</w:t>
      </w:r>
      <w:r w:rsidRPr="00D77BAD">
        <w:rPr>
          <w:lang w:eastAsia="zh-CN"/>
        </w:rPr>
        <w:t xml:space="preserve"> and </w:t>
      </w:r>
      <w:r w:rsidRPr="00951ED9">
        <w:rPr>
          <w:lang w:eastAsia="zh-CN"/>
        </w:rPr>
        <w:t xml:space="preserve">glycolytic rescue experiments were performed </w:t>
      </w:r>
      <w:r w:rsidRPr="00D77BAD">
        <w:rPr>
          <w:lang w:eastAsia="zh-CN"/>
        </w:rPr>
        <w:t xml:space="preserve">in this model </w:t>
      </w:r>
      <w:r w:rsidRPr="00951ED9">
        <w:rPr>
          <w:lang w:eastAsia="zh-CN"/>
        </w:rPr>
        <w:t>to assess metabolic reprogramming and immune function.</w:t>
      </w:r>
      <w:r w:rsidRPr="00D77BAD">
        <w:rPr>
          <w:rFonts w:hint="eastAsia"/>
          <w:lang w:eastAsia="zh-CN"/>
        </w:rPr>
        <w:t xml:space="preserve"> </w:t>
      </w:r>
      <w:r w:rsidRPr="00D77BAD">
        <w:rPr>
          <w:lang w:eastAsia="zh-CN"/>
        </w:rPr>
        <w:t xml:space="preserve">Finally, </w:t>
      </w:r>
      <w:r w:rsidRPr="00D77BAD">
        <w:rPr>
          <w:rFonts w:hint="eastAsia"/>
          <w:lang w:eastAsia="zh-CN"/>
        </w:rPr>
        <w:t>m</w:t>
      </w:r>
      <w:r w:rsidRPr="00951ED9">
        <w:rPr>
          <w:lang w:eastAsia="zh-CN"/>
        </w:rPr>
        <w:t>olecular docking simulation</w:t>
      </w:r>
      <w:r w:rsidRPr="00D77BAD">
        <w:rPr>
          <w:lang w:eastAsia="zh-CN"/>
        </w:rPr>
        <w:t xml:space="preserve"> was used to</w:t>
      </w:r>
      <w:r w:rsidRPr="00951ED9">
        <w:rPr>
          <w:lang w:eastAsia="zh-CN"/>
        </w:rPr>
        <w:t xml:space="preserve"> predict interaction between STING and PFKFB3, a rate-limiting glycolytic enzyme, which were confirmed by co-immunoprecipitation (Co-IP). </w:t>
      </w:r>
    </w:p>
    <w:p w14:paraId="56F43E08" w14:textId="77777777" w:rsidR="00996CD7" w:rsidRPr="00D77BAD" w:rsidRDefault="00996CD7">
      <w:r w:rsidRPr="00D77BAD">
        <w:rPr>
          <w:b/>
          <w:bCs/>
        </w:rPr>
        <w:t>Results</w:t>
      </w:r>
      <w:r w:rsidRPr="00D77BAD">
        <w:t>:</w:t>
      </w:r>
    </w:p>
    <w:p w14:paraId="441A363B" w14:textId="497B2B9C" w:rsidR="00951ED9" w:rsidRPr="00D77BAD" w:rsidRDefault="00951ED9">
      <w:pPr>
        <w:rPr>
          <w:lang w:val="en-US" w:eastAsia="zh-CN"/>
        </w:rPr>
      </w:pPr>
      <w:r w:rsidRPr="00D77BAD">
        <w:rPr>
          <w:lang w:eastAsia="zh-CN"/>
        </w:rPr>
        <w:t>Our clinical profiling revealed that monocytes from non-HIV cryptococcal meningitis (CM) patients exhibited significantly impaired TNF-α/IL-6 secretion compared to both healthy controls (HC) and pulmonary cryptococcosis (PC) cohorts (</w:t>
      </w:r>
      <w:r w:rsidR="000E7A8E" w:rsidRPr="00D77BAD">
        <w:rPr>
          <w:lang w:eastAsia="zh-CN"/>
        </w:rPr>
        <w:t>Fig 1A</w:t>
      </w:r>
      <w:r w:rsidRPr="00D77BAD">
        <w:rPr>
          <w:lang w:eastAsia="zh-CN"/>
        </w:rPr>
        <w:t>), indicative of pathogen-induced immune tolerance.</w:t>
      </w:r>
      <w:r w:rsidRPr="00D77BAD">
        <w:rPr>
          <w:rFonts w:hint="eastAsia"/>
        </w:rPr>
        <w:t xml:space="preserve"> </w:t>
      </w:r>
      <w:r w:rsidRPr="00D77BAD">
        <w:rPr>
          <w:rFonts w:hint="eastAsia"/>
          <w:lang w:eastAsia="zh-CN"/>
        </w:rPr>
        <w:t>Targeted metabolomics further demonstrated a marked reduction in glycolytic intermediates including fructose-1,6-bisphosphate, pyruvate, and lactate in CM monocytes (</w:t>
      </w:r>
      <w:r w:rsidR="000E7A8E" w:rsidRPr="00D77BAD">
        <w:rPr>
          <w:lang w:eastAsia="zh-CN"/>
        </w:rPr>
        <w:t>Fig 1</w:t>
      </w:r>
      <w:r w:rsidR="000E7A8E" w:rsidRPr="00D77BAD">
        <w:rPr>
          <w:lang w:eastAsia="zh-CN"/>
        </w:rPr>
        <w:t>B</w:t>
      </w:r>
      <w:r w:rsidRPr="00D77BAD">
        <w:rPr>
          <w:rFonts w:hint="eastAsia"/>
          <w:lang w:eastAsia="zh-CN"/>
        </w:rPr>
        <w:t>)</w:t>
      </w:r>
      <w:r w:rsidR="000E7A8E" w:rsidRPr="00D77BAD">
        <w:rPr>
          <w:lang w:val="en-US" w:eastAsia="zh-CN"/>
        </w:rPr>
        <w:t xml:space="preserve">, </w:t>
      </w:r>
      <w:r w:rsidR="000E7A8E" w:rsidRPr="00D77BAD">
        <w:rPr>
          <w:lang w:val="en-US" w:eastAsia="zh-CN"/>
        </w:rPr>
        <w:t>highlighting glycolytic metabolism as a key contributor to immune tolerance pathogenesis</w:t>
      </w:r>
      <w:r w:rsidRPr="00D77BAD">
        <w:rPr>
          <w:lang w:val="en-US" w:eastAsia="zh-CN"/>
        </w:rPr>
        <w:t xml:space="preserve">. </w:t>
      </w:r>
      <w:r w:rsidR="000E7A8E" w:rsidRPr="00D77BAD">
        <w:rPr>
          <w:lang w:val="en-US" w:eastAsia="zh-CN"/>
        </w:rPr>
        <w:t xml:space="preserve">RNA-seq was used to investigate the transcriptomic profiling and uncovered pathological </w:t>
      </w:r>
      <w:r w:rsidR="000E7A8E" w:rsidRPr="00D77BAD">
        <w:rPr>
          <w:lang w:val="en-US" w:eastAsia="zh-CN"/>
        </w:rPr>
        <w:t>immune tolerance</w:t>
      </w:r>
      <w:r w:rsidR="000E7A8E" w:rsidRPr="00D77BAD">
        <w:rPr>
          <w:lang w:val="en-US" w:eastAsia="zh-CN"/>
        </w:rPr>
        <w:t xml:space="preserve"> in CM monocytes, showing elevated STING protein expression </w:t>
      </w:r>
      <w:r w:rsidR="000E7A8E" w:rsidRPr="00D77BAD">
        <w:rPr>
          <w:rFonts w:hint="eastAsia"/>
          <w:lang w:val="en-US" w:eastAsia="zh-CN"/>
        </w:rPr>
        <w:t>compared</w:t>
      </w:r>
      <w:r w:rsidR="000E7A8E" w:rsidRPr="00D77BAD">
        <w:rPr>
          <w:lang w:val="en-US" w:eastAsia="zh-CN"/>
        </w:rPr>
        <w:t xml:space="preserve"> to PC (</w:t>
      </w:r>
      <w:r w:rsidR="000E7A8E" w:rsidRPr="00D77BAD">
        <w:rPr>
          <w:lang w:val="en-US" w:eastAsia="zh-CN"/>
        </w:rPr>
        <w:t>Fig 1C</w:t>
      </w:r>
      <w:r w:rsidR="000E7A8E" w:rsidRPr="00D77BAD">
        <w:rPr>
          <w:lang w:val="en-US" w:eastAsia="zh-CN"/>
        </w:rPr>
        <w:t>).</w:t>
      </w:r>
      <w:r w:rsidR="000E7A8E" w:rsidRPr="00D77BAD">
        <w:rPr>
          <w:lang w:val="en-US" w:eastAsia="zh-CN"/>
        </w:rPr>
        <w:t xml:space="preserve"> </w:t>
      </w:r>
      <w:r w:rsidRPr="00D77BAD">
        <w:rPr>
          <w:lang w:val="en-US" w:eastAsia="zh-CN"/>
        </w:rPr>
        <w:t xml:space="preserve">Mechanistically, persistent exposure to </w:t>
      </w:r>
      <w:r w:rsidRPr="00D77BAD">
        <w:rPr>
          <w:i/>
          <w:iCs/>
          <w:lang w:val="en-US" w:eastAsia="zh-CN"/>
        </w:rPr>
        <w:t>Cryptococcus</w:t>
      </w:r>
      <w:r w:rsidRPr="00D77BAD">
        <w:rPr>
          <w:lang w:val="en-US" w:eastAsia="zh-CN"/>
        </w:rPr>
        <w:t xml:space="preserve"> glucuronoxylomannan (GXM) recapitulated this tolerogenic phenotype in monocyte-derived macrophages (MDMs) and bone marrow-derived macrophages (BMDMs), with cytokine suppression exhibiting strict GXM dose-dependency</w:t>
      </w:r>
      <w:r w:rsidR="000E7A8E" w:rsidRPr="00D77BAD">
        <w:rPr>
          <w:lang w:val="en-US" w:eastAsia="zh-CN"/>
        </w:rPr>
        <w:t xml:space="preserve"> </w:t>
      </w:r>
      <w:r w:rsidR="000E7A8E" w:rsidRPr="00D77BAD">
        <w:rPr>
          <w:rFonts w:hint="eastAsia"/>
          <w:lang w:eastAsia="zh-CN"/>
        </w:rPr>
        <w:t>(</w:t>
      </w:r>
      <w:r w:rsidR="000E7A8E" w:rsidRPr="00D77BAD">
        <w:rPr>
          <w:lang w:eastAsia="zh-CN"/>
        </w:rPr>
        <w:t xml:space="preserve">Fig </w:t>
      </w:r>
      <w:r w:rsidR="00D77BAD" w:rsidRPr="00D77BAD">
        <w:rPr>
          <w:lang w:eastAsia="zh-CN"/>
        </w:rPr>
        <w:t>1</w:t>
      </w:r>
      <w:r w:rsidR="00D77BAD" w:rsidRPr="00D77BAD">
        <w:rPr>
          <w:rFonts w:hint="eastAsia"/>
          <w:lang w:eastAsia="zh-CN"/>
        </w:rPr>
        <w:t>D</w:t>
      </w:r>
      <w:r w:rsidR="000E7A8E" w:rsidRPr="00D77BAD">
        <w:rPr>
          <w:rFonts w:hint="eastAsia"/>
          <w:lang w:eastAsia="zh-CN"/>
        </w:rPr>
        <w:t>)</w:t>
      </w:r>
      <w:r w:rsidRPr="00D77BAD">
        <w:rPr>
          <w:lang w:val="en-US" w:eastAsia="zh-CN"/>
        </w:rPr>
        <w:t>. Further f</w:t>
      </w:r>
      <w:r w:rsidRPr="00D77BAD">
        <w:rPr>
          <w:lang w:val="en-US" w:eastAsia="zh-CN"/>
        </w:rPr>
        <w:t>unctional interrogation revealed that either pharmacological STING in</w:t>
      </w:r>
      <w:r w:rsidRPr="00D77BAD">
        <w:rPr>
          <w:rFonts w:hint="eastAsia"/>
          <w:lang w:val="en-US" w:eastAsia="zh-CN"/>
        </w:rPr>
        <w:t>hibition or genetic knockout restored cytokine production</w:t>
      </w:r>
      <w:r w:rsidRPr="00D77BAD">
        <w:rPr>
          <w:lang w:val="en-US" w:eastAsia="zh-CN"/>
        </w:rPr>
        <w:t xml:space="preserve"> </w:t>
      </w:r>
      <w:r w:rsidR="000E7A8E" w:rsidRPr="00D77BAD">
        <w:rPr>
          <w:rFonts w:hint="eastAsia"/>
          <w:lang w:eastAsia="zh-CN"/>
        </w:rPr>
        <w:t>(</w:t>
      </w:r>
      <w:r w:rsidR="000E7A8E" w:rsidRPr="00D77BAD">
        <w:rPr>
          <w:lang w:eastAsia="zh-CN"/>
        </w:rPr>
        <w:t>Fig 2</w:t>
      </w:r>
      <w:r w:rsidR="00D77BAD" w:rsidRPr="00D77BAD">
        <w:rPr>
          <w:rFonts w:hint="eastAsia"/>
          <w:lang w:eastAsia="zh-CN"/>
        </w:rPr>
        <w:t>A</w:t>
      </w:r>
      <w:r w:rsidR="000E7A8E" w:rsidRPr="00D77BAD">
        <w:rPr>
          <w:rFonts w:hint="eastAsia"/>
          <w:lang w:eastAsia="zh-CN"/>
        </w:rPr>
        <w:t>)</w:t>
      </w:r>
      <w:r w:rsidRPr="00D77BAD">
        <w:rPr>
          <w:rFonts w:hint="eastAsia"/>
          <w:lang w:val="en-US" w:eastAsia="zh-CN"/>
        </w:rPr>
        <w:t xml:space="preserve">. These findings were corroborated </w:t>
      </w:r>
      <w:r w:rsidRPr="00D77BAD">
        <w:rPr>
          <w:rFonts w:hint="eastAsia"/>
          <w:i/>
          <w:iCs/>
          <w:lang w:val="en-US" w:eastAsia="zh-CN"/>
        </w:rPr>
        <w:t>in vivo</w:t>
      </w:r>
      <w:r w:rsidRPr="00D77BAD">
        <w:rPr>
          <w:rFonts w:hint="eastAsia"/>
          <w:lang w:val="en-US" w:eastAsia="zh-CN"/>
        </w:rPr>
        <w:t>, where STING</w:t>
      </w:r>
      <w:r w:rsidRPr="00D77BAD">
        <w:rPr>
          <w:rFonts w:hint="eastAsia"/>
          <w:vertAlign w:val="superscript"/>
          <w:lang w:val="en-US" w:eastAsia="zh-CN"/>
        </w:rPr>
        <w:t>-/-</w:t>
      </w:r>
      <w:r w:rsidRPr="00D77BAD">
        <w:rPr>
          <w:rFonts w:hint="eastAsia"/>
          <w:lang w:val="en-US" w:eastAsia="zh-CN"/>
        </w:rPr>
        <w:t xml:space="preserve"> mice exhibited superior survival</w:t>
      </w:r>
      <w:r w:rsidRPr="00D77BAD">
        <w:rPr>
          <w:lang w:val="en-US" w:eastAsia="zh-CN"/>
        </w:rPr>
        <w:t xml:space="preserve"> </w:t>
      </w:r>
      <w:r w:rsidRPr="00D77BAD">
        <w:rPr>
          <w:lang w:val="en-US" w:eastAsia="zh-CN"/>
        </w:rPr>
        <w:t>and reduced fungal burden in brains post-infection compared to wild-type counterparts</w:t>
      </w:r>
      <w:r w:rsidR="000E7A8E" w:rsidRPr="00D77BAD">
        <w:rPr>
          <w:lang w:val="en-US" w:eastAsia="zh-CN"/>
        </w:rPr>
        <w:t xml:space="preserve"> (Fig 2</w:t>
      </w:r>
      <w:r w:rsidR="00D77BAD" w:rsidRPr="00D77BAD">
        <w:rPr>
          <w:rFonts w:hint="eastAsia"/>
          <w:lang w:val="en-US" w:eastAsia="zh-CN"/>
        </w:rPr>
        <w:t>B</w:t>
      </w:r>
      <w:r w:rsidR="000E7A8E" w:rsidRPr="00D77BAD">
        <w:rPr>
          <w:lang w:val="en-US" w:eastAsia="zh-CN"/>
        </w:rPr>
        <w:t>)</w:t>
      </w:r>
      <w:r w:rsidRPr="00D77BAD">
        <w:rPr>
          <w:lang w:val="en-US" w:eastAsia="zh-CN"/>
        </w:rPr>
        <w:t>.</w:t>
      </w:r>
      <w:r w:rsidRPr="00D77BAD">
        <w:rPr>
          <w:lang w:val="en-US" w:eastAsia="zh-CN"/>
        </w:rPr>
        <w:t xml:space="preserve"> M</w:t>
      </w:r>
      <w:r w:rsidRPr="00D77BAD">
        <w:rPr>
          <w:rFonts w:hint="eastAsia"/>
          <w:lang w:val="en-US" w:eastAsia="zh-CN"/>
        </w:rPr>
        <w:t>olecular docking simulations identified a high-affinity interaction between STING and PFKFB3 (</w:t>
      </w:r>
      <w:r w:rsidRPr="00D77BAD">
        <w:rPr>
          <w:rFonts w:hint="eastAsia"/>
          <w:lang w:val="en-US" w:eastAsia="zh-CN"/>
        </w:rPr>
        <w:t>Δ</w:t>
      </w:r>
      <w:r w:rsidRPr="00D77BAD">
        <w:rPr>
          <w:rFonts w:hint="eastAsia"/>
          <w:lang w:val="en-US" w:eastAsia="zh-CN"/>
        </w:rPr>
        <w:t>G = -220.668 kJ/mol), with co-immunoprecipitation confirm</w:t>
      </w:r>
      <w:r w:rsidR="009B4792" w:rsidRPr="00D77BAD">
        <w:rPr>
          <w:lang w:val="en-US" w:eastAsia="zh-CN"/>
        </w:rPr>
        <w:t>ed</w:t>
      </w:r>
      <w:r w:rsidRPr="00D77BAD">
        <w:rPr>
          <w:rFonts w:hint="eastAsia"/>
          <w:lang w:val="en-US" w:eastAsia="zh-CN"/>
        </w:rPr>
        <w:t xml:space="preserve"> direct binding </w:t>
      </w:r>
      <w:r w:rsidR="000E7A8E" w:rsidRPr="00D77BAD">
        <w:rPr>
          <w:lang w:val="en-US" w:eastAsia="zh-CN"/>
        </w:rPr>
        <w:t>(Fig 2</w:t>
      </w:r>
      <w:r w:rsidR="00D77BAD" w:rsidRPr="00D77BAD">
        <w:rPr>
          <w:rFonts w:hint="eastAsia"/>
          <w:lang w:val="en-US" w:eastAsia="zh-CN"/>
        </w:rPr>
        <w:t>C</w:t>
      </w:r>
      <w:r w:rsidR="000E7A8E" w:rsidRPr="00D77BAD">
        <w:rPr>
          <w:lang w:val="en-US" w:eastAsia="zh-CN"/>
        </w:rPr>
        <w:t>)</w:t>
      </w:r>
      <w:r w:rsidRPr="00D77BAD">
        <w:rPr>
          <w:rFonts w:hint="eastAsia"/>
          <w:lang w:val="en-US" w:eastAsia="zh-CN"/>
        </w:rPr>
        <w:t xml:space="preserve">. </w:t>
      </w:r>
      <w:r w:rsidRPr="00D77BAD">
        <w:rPr>
          <w:lang w:val="en-US" w:eastAsia="zh-CN"/>
        </w:rPr>
        <w:t>Finally</w:t>
      </w:r>
      <w:r w:rsidRPr="00D77BAD">
        <w:rPr>
          <w:rFonts w:hint="eastAsia"/>
          <w:lang w:val="en-US" w:eastAsia="zh-CN"/>
        </w:rPr>
        <w:t xml:space="preserve">, STING </w:t>
      </w:r>
      <w:r w:rsidR="000E7A8E" w:rsidRPr="00D77BAD">
        <w:rPr>
          <w:lang w:val="en-US" w:eastAsia="zh-CN"/>
        </w:rPr>
        <w:t>knockout</w:t>
      </w:r>
      <w:r w:rsidRPr="00D77BAD">
        <w:rPr>
          <w:rFonts w:hint="eastAsia"/>
          <w:lang w:val="en-US" w:eastAsia="zh-CN"/>
        </w:rPr>
        <w:t xml:space="preserve"> reversed GXM-mediated PFKFB3 suppression, while PFKFB3 overexpression restored</w:t>
      </w:r>
      <w:r w:rsidRPr="00D77BAD">
        <w:rPr>
          <w:lang w:val="en-US" w:eastAsia="zh-CN"/>
        </w:rPr>
        <w:t xml:space="preserve"> cytokine secration</w:t>
      </w:r>
      <w:r w:rsidR="000E7A8E" w:rsidRPr="00D77BAD">
        <w:rPr>
          <w:lang w:val="en-US" w:eastAsia="zh-CN"/>
        </w:rPr>
        <w:t xml:space="preserve"> </w:t>
      </w:r>
      <w:r w:rsidR="000E7A8E" w:rsidRPr="00D77BAD">
        <w:rPr>
          <w:rFonts w:hint="eastAsia"/>
          <w:lang w:val="en-US" w:eastAsia="zh-CN"/>
        </w:rPr>
        <w:t>(</w:t>
      </w:r>
      <w:r w:rsidR="000E7A8E" w:rsidRPr="00D77BAD">
        <w:rPr>
          <w:lang w:val="en-US" w:eastAsia="zh-CN"/>
        </w:rPr>
        <w:t>Fig 2</w:t>
      </w:r>
      <w:r w:rsidR="00D77BAD" w:rsidRPr="00D77BAD">
        <w:rPr>
          <w:rFonts w:hint="eastAsia"/>
          <w:lang w:val="en-US" w:eastAsia="zh-CN"/>
        </w:rPr>
        <w:t>D</w:t>
      </w:r>
      <w:r w:rsidR="000E7A8E" w:rsidRPr="00D77BAD">
        <w:rPr>
          <w:rFonts w:hint="eastAsia"/>
          <w:lang w:val="en-US" w:eastAsia="zh-CN"/>
        </w:rPr>
        <w:t>)</w:t>
      </w:r>
      <w:r w:rsidRPr="00D77BAD">
        <w:rPr>
          <w:rFonts w:hint="eastAsia"/>
          <w:lang w:val="en-US" w:eastAsia="zh-CN"/>
        </w:rPr>
        <w:t xml:space="preserve">. Together, these data delineate a pathogenic circuit whereby </w:t>
      </w:r>
      <w:r w:rsidRPr="00D77BAD">
        <w:rPr>
          <w:rFonts w:hint="eastAsia"/>
          <w:i/>
          <w:iCs/>
          <w:lang w:val="en-US" w:eastAsia="zh-CN"/>
        </w:rPr>
        <w:t>Cryptococcu</w:t>
      </w:r>
      <w:r w:rsidRPr="00D77BAD">
        <w:rPr>
          <w:i/>
          <w:iCs/>
          <w:lang w:val="en-US" w:eastAsia="zh-CN"/>
        </w:rPr>
        <w:t>s</w:t>
      </w:r>
      <w:r w:rsidRPr="00D77BAD">
        <w:rPr>
          <w:lang w:val="en-US" w:eastAsia="zh-CN"/>
        </w:rPr>
        <w:t xml:space="preserve"> exploits the STING-PFKFB3 axis to enforce glycolytic paralysis and immune tolerance, revealing actionable targets for metabolic checkpoint immunotherapy.</w:t>
      </w:r>
    </w:p>
    <w:p w14:paraId="39F156DA" w14:textId="5CBE840B" w:rsidR="00996CD7" w:rsidRPr="00D77BAD" w:rsidRDefault="00996CD7">
      <w:r w:rsidRPr="00D77BAD">
        <w:rPr>
          <w:b/>
          <w:bCs/>
        </w:rPr>
        <w:t>Conclusions</w:t>
      </w:r>
      <w:r w:rsidRPr="00D77BAD">
        <w:t>:</w:t>
      </w:r>
    </w:p>
    <w:p w14:paraId="13D01230" w14:textId="1BEB2006" w:rsidR="00996CD7" w:rsidRDefault="009B4792" w:rsidP="009B4792">
      <w:pPr>
        <w:spacing w:after="0" w:line="240" w:lineRule="auto"/>
      </w:pPr>
      <w:r w:rsidRPr="009B4792">
        <w:t>Cryptococcal infection upregulates STING in monocytes, which directly binds to PFKFB3, suppressing glycolysis and inducing immune tolerance</w:t>
      </w:r>
      <w:r w:rsidR="00951ED9" w:rsidRPr="00D77BAD">
        <w:t xml:space="preserve">. Targeting the STING-PFKFB3 axis restores immunometabolic function and enhances antifungal responses. These findings establish STING as a master regulator of immunometabolic reprogramming in </w:t>
      </w:r>
      <w:r w:rsidR="00951ED9" w:rsidRPr="00D77BAD">
        <w:rPr>
          <w:rFonts w:hint="eastAsia"/>
          <w:lang w:eastAsia="zh-CN"/>
        </w:rPr>
        <w:t>non</w:t>
      </w:r>
      <w:r w:rsidR="00951ED9" w:rsidRPr="00D77BAD">
        <w:rPr>
          <w:lang w:eastAsia="zh-CN"/>
        </w:rPr>
        <w:t xml:space="preserve">-HIV </w:t>
      </w:r>
      <w:r w:rsidR="00951ED9" w:rsidRPr="00D77BAD">
        <w:t>CM and provide a novel therapeutic strategy.</w:t>
      </w:r>
    </w:p>
    <w:sectPr w:rsidR="00996CD7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7"/>
    <w:rsid w:val="000E7A8E"/>
    <w:rsid w:val="00491EC8"/>
    <w:rsid w:val="005B610D"/>
    <w:rsid w:val="006C2EE9"/>
    <w:rsid w:val="007F1E21"/>
    <w:rsid w:val="0084097F"/>
    <w:rsid w:val="00951ED9"/>
    <w:rsid w:val="00983C1F"/>
    <w:rsid w:val="00996CD7"/>
    <w:rsid w:val="009B4792"/>
    <w:rsid w:val="00CA78D8"/>
    <w:rsid w:val="00D26EAE"/>
    <w:rsid w:val="00D604FF"/>
    <w:rsid w:val="00D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284C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ED9"/>
    <w:pPr>
      <w:spacing w:before="100" w:beforeAutospacing="1" w:after="100" w:afterAutospacing="1" w:line="240" w:lineRule="auto"/>
    </w:pPr>
    <w:rPr>
      <w:rFonts w:ascii="宋体" w:eastAsia="宋体" w:hAnsi="宋体" w:cs="宋体"/>
      <w:noProof w:val="0"/>
      <w:sz w:val="24"/>
      <w:szCs w:val="24"/>
      <w:lang w:val="en-US" w:eastAsia="zh-CN"/>
    </w:rPr>
  </w:style>
  <w:style w:type="character" w:styleId="a4">
    <w:name w:val="Emphasis"/>
    <w:basedOn w:val="a0"/>
    <w:uiPriority w:val="20"/>
    <w:qFormat/>
    <w:rsid w:val="00951E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5BB6B2551204E90E87C9C4CC28D74" ma:contentTypeVersion="17" ma:contentTypeDescription="Een nieuw document maken." ma:contentTypeScope="" ma:versionID="94655affa9f5700b87be3031a122f1e2">
  <xsd:schema xmlns:xsd="http://www.w3.org/2001/XMLSchema" xmlns:xs="http://www.w3.org/2001/XMLSchema" xmlns:p="http://schemas.microsoft.com/office/2006/metadata/properties" xmlns:ns2="07d8587c-0836-4532-90f7-764b32c417a5" xmlns:ns3="70ec7d87-6c4d-40da-98cd-7b9ec8f457dc" xmlns:ns4="04cdc74e-25b3-4bba-ac0d-2981243ccd36" targetNamespace="http://schemas.microsoft.com/office/2006/metadata/properties" ma:root="true" ma:fieldsID="2d53a2a53c1f85a7d94802fbf0278ba1" ns2:_="" ns3:_="" ns4:_="">
    <xsd:import namespace="07d8587c-0836-4532-90f7-764b32c417a5"/>
    <xsd:import namespace="70ec7d87-6c4d-40da-98cd-7b9ec8f457dc"/>
    <xsd:import namespace="04cdc74e-25b3-4bba-ac0d-2981243ccd3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Archief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587c-0836-4532-90f7-764b32c417a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d324aff7-e125-433d-a6aa-4640c31b86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f32c97d-f913-4fd3-989e-eb9e1bc4521e}" ma:internalName="TaxCatchAll" ma:showField="CatchAllData" ma:web="07d8587c-0836-4532-90f7-764b32c4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7d87-6c4d-40da-98cd-7b9ec8f457dc" elementFormDefault="qualified">
    <xsd:import namespace="http://schemas.microsoft.com/office/2006/documentManagement/types"/>
    <xsd:import namespace="http://schemas.microsoft.com/office/infopath/2007/PartnerControls"/>
    <xsd:element name="Archief" ma:index="11" nillable="true" ma:displayName="Archief" ma:default="0" ma:description="Deze kolom geeft aan of een document gearchiveerd is." ma:indexed="true" ma:internalName="Archie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dc74e-25b3-4bba-ac0d-2981243c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7d8587c-0836-4532-90f7-764b32c417a5">
      <Terms xmlns="http://schemas.microsoft.com/office/infopath/2007/PartnerControls"/>
    </TaxKeywordTaxHTField>
    <TaxCatchAll xmlns="07d8587c-0836-4532-90f7-764b32c417a5" xsi:nil="true"/>
    <Archief xmlns="70ec7d87-6c4d-40da-98cd-7b9ec8f457dc">false</Archief>
  </documentManagement>
</p:properties>
</file>

<file path=customXml/itemProps1.xml><?xml version="1.0" encoding="utf-8"?>
<ds:datastoreItem xmlns:ds="http://schemas.openxmlformats.org/officeDocument/2006/customXml" ds:itemID="{84B56781-83AC-4604-B26E-0CA3757FE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541AE-39F1-44BF-94A2-B02F1A3C8D3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916A124-A321-466F-B56B-5101A4D2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8587c-0836-4532-90f7-764b32c417a5"/>
    <ds:schemaRef ds:uri="70ec7d87-6c4d-40da-98cd-7b9ec8f457dc"/>
    <ds:schemaRef ds:uri="04cdc74e-25b3-4bba-ac0d-2981243c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3028C-AC82-48B4-B312-BC32F8C1D313}">
  <ds:schemaRefs>
    <ds:schemaRef ds:uri="http://schemas.microsoft.com/office/2006/metadata/properties"/>
    <ds:schemaRef ds:uri="http://schemas.microsoft.com/office/infopath/2007/PartnerControls"/>
    <ds:schemaRef ds:uri="07d8587c-0836-4532-90f7-764b32c417a5"/>
    <ds:schemaRef ds:uri="70ec7d87-6c4d-40da-98cd-7b9ec8f45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Linghong Zhou</cp:lastModifiedBy>
  <cp:revision>10</cp:revision>
  <dcterms:created xsi:type="dcterms:W3CDTF">2021-02-19T15:06:00Z</dcterms:created>
  <dcterms:modified xsi:type="dcterms:W3CDTF">2025-04-26T11:08:00Z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0x010100A1E5BB6B2551204E90E87C9C4CC28D74</vt:lpwstr>
  </property>
</Properties>
</file>