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B7918" w14:textId="1676459A" w:rsidR="00B6630A" w:rsidRPr="0035501B" w:rsidRDefault="00B6630A" w:rsidP="00B6630A">
      <w:pPr>
        <w:spacing w:before="240" w:after="240"/>
        <w:jc w:val="both"/>
        <w:rPr>
          <w:b/>
          <w:bCs/>
          <w:lang w:val="en-US"/>
        </w:rPr>
      </w:pPr>
      <w:r w:rsidRPr="0035501B">
        <w:rPr>
          <w:b/>
          <w:bCs/>
          <w:lang w:val="en-US"/>
        </w:rPr>
        <w:t xml:space="preserve">Antimicrobial Peptides: </w:t>
      </w:r>
      <w:r w:rsidR="001370C0" w:rsidRPr="0035501B">
        <w:rPr>
          <w:b/>
          <w:bCs/>
          <w:lang w:val="en-US"/>
        </w:rPr>
        <w:t>A</w:t>
      </w:r>
      <w:r w:rsidRPr="0035501B">
        <w:rPr>
          <w:b/>
          <w:bCs/>
          <w:lang w:val="en-US"/>
        </w:rPr>
        <w:t xml:space="preserve"> New Frontier in Antifungal Treatment</w:t>
      </w:r>
      <w:r w:rsidR="001370C0" w:rsidRPr="0035501B">
        <w:rPr>
          <w:b/>
          <w:bCs/>
          <w:lang w:val="en-US"/>
        </w:rPr>
        <w:t>s</w:t>
      </w:r>
    </w:p>
    <w:p w14:paraId="0448DF9D" w14:textId="77777777" w:rsidR="00253265" w:rsidRPr="0035501B" w:rsidRDefault="00000000">
      <w:pPr>
        <w:spacing w:before="240" w:after="240"/>
        <w:jc w:val="both"/>
      </w:pPr>
      <w:r w:rsidRPr="0035501B">
        <w:rPr>
          <w:b/>
        </w:rPr>
        <w:t xml:space="preserve">Objectives: </w:t>
      </w:r>
      <w:r w:rsidR="00B6630A" w:rsidRPr="0035501B">
        <w:rPr>
          <w:bCs/>
        </w:rPr>
        <w:t xml:space="preserve">Expanding the antifungal drug arsenal for treating </w:t>
      </w:r>
      <w:r w:rsidR="00B6630A" w:rsidRPr="0035501B">
        <w:rPr>
          <w:bCs/>
          <w:i/>
          <w:iCs/>
        </w:rPr>
        <w:t>Candida</w:t>
      </w:r>
      <w:r w:rsidR="00B6630A" w:rsidRPr="0035501B">
        <w:rPr>
          <w:bCs/>
        </w:rPr>
        <w:t xml:space="preserve"> infections is crucial in this era of the rising life expectancy of patients with immunosuppression and comorbidities. Infections caused by </w:t>
      </w:r>
      <w:r w:rsidR="00B6630A" w:rsidRPr="0035501B">
        <w:rPr>
          <w:bCs/>
          <w:i/>
          <w:iCs/>
        </w:rPr>
        <w:t xml:space="preserve">Candida </w:t>
      </w:r>
      <w:r w:rsidR="00B6630A" w:rsidRPr="0035501B">
        <w:rPr>
          <w:bCs/>
        </w:rPr>
        <w:t xml:space="preserve">species are on the rise, including those caused by multidrug-resistant strains or species, and the list of antifungals approved for treating these infections is still limited. Antimicrobial peptides (AMPs), expressed in several organisms and used as first-line </w:t>
      </w:r>
      <w:r w:rsidR="00DE129A" w:rsidRPr="0035501B">
        <w:rPr>
          <w:bCs/>
        </w:rPr>
        <w:t>defences</w:t>
      </w:r>
      <w:r w:rsidR="00B6630A" w:rsidRPr="0035501B">
        <w:rPr>
          <w:bCs/>
        </w:rPr>
        <w:t xml:space="preserve"> against microbial infections, have emerged as potential candidates for developing new antifungal therapies, characterized by negligible host toxicity and low resistance rates. Most of the current literature focuses on peptides with antibacterial activity, but there </w:t>
      </w:r>
      <w:r w:rsidR="001370C0" w:rsidRPr="0035501B">
        <w:rPr>
          <w:bCs/>
        </w:rPr>
        <w:t>is less information on</w:t>
      </w:r>
      <w:r w:rsidR="00B6630A" w:rsidRPr="0035501B">
        <w:rPr>
          <w:bCs/>
        </w:rPr>
        <w:t xml:space="preserve"> their antifungal properties. </w:t>
      </w:r>
      <w:r w:rsidRPr="0035501B">
        <w:t xml:space="preserve">This study explores the antifungal spectrum of </w:t>
      </w:r>
      <w:r w:rsidR="001370C0" w:rsidRPr="0035501B">
        <w:t>two</w:t>
      </w:r>
      <w:r w:rsidR="00B6630A" w:rsidRPr="0035501B">
        <w:t xml:space="preserve"> </w:t>
      </w:r>
      <w:r w:rsidRPr="0035501B">
        <w:t>antimicrobial peptides</w:t>
      </w:r>
      <w:r w:rsidR="00B6630A" w:rsidRPr="0035501B">
        <w:t xml:space="preserve"> - </w:t>
      </w:r>
      <w:r w:rsidR="00B6630A" w:rsidRPr="0035501B">
        <w:rPr>
          <w:i/>
        </w:rPr>
        <w:t>Oreoch-1</w:t>
      </w:r>
      <w:r w:rsidR="00B6630A" w:rsidRPr="0035501B">
        <w:t xml:space="preserve">, </w:t>
      </w:r>
      <w:r w:rsidR="001370C0" w:rsidRPr="0035501B">
        <w:t>isolated</w:t>
      </w:r>
      <w:r w:rsidR="00B6630A" w:rsidRPr="0035501B">
        <w:t xml:space="preserve"> from the gills of Nile tilapia (</w:t>
      </w:r>
      <w:r w:rsidR="00B6630A" w:rsidRPr="0035501B">
        <w:rPr>
          <w:i/>
        </w:rPr>
        <w:t>Oreochromis niloticus</w:t>
      </w:r>
      <w:r w:rsidR="00B6630A" w:rsidRPr="0035501B">
        <w:t xml:space="preserve">), and </w:t>
      </w:r>
      <w:r w:rsidR="00B6630A" w:rsidRPr="0035501B">
        <w:rPr>
          <w:i/>
        </w:rPr>
        <w:t xml:space="preserve">Ranalexin-1G </w:t>
      </w:r>
      <w:r w:rsidR="00B6630A" w:rsidRPr="0035501B">
        <w:t>isolated</w:t>
      </w:r>
      <w:r w:rsidR="00E73C49" w:rsidRPr="0035501B">
        <w:t xml:space="preserve"> from</w:t>
      </w:r>
      <w:r w:rsidR="00B6630A" w:rsidRPr="0035501B">
        <w:t xml:space="preserve"> </w:t>
      </w:r>
      <w:r w:rsidR="00E73C49" w:rsidRPr="0035501B">
        <w:t xml:space="preserve">the skin of the </w:t>
      </w:r>
      <w:r w:rsidR="00E73C49" w:rsidRPr="0035501B">
        <w:t>bullfrog</w:t>
      </w:r>
      <w:r w:rsidR="00E73C49" w:rsidRPr="0035501B">
        <w:t xml:space="preserve"> (</w:t>
      </w:r>
      <w:r w:rsidR="00E73C49" w:rsidRPr="0035501B">
        <w:rPr>
          <w:i/>
          <w:iCs/>
        </w:rPr>
        <w:t xml:space="preserve">Rana </w:t>
      </w:r>
      <w:proofErr w:type="spellStart"/>
      <w:r w:rsidR="00E73C49" w:rsidRPr="0035501B">
        <w:rPr>
          <w:i/>
          <w:iCs/>
        </w:rPr>
        <w:t>catesbeiana</w:t>
      </w:r>
      <w:proofErr w:type="spellEnd"/>
      <w:r w:rsidR="00E73C49" w:rsidRPr="0035501B">
        <w:t>)</w:t>
      </w:r>
      <w:r w:rsidR="001370C0" w:rsidRPr="0035501B">
        <w:t xml:space="preserve">. </w:t>
      </w:r>
      <w:r w:rsidRPr="0035501B">
        <w:t xml:space="preserve"> </w:t>
      </w:r>
    </w:p>
    <w:p w14:paraId="642F8BB5" w14:textId="77777777" w:rsidR="00253265" w:rsidRPr="0035501B" w:rsidRDefault="001370C0">
      <w:pPr>
        <w:spacing w:before="240" w:after="240"/>
        <w:jc w:val="both"/>
      </w:pPr>
      <w:r w:rsidRPr="0035501B">
        <w:rPr>
          <w:b/>
          <w:bCs/>
        </w:rPr>
        <w:t xml:space="preserve">Materials and Methods: </w:t>
      </w:r>
      <w:r w:rsidRPr="0035501B">
        <w:t>Firstly, we checked in vitro cytotoxicity of the two AMPs through the MTT assay against human and animal cell lines. Secondly, their antifungal spectrum was explored via</w:t>
      </w:r>
      <w:r w:rsidR="00EF0B5F" w:rsidRPr="0035501B">
        <w:t xml:space="preserve"> the </w:t>
      </w:r>
      <w:r w:rsidRPr="0035501B">
        <w:t>broth-microdilution metho</w:t>
      </w:r>
      <w:r w:rsidR="00EF0B5F" w:rsidRPr="0035501B">
        <w:t>d</w:t>
      </w:r>
      <w:r w:rsidRPr="0035501B">
        <w:t xml:space="preserve"> and time-killing curve analysis. Additionally, </w:t>
      </w:r>
      <w:r w:rsidR="00EF0B5F" w:rsidRPr="0035501B">
        <w:t xml:space="preserve">the antibiofilm mechanism of action of peptides was also investigated, suggesting that they had a crucial role during the biofilm formation step by inhibiting it. </w:t>
      </w:r>
    </w:p>
    <w:p w14:paraId="5C097C14" w14:textId="77777777" w:rsidR="00253265" w:rsidRPr="0035501B" w:rsidRDefault="00EF0B5F">
      <w:pPr>
        <w:spacing w:before="240" w:after="240"/>
        <w:jc w:val="both"/>
      </w:pPr>
      <w:r w:rsidRPr="0035501B">
        <w:rPr>
          <w:b/>
          <w:bCs/>
        </w:rPr>
        <w:t>Results:</w:t>
      </w:r>
      <w:r w:rsidRPr="0035501B">
        <w:t xml:space="preserve"> A</w:t>
      </w:r>
      <w:r w:rsidR="001370C0" w:rsidRPr="0035501B">
        <w:t>t non-toxic concentrations (</w:t>
      </w:r>
      <w:r w:rsidRPr="0035501B">
        <w:t>25</w:t>
      </w:r>
      <w:r w:rsidR="001370C0" w:rsidRPr="0035501B">
        <w:t xml:space="preserve">-12.5 </w:t>
      </w:r>
      <w:proofErr w:type="spellStart"/>
      <w:r w:rsidR="001370C0" w:rsidRPr="0035501B">
        <w:t>μ</w:t>
      </w:r>
      <w:r w:rsidRPr="0035501B">
        <w:t>M</w:t>
      </w:r>
      <w:proofErr w:type="spellEnd"/>
      <w:r w:rsidR="001370C0" w:rsidRPr="0035501B">
        <w:t xml:space="preserve">), the </w:t>
      </w:r>
      <w:r w:rsidRPr="0035501B">
        <w:t>AMPs</w:t>
      </w:r>
      <w:r w:rsidR="001370C0" w:rsidRPr="0035501B">
        <w:t xml:space="preserve"> exerted interesting anti-Candida activity</w:t>
      </w:r>
      <w:r w:rsidRPr="0035501B">
        <w:t xml:space="preserve">: </w:t>
      </w:r>
      <w:r w:rsidRPr="0035501B">
        <w:rPr>
          <w:i/>
        </w:rPr>
        <w:t>Oreoch-1</w:t>
      </w:r>
      <w:r w:rsidRPr="0035501B">
        <w:t>, showed its minimum inhibitory concentration that inhibits the growth of 90% of tested strains (</w:t>
      </w:r>
      <w:bookmarkStart w:id="0" w:name="_Hlk196298916"/>
      <w:r w:rsidRPr="0035501B">
        <w:t>MIC90</w:t>
      </w:r>
      <w:bookmarkEnd w:id="0"/>
      <w:r w:rsidRPr="0035501B">
        <w:t xml:space="preserve">) at 25 µM, impairing the growth of both </w:t>
      </w:r>
      <w:r w:rsidRPr="0035501B">
        <w:rPr>
          <w:i/>
        </w:rPr>
        <w:t>fluconazole</w:t>
      </w:r>
      <w:r w:rsidRPr="0035501B">
        <w:t>-resistant</w:t>
      </w:r>
      <w:r w:rsidR="0063756E" w:rsidRPr="0035501B">
        <w:t xml:space="preserve"> (</w:t>
      </w:r>
      <w:r w:rsidR="0063756E" w:rsidRPr="0035501B">
        <w:rPr>
          <w:i/>
          <w:iCs/>
        </w:rPr>
        <w:t>Candida</w:t>
      </w:r>
      <w:r w:rsidR="0063756E" w:rsidRPr="0035501B">
        <w:rPr>
          <w:i/>
          <w:iCs/>
        </w:rPr>
        <w:t xml:space="preserve"> albicans</w:t>
      </w:r>
      <w:r w:rsidR="0063756E" w:rsidRPr="0035501B">
        <w:t xml:space="preserve"> ATCC 10231</w:t>
      </w:r>
      <w:r w:rsidR="0063756E" w:rsidRPr="0035501B">
        <w:t>)</w:t>
      </w:r>
      <w:r w:rsidR="0063756E" w:rsidRPr="0035501B">
        <w:t xml:space="preserve"> </w:t>
      </w:r>
      <w:r w:rsidRPr="0035501B">
        <w:t>and sensitive</w:t>
      </w:r>
      <w:r w:rsidR="0063756E" w:rsidRPr="0035501B">
        <w:t xml:space="preserve"> (</w:t>
      </w:r>
      <w:r w:rsidR="0063756E" w:rsidRPr="0035501B">
        <w:rPr>
          <w:i/>
          <w:iCs/>
        </w:rPr>
        <w:t>Candida</w:t>
      </w:r>
      <w:r w:rsidR="0063756E" w:rsidRPr="0035501B">
        <w:rPr>
          <w:i/>
          <w:iCs/>
        </w:rPr>
        <w:t xml:space="preserve"> albicans</w:t>
      </w:r>
      <w:r w:rsidR="0063756E" w:rsidRPr="0035501B">
        <w:t xml:space="preserve"> ATCC </w:t>
      </w:r>
      <w:r w:rsidR="0063756E" w:rsidRPr="0035501B">
        <w:t>90028)</w:t>
      </w:r>
      <w:r w:rsidRPr="0035501B">
        <w:t xml:space="preserve"> strains</w:t>
      </w:r>
      <w:r w:rsidR="00CD5E48" w:rsidRPr="0035501B">
        <w:t xml:space="preserve">. Surprisingly, </w:t>
      </w:r>
      <w:r w:rsidRPr="0035501B">
        <w:t xml:space="preserve">it recorded a MIC90 </w:t>
      </w:r>
      <w:r w:rsidR="00CD5E48" w:rsidRPr="0035501B">
        <w:t>at</w:t>
      </w:r>
      <w:r w:rsidRPr="0035501B">
        <w:t xml:space="preserve"> 12.5 µM against the clinical isolate</w:t>
      </w:r>
      <w:r w:rsidR="00CD5E48" w:rsidRPr="0035501B">
        <w:t>.</w:t>
      </w:r>
      <w:r w:rsidRPr="0035501B">
        <w:t xml:space="preserve"> </w:t>
      </w:r>
      <w:r w:rsidR="00CD5E48" w:rsidRPr="0035501B">
        <w:t xml:space="preserve">Parallel screening of </w:t>
      </w:r>
      <w:r w:rsidR="00CD5E48" w:rsidRPr="0035501B">
        <w:rPr>
          <w:i/>
          <w:iCs/>
        </w:rPr>
        <w:t>Ranalexin-1G</w:t>
      </w:r>
      <w:r w:rsidR="00CD5E48" w:rsidRPr="0035501B">
        <w:t xml:space="preserve"> against a </w:t>
      </w:r>
      <w:r w:rsidR="00CD5E48" w:rsidRPr="0035501B">
        <w:rPr>
          <w:i/>
          <w:iCs/>
        </w:rPr>
        <w:t>fluconazole</w:t>
      </w:r>
      <w:r w:rsidR="00CD5E48" w:rsidRPr="0035501B">
        <w:t xml:space="preserve">-resistant and sensitive ATCC strain revealed its MIC90 at 12.5 µM against both strains. Furthermore, both peptides </w:t>
      </w:r>
      <w:r w:rsidR="00DE129A" w:rsidRPr="0035501B">
        <w:t xml:space="preserve">showed </w:t>
      </w:r>
      <w:r w:rsidR="00DE129A" w:rsidRPr="0035501B">
        <w:t>significant reduction in</w:t>
      </w:r>
      <w:r w:rsidR="00DE129A" w:rsidRPr="0035501B">
        <w:t xml:space="preserve"> </w:t>
      </w:r>
      <w:r w:rsidR="00CD5E48" w:rsidRPr="0035501B">
        <w:t xml:space="preserve">biofilm formation at </w:t>
      </w:r>
      <w:r w:rsidR="00DE129A" w:rsidRPr="0035501B">
        <w:t>MIC concentrations</w:t>
      </w:r>
      <w:r w:rsidR="00CD5E48" w:rsidRPr="0035501B">
        <w:t xml:space="preserve"> against </w:t>
      </w:r>
      <w:r w:rsidR="00DE129A" w:rsidRPr="0035501B">
        <w:rPr>
          <w:i/>
        </w:rPr>
        <w:t>fluconazole</w:t>
      </w:r>
      <w:r w:rsidR="00DE129A" w:rsidRPr="0035501B">
        <w:t>-resistant ATCC strain</w:t>
      </w:r>
      <w:r w:rsidR="00CD5E48" w:rsidRPr="0035501B">
        <w:t xml:space="preserve">. </w:t>
      </w:r>
      <w:r w:rsidR="00000000" w:rsidRPr="0035501B">
        <w:t xml:space="preserve">Time-kill kinetic assay of </w:t>
      </w:r>
      <w:r w:rsidR="00FA0934" w:rsidRPr="0035501B">
        <w:rPr>
          <w:i/>
          <w:iCs/>
        </w:rPr>
        <w:t>Oreoch-1</w:t>
      </w:r>
      <w:r w:rsidR="00FA0934" w:rsidRPr="0035501B">
        <w:t xml:space="preserve"> and </w:t>
      </w:r>
      <w:r w:rsidR="00000000" w:rsidRPr="0035501B">
        <w:rPr>
          <w:i/>
        </w:rPr>
        <w:t>Ranalexin-1G</w:t>
      </w:r>
      <w:r w:rsidR="00000000" w:rsidRPr="0035501B">
        <w:t xml:space="preserve"> demonstrate</w:t>
      </w:r>
      <w:r w:rsidR="00FA0934" w:rsidRPr="0035501B">
        <w:t>d</w:t>
      </w:r>
      <w:r w:rsidR="00000000" w:rsidRPr="0035501B">
        <w:t xml:space="preserve"> potent, concentration-dependent </w:t>
      </w:r>
      <w:r w:rsidR="00FA0934" w:rsidRPr="0035501B">
        <w:t xml:space="preserve">fungicidal </w:t>
      </w:r>
      <w:r w:rsidR="00000000" w:rsidRPr="0035501B">
        <w:t>activity against</w:t>
      </w:r>
      <w:r w:rsidR="00FA0934" w:rsidRPr="0035501B">
        <w:t xml:space="preserve"> </w:t>
      </w:r>
      <w:r w:rsidR="0063756E" w:rsidRPr="0035501B">
        <w:rPr>
          <w:i/>
        </w:rPr>
        <w:t>fluconazole</w:t>
      </w:r>
      <w:r w:rsidR="0063756E" w:rsidRPr="0035501B">
        <w:t>-resistant ATCC</w:t>
      </w:r>
      <w:r w:rsidR="0063756E" w:rsidRPr="0035501B">
        <w:t xml:space="preserve"> </w:t>
      </w:r>
      <w:r w:rsidR="00FA0934" w:rsidRPr="0035501B">
        <w:t>strain at 24h</w:t>
      </w:r>
      <w:r w:rsidR="00000000" w:rsidRPr="0035501B">
        <w:t xml:space="preserve">. </w:t>
      </w:r>
      <w:r w:rsidR="00FA0934" w:rsidRPr="0035501B">
        <w:t>In contrast,</w:t>
      </w:r>
      <w:r w:rsidR="00000000" w:rsidRPr="0035501B">
        <w:t xml:space="preserve"> the</w:t>
      </w:r>
      <w:r w:rsidR="00FA0934" w:rsidRPr="0035501B">
        <w:t xml:space="preserve">y exploited a fungistatic activity against the </w:t>
      </w:r>
      <w:r w:rsidR="0063756E" w:rsidRPr="0035501B">
        <w:rPr>
          <w:i/>
        </w:rPr>
        <w:t>fluconazole</w:t>
      </w:r>
      <w:r w:rsidR="0063756E" w:rsidRPr="0035501B">
        <w:t>-</w:t>
      </w:r>
      <w:r w:rsidR="0063756E" w:rsidRPr="0035501B">
        <w:t>sensitive</w:t>
      </w:r>
      <w:r w:rsidR="0063756E" w:rsidRPr="0035501B">
        <w:t xml:space="preserve"> ATCC strain</w:t>
      </w:r>
      <w:r w:rsidR="00000000" w:rsidRPr="0035501B">
        <w:t xml:space="preserve">. This suggests strain-specific differences in susceptibility, with </w:t>
      </w:r>
      <w:r w:rsidR="00FA0934" w:rsidRPr="0035501B">
        <w:t xml:space="preserve">the </w:t>
      </w:r>
      <w:r w:rsidR="0063756E" w:rsidRPr="0035501B">
        <w:rPr>
          <w:i/>
        </w:rPr>
        <w:t>fluconazole</w:t>
      </w:r>
      <w:r w:rsidR="0063756E" w:rsidRPr="0035501B">
        <w:t>-sensitive ATCC</w:t>
      </w:r>
      <w:r w:rsidR="0063756E" w:rsidRPr="0035501B">
        <w:t xml:space="preserve"> </w:t>
      </w:r>
      <w:r w:rsidR="00FA0934" w:rsidRPr="0035501B">
        <w:t>strain</w:t>
      </w:r>
      <w:r w:rsidR="00000000" w:rsidRPr="0035501B">
        <w:t xml:space="preserve"> potentially requiring higher concentrations for a complete fungicidal effect.</w:t>
      </w:r>
      <w:r w:rsidR="00FA0934" w:rsidRPr="0035501B">
        <w:t xml:space="preserve"> </w:t>
      </w:r>
    </w:p>
    <w:p w14:paraId="00000010" w14:textId="1B566265" w:rsidR="00BC0F74" w:rsidRPr="0035501B" w:rsidRDefault="00FA0934">
      <w:pPr>
        <w:spacing w:before="240" w:after="240"/>
        <w:jc w:val="both"/>
      </w:pPr>
      <w:r w:rsidRPr="0035501B">
        <w:rPr>
          <w:b/>
          <w:bCs/>
        </w:rPr>
        <w:t>Conclusions</w:t>
      </w:r>
      <w:r w:rsidRPr="0035501B">
        <w:t xml:space="preserve">: </w:t>
      </w:r>
      <w:r w:rsidR="00000000" w:rsidRPr="0035501B">
        <w:t xml:space="preserve">These results highlight </w:t>
      </w:r>
      <w:r w:rsidR="00000000" w:rsidRPr="0035501B">
        <w:rPr>
          <w:i/>
        </w:rPr>
        <w:t>Oreoch-1</w:t>
      </w:r>
      <w:r w:rsidR="00000000" w:rsidRPr="0035501B">
        <w:t xml:space="preserve"> and </w:t>
      </w:r>
      <w:r w:rsidR="00000000" w:rsidRPr="0035501B">
        <w:rPr>
          <w:i/>
        </w:rPr>
        <w:t>Ranalexin-1G</w:t>
      </w:r>
      <w:r w:rsidR="00000000" w:rsidRPr="0035501B">
        <w:t xml:space="preserve"> as promising candidates for combating</w:t>
      </w:r>
      <w:r w:rsidR="00000000" w:rsidRPr="0035501B">
        <w:rPr>
          <w:i/>
        </w:rPr>
        <w:t xml:space="preserve"> C. albicans</w:t>
      </w:r>
      <w:r w:rsidR="00000000" w:rsidRPr="0035501B">
        <w:t xml:space="preserve"> infections.</w:t>
      </w:r>
    </w:p>
    <w:p w14:paraId="00000011" w14:textId="77777777" w:rsidR="00BC0F74" w:rsidRPr="0035501B" w:rsidRDefault="00000000">
      <w:pPr>
        <w:spacing w:before="240" w:after="240"/>
        <w:jc w:val="both"/>
      </w:pPr>
      <w:r w:rsidRPr="0035501B">
        <w:t xml:space="preserve"> </w:t>
      </w:r>
    </w:p>
    <w:p w14:paraId="00000012" w14:textId="77777777" w:rsidR="00BC0F74" w:rsidRPr="0035501B" w:rsidRDefault="00BC0F74">
      <w:pPr>
        <w:jc w:val="both"/>
      </w:pPr>
    </w:p>
    <w:sectPr w:rsidR="00BC0F74" w:rsidRPr="003550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74"/>
    <w:rsid w:val="001370C0"/>
    <w:rsid w:val="001531F9"/>
    <w:rsid w:val="00253265"/>
    <w:rsid w:val="00261339"/>
    <w:rsid w:val="0035501B"/>
    <w:rsid w:val="0063756E"/>
    <w:rsid w:val="007105A5"/>
    <w:rsid w:val="00B6630A"/>
    <w:rsid w:val="00BC0F74"/>
    <w:rsid w:val="00CD5E48"/>
    <w:rsid w:val="00DE129A"/>
    <w:rsid w:val="00E73C49"/>
    <w:rsid w:val="00EF0B5F"/>
    <w:rsid w:val="00EF34AA"/>
    <w:rsid w:val="00FA0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361A8"/>
  <w15:docId w15:val="{5719CEF4-7FC3-4EBC-8D78-CC7ABF3C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4287">
      <w:bodyDiv w:val="1"/>
      <w:marLeft w:val="0"/>
      <w:marRight w:val="0"/>
      <w:marTop w:val="0"/>
      <w:marBottom w:val="0"/>
      <w:divBdr>
        <w:top w:val="none" w:sz="0" w:space="0" w:color="auto"/>
        <w:left w:val="none" w:sz="0" w:space="0" w:color="auto"/>
        <w:bottom w:val="none" w:sz="0" w:space="0" w:color="auto"/>
        <w:right w:val="none" w:sz="0" w:space="0" w:color="auto"/>
      </w:divBdr>
    </w:div>
    <w:div w:id="749890799">
      <w:bodyDiv w:val="1"/>
      <w:marLeft w:val="0"/>
      <w:marRight w:val="0"/>
      <w:marTop w:val="0"/>
      <w:marBottom w:val="0"/>
      <w:divBdr>
        <w:top w:val="none" w:sz="0" w:space="0" w:color="auto"/>
        <w:left w:val="none" w:sz="0" w:space="0" w:color="auto"/>
        <w:bottom w:val="none" w:sz="0" w:space="0" w:color="auto"/>
        <w:right w:val="none" w:sz="0" w:space="0" w:color="auto"/>
      </w:divBdr>
    </w:div>
    <w:div w:id="982779576">
      <w:bodyDiv w:val="1"/>
      <w:marLeft w:val="0"/>
      <w:marRight w:val="0"/>
      <w:marTop w:val="0"/>
      <w:marBottom w:val="0"/>
      <w:divBdr>
        <w:top w:val="none" w:sz="0" w:space="0" w:color="auto"/>
        <w:left w:val="none" w:sz="0" w:space="0" w:color="auto"/>
        <w:bottom w:val="none" w:sz="0" w:space="0" w:color="auto"/>
        <w:right w:val="none" w:sz="0" w:space="0" w:color="auto"/>
      </w:divBdr>
    </w:div>
    <w:div w:id="107886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1432</TotalTime>
  <Pages>1</Pages>
  <Words>422</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Preetu Parimal</cp:lastModifiedBy>
  <cp:revision>5</cp:revision>
  <dcterms:created xsi:type="dcterms:W3CDTF">2025-04-26T15:42:00Z</dcterms:created>
  <dcterms:modified xsi:type="dcterms:W3CDTF">2025-04-27T15:29:00Z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68cdfaddc35b90e1444fe5271bed3aa6982f4daf4062359b0e05cdaa83fae23e</vt:lpwstr>
  </property>
</Properties>
</file>