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B2D8" w14:textId="77777777" w:rsidR="00FC198C" w:rsidRPr="00FE49BD" w:rsidRDefault="00FC198C" w:rsidP="00FC198C">
      <w:pPr>
        <w:jc w:val="both"/>
        <w:rPr>
          <w:lang w:val="en-US"/>
        </w:rPr>
      </w:pPr>
      <w:r w:rsidRPr="00254D4F">
        <w:rPr>
          <w:b/>
          <w:bCs/>
          <w:lang w:val="en-US"/>
        </w:rPr>
        <w:t>Objectives: </w:t>
      </w:r>
      <w:proofErr w:type="spellStart"/>
      <w:r w:rsidRPr="00FE49BD">
        <w:rPr>
          <w:lang w:val="en-US"/>
        </w:rPr>
        <w:t>Olorofim</w:t>
      </w:r>
      <w:proofErr w:type="spellEnd"/>
      <w:r>
        <w:rPr>
          <w:lang w:val="en-US"/>
        </w:rPr>
        <w:t xml:space="preserve">, </w:t>
      </w:r>
      <w:r w:rsidRPr="00FE49BD">
        <w:rPr>
          <w:lang w:val="en-US"/>
        </w:rPr>
        <w:t xml:space="preserve">an innovative antifungal from the </w:t>
      </w:r>
      <w:proofErr w:type="spellStart"/>
      <w:r w:rsidRPr="00FE49BD">
        <w:rPr>
          <w:lang w:val="en-US"/>
        </w:rPr>
        <w:t>orotomide</w:t>
      </w:r>
      <w:proofErr w:type="spellEnd"/>
      <w:r w:rsidRPr="00FE49BD">
        <w:rPr>
          <w:lang w:val="en-US"/>
        </w:rPr>
        <w:t xml:space="preserve"> family, inhibits dihydroorotate dehydrogenase, </w:t>
      </w:r>
      <w:r>
        <w:rPr>
          <w:lang w:val="en-US"/>
        </w:rPr>
        <w:t xml:space="preserve">thereby </w:t>
      </w:r>
      <w:r w:rsidRPr="00FE49BD">
        <w:rPr>
          <w:lang w:val="en-US"/>
        </w:rPr>
        <w:t xml:space="preserve">disrupting </w:t>
      </w:r>
      <w:r>
        <w:rPr>
          <w:lang w:val="en-US"/>
        </w:rPr>
        <w:t>pyrimidine</w:t>
      </w:r>
      <w:r w:rsidRPr="00FE49BD">
        <w:rPr>
          <w:lang w:val="en-US"/>
        </w:rPr>
        <w:t xml:space="preserve"> synthesis. It shows potent fungicidal activity against filamentous fungi and is in late clinical development. Reliable epidemiological cutoff values require </w:t>
      </w:r>
      <w:r>
        <w:rPr>
          <w:lang w:val="en-US"/>
        </w:rPr>
        <w:t>susceptibility</w:t>
      </w:r>
      <w:r w:rsidRPr="00FE49BD">
        <w:rPr>
          <w:lang w:val="en-US"/>
        </w:rPr>
        <w:t xml:space="preserve"> data from diverse regions; however, data on Latin America are scarce. This study aimed to evaluate </w:t>
      </w:r>
      <w:r w:rsidRPr="00FE49BD">
        <w:rPr>
          <w:i/>
          <w:iCs/>
          <w:lang w:val="en-US"/>
        </w:rPr>
        <w:t>in vitro</w:t>
      </w:r>
      <w:r w:rsidRPr="00FE49BD">
        <w:rPr>
          <w:lang w:val="en-US"/>
        </w:rPr>
        <w:t xml:space="preserve"> activity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o</w:t>
      </w:r>
      <w:r w:rsidRPr="00FE49BD">
        <w:rPr>
          <w:lang w:val="en-US"/>
        </w:rPr>
        <w:t>lorofim</w:t>
      </w:r>
      <w:proofErr w:type="spellEnd"/>
      <w:r w:rsidRPr="00FE49BD">
        <w:rPr>
          <w:lang w:val="en-US"/>
        </w:rPr>
        <w:t xml:space="preserve"> against 14 </w:t>
      </w:r>
      <w:r w:rsidRPr="00FE49BD">
        <w:rPr>
          <w:i/>
          <w:iCs/>
          <w:lang w:val="en-US"/>
        </w:rPr>
        <w:t>Aspergillus</w:t>
      </w:r>
      <w:r w:rsidRPr="00FE49BD">
        <w:rPr>
          <w:lang w:val="en-US"/>
        </w:rPr>
        <w:t xml:space="preserve"> species isolated from Argentinian patients, including cryptic and azole-resistant strains, and </w:t>
      </w:r>
      <w:r>
        <w:rPr>
          <w:lang w:val="en-US"/>
        </w:rPr>
        <w:t xml:space="preserve">to </w:t>
      </w:r>
      <w:r w:rsidRPr="00FE49BD">
        <w:rPr>
          <w:lang w:val="en-US"/>
        </w:rPr>
        <w:t>compare its efficacy with seven antifungals from other classes.</w:t>
      </w:r>
    </w:p>
    <w:p w14:paraId="7637CC6D" w14:textId="77777777" w:rsidR="00FC198C" w:rsidRDefault="00FC198C" w:rsidP="00FC198C">
      <w:pPr>
        <w:jc w:val="both"/>
        <w:rPr>
          <w:lang w:val="en-US"/>
        </w:rPr>
      </w:pPr>
      <w:r>
        <w:rPr>
          <w:b/>
          <w:bCs/>
          <w:lang w:val="en-US"/>
        </w:rPr>
        <w:t>Methods</w:t>
      </w:r>
      <w:r w:rsidRPr="00254D4F">
        <w:rPr>
          <w:b/>
          <w:bCs/>
          <w:lang w:val="en-US"/>
        </w:rPr>
        <w:t>: </w:t>
      </w:r>
      <w:r>
        <w:rPr>
          <w:lang w:val="en-US"/>
        </w:rPr>
        <w:t xml:space="preserve">We studied 62 contemporary clinical strains of 14 different species of </w:t>
      </w:r>
      <w:r w:rsidRPr="002D14D8">
        <w:rPr>
          <w:i/>
          <w:iCs/>
          <w:lang w:val="en-US"/>
        </w:rPr>
        <w:t>Aspergillus</w:t>
      </w:r>
      <w:r>
        <w:rPr>
          <w:lang w:val="en-US"/>
        </w:rPr>
        <w:t xml:space="preserve"> spp., comprising: </w:t>
      </w:r>
      <w:r w:rsidRPr="00AE0DC5">
        <w:rPr>
          <w:i/>
          <w:iCs/>
          <w:lang w:val="en-US"/>
        </w:rPr>
        <w:t>A. fumigatus sensu stricto</w:t>
      </w:r>
      <w:r>
        <w:rPr>
          <w:i/>
          <w:iCs/>
          <w:lang w:val="en-US"/>
        </w:rPr>
        <w:t xml:space="preserve"> </w:t>
      </w:r>
      <w:r w:rsidRPr="00AE0DC5">
        <w:rPr>
          <w:lang w:val="en-US"/>
        </w:rPr>
        <w:t>(</w:t>
      </w:r>
      <w:proofErr w:type="spellStart"/>
      <w:r w:rsidRPr="00AE0DC5">
        <w:rPr>
          <w:i/>
          <w:iCs/>
          <w:lang w:val="en-US"/>
        </w:rPr>
        <w:t>s.s</w:t>
      </w:r>
      <w:proofErr w:type="spellEnd"/>
      <w:r>
        <w:rPr>
          <w:lang w:val="en-US"/>
        </w:rPr>
        <w:t xml:space="preserve">) (n=24, including ten </w:t>
      </w:r>
      <w:r w:rsidRPr="008420A3">
        <w:rPr>
          <w:i/>
          <w:iCs/>
          <w:lang w:val="en-US"/>
        </w:rPr>
        <w:t>C</w:t>
      </w:r>
      <w:r>
        <w:rPr>
          <w:i/>
          <w:iCs/>
          <w:lang w:val="en-US"/>
        </w:rPr>
        <w:t>yp</w:t>
      </w:r>
      <w:r w:rsidRPr="008420A3">
        <w:rPr>
          <w:i/>
          <w:iCs/>
          <w:lang w:val="en-US"/>
        </w:rPr>
        <w:t>51A</w:t>
      </w:r>
      <w:r>
        <w:rPr>
          <w:lang w:val="en-US"/>
        </w:rPr>
        <w:t xml:space="preserve"> mutant),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terreus</w:t>
      </w:r>
      <w:proofErr w:type="spellEnd"/>
      <w:r w:rsidRPr="00AE0DC5">
        <w:rPr>
          <w:i/>
          <w:iCs/>
          <w:lang w:val="en-US"/>
        </w:rPr>
        <w:t xml:space="preserve"> </w:t>
      </w:r>
      <w:proofErr w:type="spellStart"/>
      <w:r w:rsidRPr="00AE0DC5">
        <w:rPr>
          <w:i/>
          <w:iCs/>
          <w:lang w:val="en-US"/>
        </w:rPr>
        <w:t>s.s.</w:t>
      </w:r>
      <w:proofErr w:type="spellEnd"/>
      <w:r>
        <w:rPr>
          <w:lang w:val="en-US"/>
        </w:rPr>
        <w:t xml:space="preserve"> (12),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niger</w:t>
      </w:r>
      <w:proofErr w:type="spellEnd"/>
      <w:r w:rsidRPr="00AE0DC5">
        <w:rPr>
          <w:i/>
          <w:iCs/>
          <w:lang w:val="en-US"/>
        </w:rPr>
        <w:t xml:space="preserve"> </w:t>
      </w:r>
      <w:proofErr w:type="spellStart"/>
      <w:r w:rsidRPr="00AE0DC5">
        <w:rPr>
          <w:i/>
          <w:iCs/>
          <w:lang w:val="en-US"/>
        </w:rPr>
        <w:t>s.s.</w:t>
      </w:r>
      <w:proofErr w:type="spellEnd"/>
      <w:r>
        <w:rPr>
          <w:lang w:val="en-US"/>
        </w:rPr>
        <w:t xml:space="preserve"> (9), </w:t>
      </w:r>
      <w:r w:rsidRPr="00AE0DC5">
        <w:rPr>
          <w:i/>
          <w:iCs/>
          <w:lang w:val="en-US"/>
        </w:rPr>
        <w:t xml:space="preserve">A. flavus </w:t>
      </w:r>
      <w:proofErr w:type="spellStart"/>
      <w:r w:rsidRPr="00AE0DC5">
        <w:rPr>
          <w:i/>
          <w:iCs/>
          <w:lang w:val="en-US"/>
        </w:rPr>
        <w:t>s.s.</w:t>
      </w:r>
      <w:proofErr w:type="spellEnd"/>
      <w:r>
        <w:rPr>
          <w:lang w:val="en-US"/>
        </w:rPr>
        <w:t xml:space="preserve"> (6), and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parasitucus</w:t>
      </w:r>
      <w:proofErr w:type="spellEnd"/>
      <w:r>
        <w:rPr>
          <w:lang w:val="en-US"/>
        </w:rPr>
        <w:t xml:space="preserve"> (n=2). Additionally, one strain each of </w:t>
      </w:r>
      <w:r w:rsidRPr="00AE0DC5">
        <w:rPr>
          <w:i/>
          <w:iCs/>
          <w:lang w:val="en-US"/>
        </w:rPr>
        <w:t>A. nidulans</w:t>
      </w:r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>A. udagawe</w:t>
      </w:r>
      <w:r>
        <w:rPr>
          <w:iCs/>
          <w:lang w:val="en-US"/>
        </w:rPr>
        <w:t>,</w:t>
      </w:r>
      <w:r w:rsidRPr="00AE0DC5">
        <w:rPr>
          <w:i/>
          <w:iCs/>
          <w:lang w:val="en-US"/>
        </w:rPr>
        <w:t xml:space="preserve"> A. lentulus</w:t>
      </w:r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>A. pseudoterreus</w:t>
      </w:r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luchensis</w:t>
      </w:r>
      <w:proofErr w:type="spellEnd"/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brasiliensis</w:t>
      </w:r>
      <w:proofErr w:type="spellEnd"/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 xml:space="preserve">A. </w:t>
      </w:r>
      <w:proofErr w:type="spellStart"/>
      <w:r w:rsidRPr="00AE0DC5">
        <w:rPr>
          <w:i/>
          <w:iCs/>
          <w:lang w:val="en-US"/>
        </w:rPr>
        <w:t>ustus</w:t>
      </w:r>
      <w:proofErr w:type="spellEnd"/>
      <w:r>
        <w:rPr>
          <w:lang w:val="en-US"/>
        </w:rPr>
        <w:t xml:space="preserve">, </w:t>
      </w:r>
      <w:r w:rsidRPr="00AE0DC5">
        <w:rPr>
          <w:i/>
          <w:iCs/>
          <w:lang w:val="en-US"/>
        </w:rPr>
        <w:t>A. calidoustus</w:t>
      </w:r>
      <w:r>
        <w:rPr>
          <w:i/>
          <w:iCs/>
          <w:lang w:val="en-US"/>
        </w:rPr>
        <w:t>,</w:t>
      </w:r>
      <w:r>
        <w:rPr>
          <w:lang w:val="en-US"/>
        </w:rPr>
        <w:t xml:space="preserve"> and </w:t>
      </w:r>
      <w:r w:rsidRPr="00AE0DC5">
        <w:rPr>
          <w:i/>
          <w:iCs/>
          <w:lang w:val="en-US"/>
        </w:rPr>
        <w:t>A. oryzae</w:t>
      </w:r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>were included</w:t>
      </w:r>
      <w:r>
        <w:rPr>
          <w:lang w:val="en-US"/>
        </w:rPr>
        <w:t>. Species identification was performed using phenotypic methods and confirmed through MALDI-TOF, as well as calmodulin and beta-tubulin gene sequencing. Susceptibility testing was performed following the CLSI M38 (3</w:t>
      </w:r>
      <w:r w:rsidRPr="0074058D">
        <w:rPr>
          <w:vertAlign w:val="superscript"/>
          <w:lang w:val="en-US"/>
        </w:rPr>
        <w:t>rd</w:t>
      </w:r>
      <w:r>
        <w:rPr>
          <w:lang w:val="en-US"/>
        </w:rPr>
        <w:t xml:space="preserve"> Ed.). and EUCAST 9.4 documents. Tested antifungal agents included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, amphotericin B, anidulafungin, </w:t>
      </w:r>
      <w:proofErr w:type="spellStart"/>
      <w:r>
        <w:rPr>
          <w:lang w:val="en-US"/>
        </w:rPr>
        <w:t>caspofungin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isavuconazole</w:t>
      </w:r>
      <w:proofErr w:type="spellEnd"/>
      <w:r>
        <w:rPr>
          <w:lang w:val="en-US"/>
        </w:rPr>
        <w:t xml:space="preserve">, itraconazole, posaconazole, and voriconazole. </w:t>
      </w:r>
      <w:r w:rsidRPr="001A6FA6">
        <w:rPr>
          <w:i/>
          <w:iCs/>
          <w:lang w:val="en-US"/>
        </w:rPr>
        <w:t>A</w:t>
      </w:r>
      <w:r>
        <w:rPr>
          <w:i/>
          <w:iCs/>
          <w:lang w:val="en-US"/>
        </w:rPr>
        <w:t>.</w:t>
      </w:r>
      <w:r w:rsidRPr="001A6FA6">
        <w:rPr>
          <w:i/>
          <w:iCs/>
          <w:lang w:val="en-US"/>
        </w:rPr>
        <w:t xml:space="preserve"> flavus</w:t>
      </w:r>
      <w:r w:rsidRPr="004758CD">
        <w:rPr>
          <w:lang w:val="en-US"/>
        </w:rPr>
        <w:t xml:space="preserve"> ATCC204304 and </w:t>
      </w:r>
      <w:r w:rsidRPr="001A6FA6">
        <w:rPr>
          <w:i/>
          <w:iCs/>
          <w:lang w:val="en-US"/>
        </w:rPr>
        <w:t>A. fumigatus</w:t>
      </w:r>
      <w:r w:rsidRPr="004758CD">
        <w:rPr>
          <w:lang w:val="en-US"/>
        </w:rPr>
        <w:t xml:space="preserve"> ATCC204305 were used as quality control strains. Geometric mean (GM)</w:t>
      </w:r>
      <w:r>
        <w:rPr>
          <w:lang w:val="en-US"/>
        </w:rPr>
        <w:t xml:space="preserve"> MIC values and ranges</w:t>
      </w:r>
      <w:r w:rsidRPr="004758CD">
        <w:rPr>
          <w:lang w:val="en-US"/>
        </w:rPr>
        <w:t xml:space="preserve"> were determined</w:t>
      </w:r>
      <w:r>
        <w:rPr>
          <w:lang w:val="en-US"/>
        </w:rPr>
        <w:t xml:space="preserve"> to analyze results</w:t>
      </w:r>
      <w:r w:rsidRPr="004758CD">
        <w:rPr>
          <w:lang w:val="en-US"/>
        </w:rPr>
        <w:t xml:space="preserve">. </w:t>
      </w:r>
    </w:p>
    <w:p w14:paraId="55AA6822" w14:textId="64AED725" w:rsidR="00FC198C" w:rsidRDefault="00FC198C" w:rsidP="00FC198C">
      <w:pPr>
        <w:jc w:val="both"/>
        <w:rPr>
          <w:lang w:val="en-US"/>
        </w:rPr>
      </w:pPr>
      <w:r w:rsidRPr="0017643C">
        <w:rPr>
          <w:b/>
          <w:bCs/>
          <w:lang w:val="en-US"/>
        </w:rPr>
        <w:t>Results</w:t>
      </w:r>
      <w:r>
        <w:rPr>
          <w:b/>
          <w:bCs/>
          <w:lang w:val="en-US"/>
        </w:rPr>
        <w:t xml:space="preserve">: </w:t>
      </w:r>
      <w:r w:rsidRPr="0007629E">
        <w:rPr>
          <w:lang w:val="en-US"/>
        </w:rPr>
        <w:t>The overall essential agreement (±2 log</w:t>
      </w:r>
      <w:r w:rsidRPr="00265311">
        <w:rPr>
          <w:vertAlign w:val="subscript"/>
          <w:lang w:val="en-US"/>
        </w:rPr>
        <w:t>2</w:t>
      </w:r>
      <w:r w:rsidRPr="0007629E">
        <w:rPr>
          <w:lang w:val="en-US"/>
        </w:rPr>
        <w:t xml:space="preserve"> dilutions) between the CLSI and EUCAST methods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susceptibility testing </w:t>
      </w:r>
      <w:r w:rsidRPr="0007629E">
        <w:rPr>
          <w:lang w:val="en-US"/>
        </w:rPr>
        <w:t xml:space="preserve">was </w:t>
      </w:r>
      <w:r>
        <w:rPr>
          <w:lang w:val="en-US"/>
        </w:rPr>
        <w:t>96.03</w:t>
      </w:r>
      <w:r w:rsidRPr="0007629E">
        <w:rPr>
          <w:lang w:val="en-US"/>
        </w:rPr>
        <w:t xml:space="preserve">%. </w:t>
      </w:r>
      <w:r>
        <w:rPr>
          <w:lang w:val="en-US"/>
        </w:rPr>
        <w:t xml:space="preserve">As EUCAST data did not show significant differences from CLSI, GM MIC data obtained using CLSI are presented to simplify interpretation. Among the antifungals tested,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proved to be the most potent, with the lowest MIC values (0.0243 </w:t>
      </w:r>
      <w:r>
        <w:rPr>
          <w:rFonts w:cstheme="minorHAnsi"/>
          <w:lang w:val="en-US"/>
        </w:rPr>
        <w:t>µ</w:t>
      </w:r>
      <w:r>
        <w:rPr>
          <w:lang w:val="en-US"/>
        </w:rPr>
        <w:t xml:space="preserve">g/mL and 0.0189 mg/L for CLSI and EUCAST, respectively).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activity was </w:t>
      </w:r>
      <w:r w:rsidRPr="0007629E">
        <w:rPr>
          <w:lang w:val="en-US"/>
        </w:rPr>
        <w:t>comparable to th</w:t>
      </w:r>
      <w:r>
        <w:rPr>
          <w:lang w:val="en-US"/>
        </w:rPr>
        <w:t>at</w:t>
      </w:r>
      <w:r w:rsidRPr="0007629E">
        <w:rPr>
          <w:lang w:val="en-US"/>
        </w:rPr>
        <w:t xml:space="preserve"> of </w:t>
      </w:r>
      <w:r>
        <w:rPr>
          <w:lang w:val="en-US"/>
        </w:rPr>
        <w:t xml:space="preserve">echinocandins (anidulafungin and </w:t>
      </w:r>
      <w:proofErr w:type="spellStart"/>
      <w:r>
        <w:rPr>
          <w:lang w:val="en-US"/>
        </w:rPr>
        <w:t>caspofungin</w:t>
      </w:r>
      <w:proofErr w:type="spellEnd"/>
      <w:r>
        <w:rPr>
          <w:lang w:val="en-US"/>
        </w:rPr>
        <w:t xml:space="preserve"> GM MICs 0.015 </w:t>
      </w:r>
      <w:r>
        <w:rPr>
          <w:rFonts w:cstheme="minorHAnsi"/>
          <w:lang w:val="en-US"/>
        </w:rPr>
        <w:t>µg/mL</w:t>
      </w:r>
      <w:r>
        <w:rPr>
          <w:lang w:val="en-US"/>
        </w:rPr>
        <w:t xml:space="preserve"> and 0.037 </w:t>
      </w:r>
      <w:r>
        <w:rPr>
          <w:rFonts w:cstheme="minorHAnsi"/>
          <w:lang w:val="en-US"/>
        </w:rPr>
        <w:t>µg/mL</w:t>
      </w:r>
      <w:r>
        <w:rPr>
          <w:lang w:val="en-US"/>
        </w:rPr>
        <w:t>, respectively) and it displayed a potency nine- to &gt;60-fold higher than azoles (</w:t>
      </w:r>
      <w:proofErr w:type="spellStart"/>
      <w:r>
        <w:rPr>
          <w:lang w:val="en-US"/>
        </w:rPr>
        <w:t>isavuconazole</w:t>
      </w:r>
      <w:proofErr w:type="spellEnd"/>
      <w:r>
        <w:rPr>
          <w:lang w:val="en-US"/>
        </w:rPr>
        <w:t xml:space="preserve">, itraconazole, posaconazole and voriconazole GM MICs 1.56, 0.627, 0.223, and 0.609 </w:t>
      </w:r>
      <w:r>
        <w:rPr>
          <w:rFonts w:cstheme="minorHAnsi"/>
          <w:lang w:val="en-US"/>
        </w:rPr>
        <w:t>µg/mL</w:t>
      </w:r>
      <w:r>
        <w:rPr>
          <w:lang w:val="en-US"/>
        </w:rPr>
        <w:t xml:space="preserve">, respectively). For </w:t>
      </w:r>
      <w:r w:rsidRPr="00AB5CD5">
        <w:rPr>
          <w:i/>
          <w:iCs/>
          <w:lang w:val="en-US"/>
        </w:rPr>
        <w:t>A</w:t>
      </w:r>
      <w:r>
        <w:rPr>
          <w:i/>
          <w:iCs/>
          <w:lang w:val="en-US"/>
        </w:rPr>
        <w:t>.</w:t>
      </w:r>
      <w:r w:rsidRPr="00AB5CD5">
        <w:rPr>
          <w:i/>
          <w:iCs/>
          <w:lang w:val="en-US"/>
        </w:rPr>
        <w:t xml:space="preserve"> fumigatus</w:t>
      </w:r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s.s.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A. </w:t>
      </w:r>
      <w:proofErr w:type="spellStart"/>
      <w:r>
        <w:rPr>
          <w:i/>
          <w:iCs/>
          <w:lang w:val="en-US"/>
        </w:rPr>
        <w:t>terreus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s.s.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A. flavus </w:t>
      </w:r>
      <w:proofErr w:type="spellStart"/>
      <w:r>
        <w:rPr>
          <w:lang w:val="en-US"/>
        </w:rPr>
        <w:t>s.s.</w:t>
      </w:r>
      <w:proofErr w:type="spellEnd"/>
      <w:r>
        <w:rPr>
          <w:lang w:val="en-US"/>
        </w:rPr>
        <w:t xml:space="preserve">, and </w:t>
      </w:r>
      <w:r w:rsidRPr="009A76D1">
        <w:rPr>
          <w:i/>
          <w:iCs/>
          <w:lang w:val="en-US"/>
        </w:rPr>
        <w:t xml:space="preserve">A. </w:t>
      </w:r>
      <w:proofErr w:type="spellStart"/>
      <w:r w:rsidRPr="009A76D1">
        <w:rPr>
          <w:i/>
          <w:iCs/>
          <w:lang w:val="en-US"/>
        </w:rPr>
        <w:t>niger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s.s.</w:t>
      </w:r>
      <w:proofErr w:type="spellEnd"/>
      <w:r>
        <w:rPr>
          <w:lang w:val="en-US"/>
        </w:rPr>
        <w:t xml:space="preserve"> all tested strains exhibited remarkably low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MIC values (</w:t>
      </w:r>
      <w:r>
        <w:rPr>
          <w:rFonts w:cstheme="minorHAnsi"/>
          <w:lang w:val="en-US"/>
        </w:rPr>
        <w:t xml:space="preserve">GM MICs </w:t>
      </w:r>
      <w:r>
        <w:rPr>
          <w:lang w:val="en-US"/>
        </w:rPr>
        <w:t xml:space="preserve">0.018, 0.006, 0.007, 0.07 </w:t>
      </w:r>
      <w:r>
        <w:rPr>
          <w:rFonts w:cstheme="minorHAnsi"/>
          <w:lang w:val="en-US"/>
        </w:rPr>
        <w:t>µg/mL</w:t>
      </w:r>
      <w:r>
        <w:rPr>
          <w:lang w:val="en-US"/>
        </w:rPr>
        <w:t xml:space="preserve">, respectively). Less common species, such as </w:t>
      </w:r>
      <w:r w:rsidRPr="009A76D1">
        <w:rPr>
          <w:i/>
          <w:iCs/>
          <w:lang w:val="en-US"/>
        </w:rPr>
        <w:t xml:space="preserve">A. </w:t>
      </w:r>
      <w:proofErr w:type="spellStart"/>
      <w:r w:rsidRPr="009A76D1">
        <w:rPr>
          <w:i/>
          <w:iCs/>
          <w:lang w:val="en-US"/>
        </w:rPr>
        <w:t>parasit</w:t>
      </w:r>
      <w:r>
        <w:rPr>
          <w:i/>
          <w:iCs/>
          <w:lang w:val="en-US"/>
        </w:rPr>
        <w:t>i</w:t>
      </w:r>
      <w:r w:rsidRPr="009A76D1">
        <w:rPr>
          <w:i/>
          <w:iCs/>
          <w:lang w:val="en-US"/>
        </w:rPr>
        <w:t>cus</w:t>
      </w:r>
      <w:proofErr w:type="spellEnd"/>
      <w:r>
        <w:rPr>
          <w:i/>
          <w:iCs/>
          <w:lang w:val="en-US"/>
        </w:rPr>
        <w:t xml:space="preserve">, A. </w:t>
      </w:r>
      <w:proofErr w:type="spellStart"/>
      <w:r>
        <w:rPr>
          <w:i/>
          <w:iCs/>
          <w:lang w:val="en-US"/>
        </w:rPr>
        <w:t>ustus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and </w:t>
      </w:r>
      <w:r w:rsidRPr="009A76D1">
        <w:rPr>
          <w:i/>
          <w:iCs/>
          <w:lang w:val="en-US"/>
        </w:rPr>
        <w:t xml:space="preserve">A. </w:t>
      </w:r>
      <w:proofErr w:type="spellStart"/>
      <w:r w:rsidRPr="009A76D1">
        <w:rPr>
          <w:i/>
          <w:iCs/>
          <w:lang w:val="en-US"/>
        </w:rPr>
        <w:t>calidoustus</w:t>
      </w:r>
      <w:proofErr w:type="spellEnd"/>
      <w:r>
        <w:rPr>
          <w:iCs/>
          <w:lang w:val="en-US"/>
        </w:rPr>
        <w:t>, showed higher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MICs values, ranging from 0.125 to 1 </w:t>
      </w:r>
      <w:r>
        <w:rPr>
          <w:rFonts w:cstheme="minorHAnsi"/>
          <w:lang w:val="en-US"/>
        </w:rPr>
        <w:t>µg/</w:t>
      </w:r>
      <w:proofErr w:type="spellStart"/>
      <w:r>
        <w:rPr>
          <w:rFonts w:cstheme="minorHAnsi"/>
          <w:lang w:val="en-US"/>
        </w:rPr>
        <w:t>mL</w:t>
      </w:r>
      <w:r>
        <w:rPr>
          <w:lang w:val="en-US"/>
        </w:rPr>
        <w:t>.</w:t>
      </w:r>
      <w:proofErr w:type="spellEnd"/>
      <w:r>
        <w:rPr>
          <w:lang w:val="en-US"/>
        </w:rPr>
        <w:t xml:space="preserve"> Cryptic species within </w:t>
      </w:r>
      <w:r w:rsidRPr="00C66E72">
        <w:rPr>
          <w:i/>
          <w:iCs/>
          <w:lang w:val="en-US"/>
        </w:rPr>
        <w:t>A</w:t>
      </w:r>
      <w:r>
        <w:rPr>
          <w:i/>
          <w:iCs/>
          <w:lang w:val="en-US"/>
        </w:rPr>
        <w:t xml:space="preserve">spergillus </w:t>
      </w:r>
      <w:r>
        <w:rPr>
          <w:lang w:val="en-US"/>
        </w:rPr>
        <w:t>section</w:t>
      </w:r>
      <w:r w:rsidRPr="00C66E72"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</w:t>
      </w:r>
      <w:r w:rsidRPr="00C66E72">
        <w:rPr>
          <w:i/>
          <w:iCs/>
          <w:lang w:val="en-US"/>
        </w:rPr>
        <w:t>umigati</w:t>
      </w:r>
      <w:proofErr w:type="spellEnd"/>
      <w:r>
        <w:rPr>
          <w:lang w:val="en-US"/>
        </w:rPr>
        <w:t xml:space="preserve"> section, as well as </w:t>
      </w:r>
      <w:r w:rsidRPr="00AB5CD5">
        <w:rPr>
          <w:i/>
          <w:iCs/>
          <w:lang w:val="en-US"/>
        </w:rPr>
        <w:t>A</w:t>
      </w:r>
      <w:r>
        <w:rPr>
          <w:i/>
          <w:iCs/>
          <w:lang w:val="en-US"/>
        </w:rPr>
        <w:t>.</w:t>
      </w:r>
      <w:r w:rsidRPr="00AB5CD5">
        <w:rPr>
          <w:i/>
          <w:iCs/>
          <w:lang w:val="en-US"/>
        </w:rPr>
        <w:t xml:space="preserve"> fumigatus</w:t>
      </w:r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s.s.</w:t>
      </w:r>
      <w:proofErr w:type="spellEnd"/>
      <w:r>
        <w:rPr>
          <w:lang w:val="en-US"/>
        </w:rPr>
        <w:t xml:space="preserve"> strains harboring </w:t>
      </w:r>
      <w:r w:rsidRPr="00C66E72">
        <w:rPr>
          <w:i/>
          <w:iCs/>
          <w:lang w:val="en-US"/>
        </w:rPr>
        <w:t>C</w:t>
      </w:r>
      <w:r>
        <w:rPr>
          <w:i/>
          <w:iCs/>
          <w:lang w:val="en-US"/>
        </w:rPr>
        <w:t>yp</w:t>
      </w:r>
      <w:r w:rsidRPr="00C66E72">
        <w:rPr>
          <w:i/>
          <w:iCs/>
          <w:lang w:val="en-US"/>
        </w:rPr>
        <w:t>51A</w:t>
      </w:r>
      <w:r>
        <w:rPr>
          <w:lang w:val="en-US"/>
        </w:rPr>
        <w:t xml:space="preserve"> substitutions associated with azole resistance, showed consistently low </w:t>
      </w:r>
      <w:proofErr w:type="spellStart"/>
      <w:r>
        <w:rPr>
          <w:lang w:val="en-US"/>
        </w:rPr>
        <w:t>olorofim</w:t>
      </w:r>
      <w:proofErr w:type="spellEnd"/>
      <w:r>
        <w:rPr>
          <w:lang w:val="en-US"/>
        </w:rPr>
        <w:t xml:space="preserve"> MIC values, all between 0.008 and 0.03 </w:t>
      </w:r>
      <w:r>
        <w:rPr>
          <w:rFonts w:cstheme="minorHAnsi"/>
          <w:lang w:val="en-US"/>
        </w:rPr>
        <w:t>µg/</w:t>
      </w:r>
      <w:proofErr w:type="spellStart"/>
      <w:r>
        <w:rPr>
          <w:rFonts w:cstheme="minorHAnsi"/>
          <w:lang w:val="en-US"/>
        </w:rPr>
        <w:t>mL</w:t>
      </w:r>
      <w:r>
        <w:rPr>
          <w:lang w:val="en-US"/>
        </w:rPr>
        <w:t>.</w:t>
      </w:r>
      <w:proofErr w:type="spellEnd"/>
    </w:p>
    <w:p w14:paraId="0569C7FB" w14:textId="77777777" w:rsidR="00FC198C" w:rsidRPr="00FE49BD" w:rsidRDefault="00FC198C" w:rsidP="00FC198C">
      <w:pPr>
        <w:jc w:val="both"/>
        <w:rPr>
          <w:lang w:val="en-US"/>
        </w:rPr>
      </w:pPr>
      <w:r w:rsidRPr="0017643C">
        <w:rPr>
          <w:b/>
          <w:bCs/>
          <w:lang w:val="en-US"/>
        </w:rPr>
        <w:t>Conclusions</w:t>
      </w:r>
      <w:r>
        <w:rPr>
          <w:b/>
          <w:bCs/>
          <w:lang w:val="en-US"/>
        </w:rPr>
        <w:t xml:space="preserve">: </w:t>
      </w:r>
      <w:proofErr w:type="spellStart"/>
      <w:r w:rsidRPr="00FE49BD">
        <w:rPr>
          <w:lang w:val="en-US"/>
        </w:rPr>
        <w:t>O</w:t>
      </w:r>
      <w:r>
        <w:rPr>
          <w:lang w:val="en-US"/>
        </w:rPr>
        <w:t>lorofim</w:t>
      </w:r>
      <w:proofErr w:type="spellEnd"/>
      <w:r w:rsidRPr="00FE49BD">
        <w:rPr>
          <w:lang w:val="en-US"/>
        </w:rPr>
        <w:t xml:space="preserve"> </w:t>
      </w:r>
      <w:r>
        <w:rPr>
          <w:lang w:val="en-US"/>
        </w:rPr>
        <w:t xml:space="preserve">demonstrates exceptional </w:t>
      </w:r>
      <w:r w:rsidRPr="00FE49BD">
        <w:rPr>
          <w:lang w:val="en-US"/>
        </w:rPr>
        <w:t xml:space="preserve">activity against this collection of </w:t>
      </w:r>
      <w:r w:rsidRPr="00FE49BD">
        <w:rPr>
          <w:i/>
          <w:iCs/>
          <w:lang w:val="en-US"/>
        </w:rPr>
        <w:t xml:space="preserve">Aspergillus </w:t>
      </w:r>
      <w:r w:rsidRPr="00265311">
        <w:rPr>
          <w:lang w:val="en-US"/>
        </w:rPr>
        <w:t>spp.</w:t>
      </w:r>
      <w:r w:rsidRPr="00FE49BD">
        <w:rPr>
          <w:lang w:val="en-US"/>
        </w:rPr>
        <w:t xml:space="preserve"> This </w:t>
      </w:r>
      <w:proofErr w:type="spellStart"/>
      <w:r w:rsidRPr="00FE49BD">
        <w:rPr>
          <w:lang w:val="en-US"/>
        </w:rPr>
        <w:t>orotomide</w:t>
      </w:r>
      <w:proofErr w:type="spellEnd"/>
      <w:r w:rsidRPr="00FE49BD">
        <w:rPr>
          <w:lang w:val="en-US"/>
        </w:rPr>
        <w:t xml:space="preserve"> inhibits fungal growth at concentrations </w:t>
      </w:r>
      <w:r>
        <w:rPr>
          <w:lang w:val="en-US"/>
        </w:rPr>
        <w:t xml:space="preserve">significantly </w:t>
      </w:r>
      <w:r w:rsidRPr="00FE49BD">
        <w:rPr>
          <w:lang w:val="en-US"/>
        </w:rPr>
        <w:t xml:space="preserve">lower than </w:t>
      </w:r>
      <w:r>
        <w:rPr>
          <w:lang w:val="en-US"/>
        </w:rPr>
        <w:t xml:space="preserve">voriconazole </w:t>
      </w:r>
      <w:r w:rsidRPr="00FE49BD">
        <w:rPr>
          <w:lang w:val="en-US"/>
        </w:rPr>
        <w:t>and other azole</w:t>
      </w:r>
      <w:r>
        <w:rPr>
          <w:lang w:val="en-US"/>
        </w:rPr>
        <w:t>s</w:t>
      </w:r>
      <w:r w:rsidRPr="00FE49BD">
        <w:rPr>
          <w:lang w:val="en-US"/>
        </w:rPr>
        <w:t xml:space="preserve">. </w:t>
      </w:r>
      <w:r>
        <w:rPr>
          <w:lang w:val="en-US"/>
        </w:rPr>
        <w:t xml:space="preserve">While its </w:t>
      </w:r>
      <w:r w:rsidRPr="007D48A4">
        <w:rPr>
          <w:lang w:val="en-US"/>
        </w:rPr>
        <w:t xml:space="preserve">GM values </w:t>
      </w:r>
      <w:r>
        <w:rPr>
          <w:lang w:val="en-US"/>
        </w:rPr>
        <w:t xml:space="preserve">are </w:t>
      </w:r>
      <w:r w:rsidRPr="007D48A4">
        <w:rPr>
          <w:lang w:val="en-US"/>
        </w:rPr>
        <w:t>comparable to echinocandins, t</w:t>
      </w:r>
      <w:r>
        <w:rPr>
          <w:lang w:val="en-US"/>
        </w:rPr>
        <w:t>hese are not the preferred choice for aspergillosis treatment. R</w:t>
      </w:r>
      <w:r w:rsidRPr="00FE49BD">
        <w:rPr>
          <w:lang w:val="en-US"/>
        </w:rPr>
        <w:t xml:space="preserve">are </w:t>
      </w:r>
      <w:r>
        <w:rPr>
          <w:lang w:val="en-US"/>
        </w:rPr>
        <w:t>strains like</w:t>
      </w:r>
      <w:r w:rsidRPr="00FE49BD">
        <w:rPr>
          <w:lang w:val="en-US"/>
        </w:rPr>
        <w:t xml:space="preserve"> </w:t>
      </w:r>
      <w:r w:rsidRPr="00FE49BD">
        <w:rPr>
          <w:i/>
          <w:iCs/>
          <w:lang w:val="en-US"/>
        </w:rPr>
        <w:t>A. calidoustus</w:t>
      </w:r>
      <w:r w:rsidRPr="00FE49BD">
        <w:rPr>
          <w:lang w:val="en-US"/>
        </w:rPr>
        <w:t xml:space="preserve"> and </w:t>
      </w:r>
      <w:r w:rsidRPr="00FE49BD">
        <w:rPr>
          <w:i/>
          <w:iCs/>
          <w:lang w:val="en-US"/>
        </w:rPr>
        <w:t xml:space="preserve">A. </w:t>
      </w:r>
      <w:proofErr w:type="spellStart"/>
      <w:r w:rsidRPr="00FE49BD">
        <w:rPr>
          <w:i/>
          <w:iCs/>
          <w:lang w:val="en-US"/>
        </w:rPr>
        <w:t>ustus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exhibited </w:t>
      </w:r>
      <w:r w:rsidRPr="00FE49BD">
        <w:rPr>
          <w:lang w:val="en-US"/>
        </w:rPr>
        <w:t>slightly elevated MICs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Olorofim</w:t>
      </w:r>
      <w:r w:rsidRPr="00FE49BD">
        <w:rPr>
          <w:lang w:val="en-US"/>
        </w:rPr>
        <w:t>'s</w:t>
      </w:r>
      <w:proofErr w:type="spellEnd"/>
      <w:r w:rsidRPr="00FE49BD">
        <w:rPr>
          <w:lang w:val="en-US"/>
        </w:rPr>
        <w:t xml:space="preserve"> novel mechanism of action </w:t>
      </w:r>
      <w:r>
        <w:rPr>
          <w:lang w:val="en-US"/>
        </w:rPr>
        <w:t xml:space="preserve">offers </w:t>
      </w:r>
      <w:r w:rsidRPr="00FE49BD">
        <w:rPr>
          <w:lang w:val="en-US"/>
        </w:rPr>
        <w:t xml:space="preserve">a promising </w:t>
      </w:r>
      <w:r>
        <w:rPr>
          <w:lang w:val="en-US"/>
        </w:rPr>
        <w:t>option</w:t>
      </w:r>
      <w:r w:rsidRPr="00FE49BD">
        <w:rPr>
          <w:lang w:val="en-US"/>
        </w:rPr>
        <w:t xml:space="preserve"> for </w:t>
      </w:r>
      <w:r>
        <w:rPr>
          <w:lang w:val="en-US"/>
        </w:rPr>
        <w:t xml:space="preserve">managing </w:t>
      </w:r>
      <w:r w:rsidRPr="00FE49BD">
        <w:rPr>
          <w:lang w:val="en-US"/>
        </w:rPr>
        <w:t>azole-resistant strains</w:t>
      </w:r>
      <w:r>
        <w:rPr>
          <w:lang w:val="en-US"/>
        </w:rPr>
        <w:t>, cryptic species, multidrug resistant-species,</w:t>
      </w:r>
      <w:r w:rsidRPr="00FE49BD">
        <w:rPr>
          <w:lang w:val="en-US"/>
        </w:rPr>
        <w:t xml:space="preserve"> and polyene-resistant species, such as </w:t>
      </w:r>
      <w:r w:rsidRPr="00FE49BD">
        <w:rPr>
          <w:i/>
          <w:iCs/>
          <w:lang w:val="en-US"/>
        </w:rPr>
        <w:t>A. terreus</w:t>
      </w:r>
      <w:r w:rsidRPr="00FE49BD">
        <w:rPr>
          <w:lang w:val="en-US"/>
        </w:rPr>
        <w:t>.</w:t>
      </w:r>
    </w:p>
    <w:p w14:paraId="69DD17A6" w14:textId="77777777" w:rsidR="00813CB4" w:rsidRDefault="00813CB4" w:rsidP="00FE49BD">
      <w:pPr>
        <w:jc w:val="both"/>
        <w:rPr>
          <w:lang w:val="en-US"/>
        </w:rPr>
      </w:pPr>
    </w:p>
    <w:sectPr w:rsidR="00813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0D83"/>
    <w:multiLevelType w:val="hybridMultilevel"/>
    <w:tmpl w:val="150A65D2"/>
    <w:lvl w:ilvl="0" w:tplc="D8CCA7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97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B4"/>
    <w:rsid w:val="00010CC0"/>
    <w:rsid w:val="00046B69"/>
    <w:rsid w:val="0007629E"/>
    <w:rsid w:val="00091809"/>
    <w:rsid w:val="000D23D1"/>
    <w:rsid w:val="0017643C"/>
    <w:rsid w:val="00186836"/>
    <w:rsid w:val="001A6FA6"/>
    <w:rsid w:val="001B53C4"/>
    <w:rsid w:val="002230C1"/>
    <w:rsid w:val="00241E22"/>
    <w:rsid w:val="00254D4F"/>
    <w:rsid w:val="00271A6D"/>
    <w:rsid w:val="002B1F5A"/>
    <w:rsid w:val="002C2C0B"/>
    <w:rsid w:val="002D14D8"/>
    <w:rsid w:val="002E2481"/>
    <w:rsid w:val="00320E18"/>
    <w:rsid w:val="0036711D"/>
    <w:rsid w:val="003B32D3"/>
    <w:rsid w:val="004758CD"/>
    <w:rsid w:val="00580812"/>
    <w:rsid w:val="00597F6B"/>
    <w:rsid w:val="005B5AAE"/>
    <w:rsid w:val="00600D61"/>
    <w:rsid w:val="006341F2"/>
    <w:rsid w:val="00790036"/>
    <w:rsid w:val="007D48A4"/>
    <w:rsid w:val="00805658"/>
    <w:rsid w:val="008117B2"/>
    <w:rsid w:val="00813CB4"/>
    <w:rsid w:val="008420A3"/>
    <w:rsid w:val="008519AE"/>
    <w:rsid w:val="00895BCC"/>
    <w:rsid w:val="008C4AF9"/>
    <w:rsid w:val="009054DC"/>
    <w:rsid w:val="009957A6"/>
    <w:rsid w:val="009A76D1"/>
    <w:rsid w:val="00A903B1"/>
    <w:rsid w:val="00AB5CD5"/>
    <w:rsid w:val="00AE0DC5"/>
    <w:rsid w:val="00C66E72"/>
    <w:rsid w:val="00D36CE5"/>
    <w:rsid w:val="00ED3B2E"/>
    <w:rsid w:val="00FC198C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8BD4"/>
  <w15:chartTrackingRefBased/>
  <w15:docId w15:val="{582B3A96-DDD5-4C2D-8681-BB8DE97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3CB4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813CB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3CB4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9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adruk">
    <w:name w:val="Emphasis"/>
    <w:basedOn w:val="Standaardalinea-lettertype"/>
    <w:uiPriority w:val="20"/>
    <w:qFormat/>
    <w:rsid w:val="0036711D"/>
    <w:rPr>
      <w:i/>
      <w:iCs/>
    </w:rPr>
  </w:style>
  <w:style w:type="paragraph" w:styleId="Revisie">
    <w:name w:val="Revision"/>
    <w:hidden/>
    <w:uiPriority w:val="99"/>
    <w:semiHidden/>
    <w:rsid w:val="00ED3B2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C4A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4A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4A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4A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4AF9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36CE5"/>
    <w:pPr>
      <w:spacing w:after="0" w:line="360" w:lineRule="auto"/>
      <w:ind w:left="720"/>
      <w:contextualSpacing/>
      <w:jc w:val="both"/>
    </w:pPr>
    <w:rPr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0726A3D4A4F4D8CE3EBB79B60D27F" ma:contentTypeVersion="15" ma:contentTypeDescription="Create a new document." ma:contentTypeScope="" ma:versionID="de6d7574d9ca2e8260adf30c26d64ae4">
  <xsd:schema xmlns:xsd="http://www.w3.org/2001/XMLSchema" xmlns:xs="http://www.w3.org/2001/XMLSchema" xmlns:p="http://schemas.microsoft.com/office/2006/metadata/properties" xmlns:ns2="c2d45e7a-e2d6-4d3b-843d-a4ebcea3c8d7" xmlns:ns3="24e29bad-0f33-44d4-b6b3-0aa661199d76" targetNamespace="http://schemas.microsoft.com/office/2006/metadata/properties" ma:root="true" ma:fieldsID="cfa7fc251de85957e61124595929522f" ns2:_="" ns3:_="">
    <xsd:import namespace="c2d45e7a-e2d6-4d3b-843d-a4ebcea3c8d7"/>
    <xsd:import namespace="24e29bad-0f33-44d4-b6b3-0aa661199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5e7a-e2d6-4d3b-843d-a4ebcea3c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7b27bb-78a0-4c61-9fd4-e8f187245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9bad-0f33-44d4-b6b3-0aa661199d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032a65-1a40-4b68-b163-774360bb720c}" ma:internalName="TaxCatchAll" ma:showField="CatchAllData" ma:web="24e29bad-0f33-44d4-b6b3-0aa661199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29bad-0f33-44d4-b6b3-0aa661199d76" xsi:nil="true"/>
    <lcf76f155ced4ddcb4097134ff3c332f xmlns="c2d45e7a-e2d6-4d3b-843d-a4ebcea3c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3F18A-440F-4F51-A164-CE154471B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FF755-C685-4358-81B1-177AED3F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45e7a-e2d6-4d3b-843d-a4ebcea3c8d7"/>
    <ds:schemaRef ds:uri="24e29bad-0f33-44d4-b6b3-0aa661199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107AE-7235-4382-94A0-30622F1D2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1FD38-3E2F-4805-BA9E-B46D2F5EBAAB}">
  <ds:schemaRefs>
    <ds:schemaRef ds:uri="http://schemas.microsoft.com/office/2006/metadata/properties"/>
    <ds:schemaRef ds:uri="http://schemas.microsoft.com/office/infopath/2007/PartnerControls"/>
    <ds:schemaRef ds:uri="24e29bad-0f33-44d4-b6b3-0aa661199d76"/>
    <ds:schemaRef ds:uri="c2d45e7a-e2d6-4d3b-843d-a4ebcea3c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3101</Characters>
  <Application>Microsoft Office Word</Application>
  <DocSecurity>0</DocSecurity>
  <Lines>41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Garcia Effron</dc:creator>
  <cp:keywords/>
  <dc:description/>
  <cp:lastModifiedBy>Demi Teeuwen</cp:lastModifiedBy>
  <cp:revision>2</cp:revision>
  <dcterms:created xsi:type="dcterms:W3CDTF">2025-04-28T08:25:00Z</dcterms:created>
  <dcterms:modified xsi:type="dcterms:W3CDTF">2025-04-28T08:25:00Z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0x01010003D0726A3D4A4F4D8CE3EBB79B60D27F</vt:lpwstr>
  </property>
  <property fmtid="{D5CDD505-2E9C-101B-9397-08002B2CF9AE}" pid="3" name="GrammarlyDocumentId">
    <vt:lpwstr>8569a400be399edb8b6291cd6b353d88946537198408988ddffc5ef16c109459</vt:lpwstr>
  </property>
</Properties>
</file>