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D9E8D" w14:textId="62A345BC" w:rsidR="005D04A0" w:rsidRPr="00AF48E9" w:rsidRDefault="00C2262D" w:rsidP="00341D51">
      <w:pPr>
        <w:spacing w:after="200" w:line="240" w:lineRule="auto"/>
        <w:ind w:right="4"/>
        <w:jc w:val="both"/>
        <w:rPr>
          <w:rFonts w:ascii="Arial" w:eastAsia="Times New Roman" w:hAnsi="Arial" w:cs="Arial"/>
          <w:b/>
          <w:bCs/>
          <w:lang w:val="en-US"/>
        </w:rPr>
      </w:pPr>
      <w:r w:rsidRPr="00AF48E9">
        <w:rPr>
          <w:rFonts w:ascii="Arial" w:eastAsia="Times New Roman" w:hAnsi="Arial" w:cs="Arial"/>
          <w:b/>
          <w:bCs/>
          <w:lang w:val="en-US"/>
        </w:rPr>
        <w:t>Objectives</w:t>
      </w:r>
    </w:p>
    <w:p w14:paraId="37F92254" w14:textId="7D67D32B" w:rsidR="00DF04AF" w:rsidRPr="00AF48E9" w:rsidRDefault="002C6910" w:rsidP="00341D51">
      <w:pPr>
        <w:spacing w:after="200" w:line="240" w:lineRule="auto"/>
        <w:ind w:right="4"/>
        <w:jc w:val="both"/>
        <w:rPr>
          <w:rFonts w:ascii="Arial" w:eastAsia="Times New Roman" w:hAnsi="Arial" w:cs="Arial"/>
          <w:lang w:val="en-US"/>
        </w:rPr>
      </w:pPr>
      <w:r w:rsidRPr="00AF48E9">
        <w:rPr>
          <w:rFonts w:ascii="Arial" w:eastAsia="Times New Roman" w:hAnsi="Arial" w:cs="Arial"/>
          <w:lang w:val="en-US"/>
        </w:rPr>
        <w:t xml:space="preserve">Cryptococcal meningitis accounts for up to 19% of AIDS-related deaths, with </w:t>
      </w:r>
      <w:proofErr w:type="gramStart"/>
      <w:r w:rsidRPr="00AF48E9">
        <w:rPr>
          <w:rFonts w:ascii="Arial" w:eastAsia="Times New Roman" w:hAnsi="Arial" w:cs="Arial"/>
          <w:lang w:val="en-US"/>
        </w:rPr>
        <w:t>the majority of</w:t>
      </w:r>
      <w:proofErr w:type="gramEnd"/>
      <w:r w:rsidRPr="00AF48E9">
        <w:rPr>
          <w:rFonts w:ascii="Arial" w:eastAsia="Times New Roman" w:hAnsi="Arial" w:cs="Arial"/>
          <w:lang w:val="en-US"/>
        </w:rPr>
        <w:t xml:space="preserve"> the cases mostly seen in low and middle-income countries. First-line therapy uses either seven-day induction with intravenous amphotericin B deoxycholate and oral flucytosine or single-dose liposomal amphotericin B with oral flucytosine and fluconazole. </w:t>
      </w:r>
      <w:r w:rsidR="00DF04AF" w:rsidRPr="00AF48E9">
        <w:rPr>
          <w:rFonts w:ascii="Arial" w:eastAsia="Times New Roman" w:hAnsi="Arial" w:cs="Arial"/>
          <w:lang w:val="en-US"/>
        </w:rPr>
        <w:t xml:space="preserve">Besides the commonly used intravenous formulations of amphotericin B, an oral nanocrystal amphotericin B (MAT2203) formulation is being evaluated for efficacy to treat invasive fungal infections. This new experimental oral formulation has not been used before. </w:t>
      </w:r>
      <w:r w:rsidR="00C2262D" w:rsidRPr="00AF48E9">
        <w:rPr>
          <w:rFonts w:ascii="Arial" w:eastAsia="Times New Roman" w:hAnsi="Arial" w:cs="Arial"/>
          <w:lang w:val="en-US"/>
        </w:rPr>
        <w:t xml:space="preserve">Herein, we describe our experiences with using oral </w:t>
      </w:r>
      <w:proofErr w:type="spellStart"/>
      <w:r w:rsidR="00C2262D" w:rsidRPr="00AF48E9">
        <w:rPr>
          <w:rFonts w:ascii="Arial" w:eastAsia="Times New Roman" w:hAnsi="Arial" w:cs="Arial"/>
          <w:lang w:val="en-US"/>
        </w:rPr>
        <w:t>cAmB</w:t>
      </w:r>
      <w:proofErr w:type="spellEnd"/>
      <w:r w:rsidR="00C2262D" w:rsidRPr="00AF48E9">
        <w:rPr>
          <w:rFonts w:ascii="Arial" w:eastAsia="Times New Roman" w:hAnsi="Arial" w:cs="Arial"/>
          <w:lang w:val="en-US"/>
        </w:rPr>
        <w:t xml:space="preserve"> in a resource-limited setting from the perspective of research nurses.</w:t>
      </w:r>
    </w:p>
    <w:p w14:paraId="024D790C" w14:textId="591FD8D3" w:rsidR="005D04A0" w:rsidRPr="00AF48E9" w:rsidRDefault="00AF48E9" w:rsidP="00341D51">
      <w:pPr>
        <w:spacing w:after="200" w:line="240" w:lineRule="auto"/>
        <w:ind w:right="4"/>
        <w:jc w:val="both"/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 xml:space="preserve">Material &amp; </w:t>
      </w:r>
      <w:r w:rsidR="00167DEE" w:rsidRPr="00AF48E9">
        <w:rPr>
          <w:rFonts w:ascii="Arial" w:eastAsia="Times New Roman" w:hAnsi="Arial" w:cs="Arial"/>
          <w:b/>
          <w:bCs/>
          <w:lang w:val="en-US"/>
        </w:rPr>
        <w:t>Methods</w:t>
      </w:r>
    </w:p>
    <w:p w14:paraId="293B4AB4" w14:textId="02351A80" w:rsidR="00DF04AF" w:rsidRPr="00AF48E9" w:rsidRDefault="00E21B14" w:rsidP="00DF04AF">
      <w:pPr>
        <w:spacing w:after="200" w:line="240" w:lineRule="auto"/>
        <w:ind w:right="4"/>
        <w:jc w:val="both"/>
        <w:rPr>
          <w:rFonts w:ascii="Arial" w:eastAsia="Times New Roman" w:hAnsi="Arial" w:cs="Arial"/>
          <w:lang w:val="en-US"/>
        </w:rPr>
      </w:pPr>
      <w:r w:rsidRPr="00AF48E9">
        <w:rPr>
          <w:rFonts w:ascii="Arial" w:eastAsia="Times New Roman" w:hAnsi="Arial" w:cs="Arial"/>
          <w:lang w:val="en-US"/>
        </w:rPr>
        <w:t xml:space="preserve">We conducted a sequential Phase I and then Phase II multi-site randomized controlled trial that aimed to: 1) determine if shorter courses of </w:t>
      </w:r>
      <w:r w:rsidR="00100D0C" w:rsidRPr="00AF48E9">
        <w:rPr>
          <w:rFonts w:ascii="Arial" w:eastAsia="Times New Roman" w:hAnsi="Arial" w:cs="Arial"/>
          <w:lang w:val="en-US"/>
        </w:rPr>
        <w:t>intravenous</w:t>
      </w:r>
      <w:r w:rsidRPr="00AF48E9">
        <w:rPr>
          <w:rFonts w:ascii="Arial" w:eastAsia="Times New Roman" w:hAnsi="Arial" w:cs="Arial"/>
          <w:lang w:val="en-US"/>
        </w:rPr>
        <w:t xml:space="preserve"> amphotericin B can be used with early transition to oral amphotericin B to complete induction therapy for cryptococcal meningitis, 2) determine if oral amphotericin B with flucytosine can be used for induction therapy alone without </w:t>
      </w:r>
      <w:r w:rsidR="00100D0C" w:rsidRPr="00AF48E9">
        <w:rPr>
          <w:rFonts w:ascii="Arial" w:eastAsia="Times New Roman" w:hAnsi="Arial" w:cs="Arial"/>
          <w:lang w:val="en-US"/>
        </w:rPr>
        <w:t>intravenous</w:t>
      </w:r>
      <w:r w:rsidRPr="00AF48E9">
        <w:rPr>
          <w:rFonts w:ascii="Arial" w:eastAsia="Times New Roman" w:hAnsi="Arial" w:cs="Arial"/>
          <w:lang w:val="en-US"/>
        </w:rPr>
        <w:t xml:space="preserve"> </w:t>
      </w:r>
      <w:r w:rsidR="00100D0C" w:rsidRPr="00AF48E9">
        <w:rPr>
          <w:rFonts w:ascii="Arial" w:eastAsia="Times New Roman" w:hAnsi="Arial" w:cs="Arial"/>
          <w:lang w:val="en-US"/>
        </w:rPr>
        <w:t>a</w:t>
      </w:r>
      <w:r w:rsidRPr="00AF48E9">
        <w:rPr>
          <w:rFonts w:ascii="Arial" w:eastAsia="Times New Roman" w:hAnsi="Arial" w:cs="Arial"/>
          <w:lang w:val="en-US"/>
        </w:rPr>
        <w:t xml:space="preserve">mphotericin, 3) Determine the longer-term safety and efficacy of oral amphotericin B when used for cryptococcal meningitis consolidation therapy from 2 to 6 weeks after meningitis diagnosis. </w:t>
      </w:r>
      <w:r w:rsidR="00DF04AF" w:rsidRPr="00AF48E9">
        <w:rPr>
          <w:rFonts w:ascii="Arial" w:eastAsia="Times New Roman" w:hAnsi="Arial" w:cs="Arial"/>
          <w:lang w:val="en-US"/>
        </w:rPr>
        <w:t xml:space="preserve">Herein, we describe our experience with using oral amphotericin for management of patients with HIV-associated cryptococcal meningitis in Uganda from a research nurse perspective. </w:t>
      </w:r>
    </w:p>
    <w:p w14:paraId="5CA25C5E" w14:textId="37244816" w:rsidR="005D04A0" w:rsidRPr="00AF48E9" w:rsidRDefault="00167DEE" w:rsidP="00341D51">
      <w:pPr>
        <w:spacing w:after="200" w:line="240" w:lineRule="auto"/>
        <w:ind w:right="4"/>
        <w:jc w:val="both"/>
        <w:rPr>
          <w:rFonts w:ascii="Arial" w:eastAsia="Times New Roman" w:hAnsi="Arial" w:cs="Arial"/>
          <w:b/>
          <w:bCs/>
          <w:lang w:val="en-US"/>
        </w:rPr>
      </w:pPr>
      <w:r w:rsidRPr="00AF48E9">
        <w:rPr>
          <w:rFonts w:ascii="Arial" w:eastAsia="Times New Roman" w:hAnsi="Arial" w:cs="Arial"/>
          <w:b/>
          <w:bCs/>
          <w:lang w:val="en-US"/>
        </w:rPr>
        <w:t>Results</w:t>
      </w:r>
    </w:p>
    <w:p w14:paraId="4980DA34" w14:textId="15D5CE7E" w:rsidR="00DF04AF" w:rsidRPr="00AF48E9" w:rsidRDefault="007F5627" w:rsidP="00341D51">
      <w:pPr>
        <w:spacing w:after="200" w:line="240" w:lineRule="auto"/>
        <w:ind w:right="4"/>
        <w:jc w:val="both"/>
        <w:rPr>
          <w:rFonts w:ascii="Arial" w:eastAsia="Times New Roman" w:hAnsi="Arial" w:cs="Arial"/>
          <w:lang w:val="en-US"/>
        </w:rPr>
      </w:pPr>
      <w:r w:rsidRPr="00AF48E9">
        <w:rPr>
          <w:rFonts w:ascii="Arial" w:eastAsia="Times New Roman" w:hAnsi="Arial" w:cs="Arial"/>
          <w:lang w:val="en-US"/>
        </w:rPr>
        <w:t xml:space="preserve">We screened 240 participants in the two trials and enrolled 168 of which 81 </w:t>
      </w:r>
      <w:r w:rsidR="0002556A" w:rsidRPr="00AF48E9">
        <w:rPr>
          <w:rFonts w:ascii="Arial" w:eastAsia="Times New Roman" w:hAnsi="Arial" w:cs="Arial"/>
          <w:lang w:val="en-US"/>
        </w:rPr>
        <w:t xml:space="preserve">(48%) </w:t>
      </w:r>
      <w:r w:rsidRPr="00AF48E9">
        <w:rPr>
          <w:rFonts w:ascii="Arial" w:eastAsia="Times New Roman" w:hAnsi="Arial" w:cs="Arial"/>
          <w:lang w:val="en-US"/>
        </w:rPr>
        <w:t xml:space="preserve">were women. </w:t>
      </w:r>
      <w:r w:rsidR="00DF04AF" w:rsidRPr="00AF48E9">
        <w:rPr>
          <w:rFonts w:ascii="Arial" w:eastAsia="Times New Roman" w:hAnsi="Arial" w:cs="Arial"/>
          <w:lang w:val="en-US"/>
        </w:rPr>
        <w:t xml:space="preserve">We found oral amphotericin a better alternative to </w:t>
      </w:r>
      <w:r w:rsidR="00100D0C" w:rsidRPr="00AF48E9">
        <w:rPr>
          <w:rFonts w:ascii="Arial" w:eastAsia="Times New Roman" w:hAnsi="Arial" w:cs="Arial"/>
          <w:lang w:val="en-US"/>
        </w:rPr>
        <w:t xml:space="preserve">intravenous </w:t>
      </w:r>
      <w:r w:rsidR="00DF04AF" w:rsidRPr="00AF48E9">
        <w:rPr>
          <w:rFonts w:ascii="Arial" w:eastAsia="Times New Roman" w:hAnsi="Arial" w:cs="Arial"/>
          <w:lang w:val="en-US"/>
        </w:rPr>
        <w:t>amphotericin B deoxycholate due to less toxicity, mostly limited to gastrointestinal-related toxicities only. We clinically observed no drug reactions like rigors, phlebitis, and less vomiting among patients on oral amphotericin as compared to those on intravenous amphotericin B deoxycholate</w:t>
      </w:r>
      <w:r w:rsidR="00DB5A70" w:rsidRPr="00AF48E9">
        <w:rPr>
          <w:rFonts w:ascii="Arial" w:eastAsia="Times New Roman" w:hAnsi="Arial" w:cs="Arial"/>
          <w:lang w:val="en-US"/>
        </w:rPr>
        <w:t xml:space="preserve"> (</w:t>
      </w:r>
      <w:r w:rsidR="00DB5A70" w:rsidRPr="00AF48E9">
        <w:rPr>
          <w:rFonts w:ascii="Arial" w:eastAsia="Times New Roman" w:hAnsi="Arial" w:cs="Arial"/>
          <w:b/>
          <w:bCs/>
          <w:lang w:val="en-US"/>
        </w:rPr>
        <w:t>Table 1</w:t>
      </w:r>
      <w:r w:rsidR="00DB5A70" w:rsidRPr="00AF48E9">
        <w:rPr>
          <w:rFonts w:ascii="Arial" w:eastAsia="Times New Roman" w:hAnsi="Arial" w:cs="Arial"/>
          <w:lang w:val="en-US"/>
        </w:rPr>
        <w:t>)</w:t>
      </w:r>
      <w:r w:rsidR="00DF04AF" w:rsidRPr="00AF48E9">
        <w:rPr>
          <w:rFonts w:ascii="Arial" w:eastAsia="Times New Roman" w:hAnsi="Arial" w:cs="Arial"/>
          <w:lang w:val="en-US"/>
        </w:rPr>
        <w:t xml:space="preserve">. Subjectively, meningitis symptoms of patients on oral amphotericin seemed to overall clinically improve more rapidly compared to those receiving intravenous amphotericin B deoxycholate. Few adverse events were observed. </w:t>
      </w:r>
    </w:p>
    <w:p w14:paraId="30D04B1A" w14:textId="1228FD0F" w:rsidR="005D04A0" w:rsidRPr="00AF48E9" w:rsidRDefault="00167DEE" w:rsidP="00341D51">
      <w:pPr>
        <w:spacing w:after="200" w:line="240" w:lineRule="auto"/>
        <w:ind w:right="4"/>
        <w:jc w:val="both"/>
        <w:rPr>
          <w:rFonts w:ascii="Arial" w:eastAsia="Times New Roman" w:hAnsi="Arial" w:cs="Arial"/>
          <w:b/>
          <w:bCs/>
          <w:lang w:val="en-US"/>
        </w:rPr>
      </w:pPr>
      <w:r w:rsidRPr="00AF48E9">
        <w:rPr>
          <w:rFonts w:ascii="Arial" w:eastAsia="Times New Roman" w:hAnsi="Arial" w:cs="Arial"/>
          <w:b/>
          <w:bCs/>
          <w:lang w:val="en-US"/>
        </w:rPr>
        <w:t>Conclusion</w:t>
      </w:r>
      <w:r w:rsidR="00DF04AF" w:rsidRPr="00AF48E9">
        <w:rPr>
          <w:rFonts w:ascii="Arial" w:eastAsia="Times New Roman" w:hAnsi="Arial" w:cs="Arial"/>
          <w:b/>
          <w:bCs/>
          <w:lang w:val="en-US"/>
        </w:rPr>
        <w:t>s</w:t>
      </w:r>
    </w:p>
    <w:p w14:paraId="31777333" w14:textId="0FAF637D" w:rsidR="00E41E8C" w:rsidRPr="00AF48E9" w:rsidRDefault="002C6910">
      <w:pPr>
        <w:spacing w:after="200" w:line="240" w:lineRule="auto"/>
        <w:ind w:right="4"/>
        <w:jc w:val="both"/>
        <w:rPr>
          <w:rFonts w:ascii="Arial" w:eastAsia="Times New Roman" w:hAnsi="Arial" w:cs="Arial"/>
          <w:lang w:val="en-US"/>
        </w:rPr>
      </w:pPr>
      <w:r w:rsidRPr="00AF48E9">
        <w:rPr>
          <w:rFonts w:ascii="Arial" w:eastAsia="Times New Roman" w:hAnsi="Arial" w:cs="Arial"/>
          <w:lang w:val="en-US"/>
        </w:rPr>
        <w:t>In conclusion, oral amphotericin B was generally safe and well tolerated. However, it requires some training for the nurse, patient and caretakers for better administration, adherence and treatment outcomes.</w:t>
      </w:r>
    </w:p>
    <w:p w14:paraId="39284B3E" w14:textId="688EE309" w:rsidR="00C2262D" w:rsidRPr="00AF48E9" w:rsidRDefault="00C2262D">
      <w:pPr>
        <w:spacing w:after="200" w:line="240" w:lineRule="auto"/>
        <w:ind w:right="4"/>
        <w:jc w:val="both"/>
        <w:rPr>
          <w:rFonts w:ascii="Arial" w:eastAsia="Times New Roman" w:hAnsi="Arial" w:cs="Arial"/>
          <w:bCs/>
          <w:lang w:val="en-US"/>
        </w:rPr>
      </w:pPr>
    </w:p>
    <w:sectPr w:rsidR="00C2262D" w:rsidRPr="00AF48E9" w:rsidSect="00FF1948">
      <w:headerReference w:type="default" r:id="rId7"/>
      <w:pgSz w:w="12240" w:h="15840"/>
      <w:pgMar w:top="1507" w:right="1440" w:bottom="595" w:left="144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95E5B" w14:textId="77777777" w:rsidR="002D381F" w:rsidRDefault="002D381F" w:rsidP="001A35BE">
      <w:pPr>
        <w:spacing w:after="0" w:line="240" w:lineRule="auto"/>
      </w:pPr>
      <w:r>
        <w:separator/>
      </w:r>
    </w:p>
  </w:endnote>
  <w:endnote w:type="continuationSeparator" w:id="0">
    <w:p w14:paraId="0195DDDB" w14:textId="77777777" w:rsidR="002D381F" w:rsidRDefault="002D381F" w:rsidP="001A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43952" w14:textId="77777777" w:rsidR="002D381F" w:rsidRDefault="002D381F" w:rsidP="001A35BE">
      <w:pPr>
        <w:spacing w:after="0" w:line="240" w:lineRule="auto"/>
      </w:pPr>
      <w:r>
        <w:separator/>
      </w:r>
    </w:p>
  </w:footnote>
  <w:footnote w:type="continuationSeparator" w:id="0">
    <w:p w14:paraId="4E9BC034" w14:textId="77777777" w:rsidR="002D381F" w:rsidRDefault="002D381F" w:rsidP="001A3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FEE4" w14:textId="17396E67" w:rsidR="00B90C14" w:rsidRPr="0025383C" w:rsidRDefault="00291C46" w:rsidP="001A35BE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  <w:i/>
      </w:rPr>
    </w:pPr>
    <w:r>
      <w:rPr>
        <w:rFonts w:ascii="Calibri" w:eastAsia="Calibri" w:hAnsi="Calibri" w:cs="Times New Roman"/>
        <w:i/>
      </w:rPr>
      <w:t>Abstract</w:t>
    </w:r>
    <w:r w:rsidR="00341D51">
      <w:rPr>
        <w:rFonts w:ascii="Calibri" w:eastAsia="Calibri" w:hAnsi="Calibri" w:cs="Times New Roman"/>
        <w:i/>
      </w:rPr>
      <w:t xml:space="preserve">.  </w:t>
    </w:r>
    <w:r w:rsidR="00341D51">
      <w:rPr>
        <w:rFonts w:ascii="Calibri" w:eastAsia="Calibri" w:hAnsi="Calibri" w:cs="Times New Roman"/>
        <w:i/>
      </w:rPr>
      <w:tab/>
    </w:r>
    <w:r w:rsidR="0025383C" w:rsidRPr="0025383C">
      <w:rPr>
        <w:rFonts w:ascii="Calibri" w:eastAsia="Calibri" w:hAnsi="Calibri" w:cs="Times New Roman"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7AA5"/>
    <w:multiLevelType w:val="hybridMultilevel"/>
    <w:tmpl w:val="05E43EC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81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29"/>
    <w:rsid w:val="0002556A"/>
    <w:rsid w:val="0008384D"/>
    <w:rsid w:val="00094CEC"/>
    <w:rsid w:val="000C5872"/>
    <w:rsid w:val="000D2E0A"/>
    <w:rsid w:val="000E4166"/>
    <w:rsid w:val="000F7C02"/>
    <w:rsid w:val="00100D0C"/>
    <w:rsid w:val="00127ACE"/>
    <w:rsid w:val="00167DEE"/>
    <w:rsid w:val="00182372"/>
    <w:rsid w:val="00192C1A"/>
    <w:rsid w:val="001A35BE"/>
    <w:rsid w:val="001C28A5"/>
    <w:rsid w:val="001C5F4B"/>
    <w:rsid w:val="001D4163"/>
    <w:rsid w:val="001E0F5F"/>
    <w:rsid w:val="0021423D"/>
    <w:rsid w:val="0023442C"/>
    <w:rsid w:val="00241A20"/>
    <w:rsid w:val="0025383C"/>
    <w:rsid w:val="00291C46"/>
    <w:rsid w:val="002944BC"/>
    <w:rsid w:val="002A6556"/>
    <w:rsid w:val="002B6745"/>
    <w:rsid w:val="002C6910"/>
    <w:rsid w:val="002D381F"/>
    <w:rsid w:val="002E0781"/>
    <w:rsid w:val="002E7742"/>
    <w:rsid w:val="002F2C16"/>
    <w:rsid w:val="002F57C8"/>
    <w:rsid w:val="00325143"/>
    <w:rsid w:val="00341D51"/>
    <w:rsid w:val="00367CC3"/>
    <w:rsid w:val="00385EDC"/>
    <w:rsid w:val="003E0067"/>
    <w:rsid w:val="00417564"/>
    <w:rsid w:val="0044058E"/>
    <w:rsid w:val="004578FE"/>
    <w:rsid w:val="004671D8"/>
    <w:rsid w:val="004C434D"/>
    <w:rsid w:val="004C71ED"/>
    <w:rsid w:val="00506881"/>
    <w:rsid w:val="005068F5"/>
    <w:rsid w:val="00511AB6"/>
    <w:rsid w:val="0052389F"/>
    <w:rsid w:val="00560ADB"/>
    <w:rsid w:val="005C194E"/>
    <w:rsid w:val="005D04A0"/>
    <w:rsid w:val="006073C6"/>
    <w:rsid w:val="006320D5"/>
    <w:rsid w:val="006369EA"/>
    <w:rsid w:val="00640D87"/>
    <w:rsid w:val="00675826"/>
    <w:rsid w:val="006D3914"/>
    <w:rsid w:val="0072466C"/>
    <w:rsid w:val="007424C3"/>
    <w:rsid w:val="00785E9A"/>
    <w:rsid w:val="007B1B21"/>
    <w:rsid w:val="007B4826"/>
    <w:rsid w:val="007F2221"/>
    <w:rsid w:val="007F5627"/>
    <w:rsid w:val="00801602"/>
    <w:rsid w:val="00802498"/>
    <w:rsid w:val="00826D4C"/>
    <w:rsid w:val="0083672B"/>
    <w:rsid w:val="00841274"/>
    <w:rsid w:val="00887E11"/>
    <w:rsid w:val="00894C66"/>
    <w:rsid w:val="008A0DF4"/>
    <w:rsid w:val="008A2A5B"/>
    <w:rsid w:val="008A60D8"/>
    <w:rsid w:val="008D6A30"/>
    <w:rsid w:val="009054A4"/>
    <w:rsid w:val="009120CD"/>
    <w:rsid w:val="00945C74"/>
    <w:rsid w:val="00950FAD"/>
    <w:rsid w:val="009524E3"/>
    <w:rsid w:val="00955E13"/>
    <w:rsid w:val="00960B73"/>
    <w:rsid w:val="00962A03"/>
    <w:rsid w:val="0098179D"/>
    <w:rsid w:val="00A05BB9"/>
    <w:rsid w:val="00A67CE7"/>
    <w:rsid w:val="00AA00C0"/>
    <w:rsid w:val="00AA2EE5"/>
    <w:rsid w:val="00AC3F63"/>
    <w:rsid w:val="00AF48E9"/>
    <w:rsid w:val="00B00F84"/>
    <w:rsid w:val="00B31C78"/>
    <w:rsid w:val="00B531B7"/>
    <w:rsid w:val="00B7014A"/>
    <w:rsid w:val="00B90C14"/>
    <w:rsid w:val="00BC7F28"/>
    <w:rsid w:val="00BE24D4"/>
    <w:rsid w:val="00C2262D"/>
    <w:rsid w:val="00C35D1C"/>
    <w:rsid w:val="00C41691"/>
    <w:rsid w:val="00C61403"/>
    <w:rsid w:val="00C654FA"/>
    <w:rsid w:val="00CA3D7C"/>
    <w:rsid w:val="00CE3F9D"/>
    <w:rsid w:val="00D14D0F"/>
    <w:rsid w:val="00D17095"/>
    <w:rsid w:val="00D6175E"/>
    <w:rsid w:val="00D6547E"/>
    <w:rsid w:val="00D7141D"/>
    <w:rsid w:val="00DB5A70"/>
    <w:rsid w:val="00DF04AF"/>
    <w:rsid w:val="00E02EF7"/>
    <w:rsid w:val="00E21B14"/>
    <w:rsid w:val="00E41E8C"/>
    <w:rsid w:val="00E50070"/>
    <w:rsid w:val="00E535A3"/>
    <w:rsid w:val="00EF1B8C"/>
    <w:rsid w:val="00F30F29"/>
    <w:rsid w:val="00F8503F"/>
    <w:rsid w:val="00FC02D4"/>
    <w:rsid w:val="00FD4ED6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AC291"/>
  <w15:chartTrackingRefBased/>
  <w15:docId w15:val="{02F9E6B3-66FA-4521-819B-0AFF4671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5BE"/>
  </w:style>
  <w:style w:type="paragraph" w:styleId="Footer">
    <w:name w:val="footer"/>
    <w:basedOn w:val="Normal"/>
    <w:link w:val="FooterChar"/>
    <w:uiPriority w:val="99"/>
    <w:unhideWhenUsed/>
    <w:rsid w:val="001A3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5BE"/>
  </w:style>
  <w:style w:type="paragraph" w:customStyle="1" w:styleId="Body">
    <w:name w:val="Body"/>
    <w:link w:val="BodyChar"/>
    <w:rsid w:val="00167D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CA"/>
    </w:rPr>
  </w:style>
  <w:style w:type="character" w:customStyle="1" w:styleId="BodyChar">
    <w:name w:val="Body Char"/>
    <w:basedOn w:val="DefaultParagraphFont"/>
    <w:link w:val="Body"/>
    <w:rsid w:val="00167DEE"/>
    <w:rPr>
      <w:rFonts w:ascii="Calibri" w:eastAsia="Calibri" w:hAnsi="Calibri" w:cs="Calibri"/>
      <w:color w:val="000000"/>
      <w:u w:color="000000"/>
      <w:bdr w:val="nil"/>
      <w:lang w:val="en-US" w:eastAsia="en-CA"/>
    </w:rPr>
  </w:style>
  <w:style w:type="paragraph" w:styleId="Revision">
    <w:name w:val="Revision"/>
    <w:hidden/>
    <w:uiPriority w:val="99"/>
    <w:semiHidden/>
    <w:rsid w:val="0083672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36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7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7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72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F04AF"/>
    <w:pPr>
      <w:ind w:left="720"/>
      <w:contextualSpacing/>
    </w:pPr>
  </w:style>
  <w:style w:type="table" w:styleId="PlainTable4">
    <w:name w:val="Plain Table 4"/>
    <w:basedOn w:val="TableNormal"/>
    <w:uiPriority w:val="44"/>
    <w:rsid w:val="00C226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utlook-search-highlight">
    <w:name w:val="outlook-search-highlight"/>
    <w:basedOn w:val="DefaultParagraphFont"/>
    <w:rsid w:val="00E41E8C"/>
  </w:style>
  <w:style w:type="character" w:customStyle="1" w:styleId="apple-converted-space">
    <w:name w:val="apple-converted-space"/>
    <w:basedOn w:val="DefaultParagraphFont"/>
    <w:rsid w:val="00E4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Kwizera</dc:creator>
  <cp:keywords/>
  <dc:description/>
  <cp:lastModifiedBy>Richard Kwizera</cp:lastModifiedBy>
  <cp:revision>3</cp:revision>
  <dcterms:created xsi:type="dcterms:W3CDTF">2025-04-25T08:04:00Z</dcterms:created>
  <dcterms:modified xsi:type="dcterms:W3CDTF">2025-04-25T08:06:00Z</dcterms:modified>
</cp:coreProperties>
</file>