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FFCD" w14:textId="77777777" w:rsidR="00F407B1" w:rsidRDefault="00F407B1" w:rsidP="00D539F1">
      <w:pPr>
        <w:spacing w:line="276" w:lineRule="auto"/>
        <w:jc w:val="both"/>
      </w:pPr>
      <w:r>
        <w:rPr>
          <w:b/>
          <w:bCs/>
        </w:rPr>
        <w:t>Ob</w:t>
      </w:r>
      <w:r w:rsidRPr="00996CD7">
        <w:rPr>
          <w:b/>
          <w:bCs/>
        </w:rPr>
        <w:t>jectives</w:t>
      </w:r>
      <w:r>
        <w:t xml:space="preserve">: </w:t>
      </w:r>
    </w:p>
    <w:p w14:paraId="6CC55F72" w14:textId="012E1FDF" w:rsidR="000A7D18" w:rsidRDefault="00F407B1" w:rsidP="00D539F1">
      <w:pPr>
        <w:spacing w:line="276" w:lineRule="auto"/>
        <w:jc w:val="both"/>
        <w:rPr>
          <w:rFonts w:cstheme="minorHAnsi"/>
          <w:color w:val="212121"/>
          <w:shd w:val="clear" w:color="auto" w:fill="FFFFFF"/>
        </w:rPr>
      </w:pPr>
      <w:r w:rsidRPr="00F407B1">
        <w:rPr>
          <w:rFonts w:cstheme="minorHAnsi"/>
          <w:color w:val="212121"/>
          <w:shd w:val="clear" w:color="auto" w:fill="FFFFFF"/>
        </w:rPr>
        <w:t>Dermatophytes are the most common cause of cutaneous fungal infections</w:t>
      </w:r>
      <w:r>
        <w:rPr>
          <w:rFonts w:cstheme="minorHAnsi"/>
          <w:color w:val="212121"/>
          <w:shd w:val="clear" w:color="auto" w:fill="FFFFFF"/>
        </w:rPr>
        <w:t xml:space="preserve">. </w:t>
      </w:r>
      <w:r w:rsidRPr="00F407B1">
        <w:rPr>
          <w:rFonts w:cstheme="minorHAnsi"/>
          <w:color w:val="212121"/>
          <w:shd w:val="clear" w:color="auto" w:fill="FFFFFF"/>
        </w:rPr>
        <w:t xml:space="preserve">Resistance to </w:t>
      </w:r>
      <w:r w:rsidRPr="000A7D18">
        <w:rPr>
          <w:rFonts w:cstheme="minorHAnsi"/>
          <w:i/>
          <w:iCs/>
          <w:color w:val="212121"/>
          <w:shd w:val="clear" w:color="auto" w:fill="FFFFFF"/>
        </w:rPr>
        <w:t>Trichophyton</w:t>
      </w:r>
      <w:r w:rsidRPr="00F407B1">
        <w:rPr>
          <w:rFonts w:cstheme="minorHAnsi"/>
          <w:color w:val="212121"/>
          <w:shd w:val="clear" w:color="auto" w:fill="FFFFFF"/>
        </w:rPr>
        <w:t xml:space="preserve"> spp. is a global public health concern with numerous reports emerging </w:t>
      </w:r>
      <w:r>
        <w:rPr>
          <w:rFonts w:cstheme="minorHAnsi"/>
          <w:color w:val="212121"/>
          <w:shd w:val="clear" w:color="auto" w:fill="FFFFFF"/>
        </w:rPr>
        <w:t>worldwide</w:t>
      </w:r>
      <w:r w:rsidRPr="00F407B1">
        <w:rPr>
          <w:rFonts w:cstheme="minorHAnsi"/>
          <w:color w:val="212121"/>
          <w:shd w:val="clear" w:color="auto" w:fill="FFFFFF"/>
        </w:rPr>
        <w:t>.</w:t>
      </w:r>
      <w:r>
        <w:rPr>
          <w:rFonts w:cstheme="minorHAnsi"/>
          <w:color w:val="212121"/>
          <w:shd w:val="clear" w:color="auto" w:fill="FFFFFF"/>
        </w:rPr>
        <w:t xml:space="preserve"> </w:t>
      </w:r>
      <w:r w:rsidRPr="003E40E4">
        <w:rPr>
          <w:rFonts w:cstheme="minorHAnsi"/>
          <w:color w:val="212121"/>
          <w:shd w:val="clear" w:color="auto" w:fill="FFFFFF"/>
        </w:rPr>
        <w:t>The</w:t>
      </w:r>
      <w:r>
        <w:rPr>
          <w:rFonts w:cstheme="minorHAnsi"/>
          <w:color w:val="212121"/>
          <w:shd w:val="clear" w:color="auto" w:fill="FFFFFF"/>
        </w:rPr>
        <w:t xml:space="preserve"> </w:t>
      </w:r>
      <w:r w:rsidRPr="003E40E4">
        <w:rPr>
          <w:rFonts w:cstheme="minorHAnsi"/>
          <w:color w:val="212121"/>
          <w:shd w:val="clear" w:color="auto" w:fill="FFFFFF"/>
        </w:rPr>
        <w:t xml:space="preserve">high recovery rate of terbinafine (TRB) non-wild type (WT) </w:t>
      </w:r>
      <w:r w:rsidR="007F6D22">
        <w:rPr>
          <w:rFonts w:cstheme="minorHAnsi"/>
          <w:color w:val="212121"/>
          <w:shd w:val="clear" w:color="auto" w:fill="FFFFFF"/>
        </w:rPr>
        <w:t xml:space="preserve">strains of </w:t>
      </w:r>
      <w:r w:rsidRPr="003E40E4">
        <w:rPr>
          <w:rFonts w:cstheme="minorHAnsi"/>
          <w:i/>
          <w:color w:val="212121"/>
          <w:shd w:val="clear" w:color="auto" w:fill="FFFFFF"/>
        </w:rPr>
        <w:t xml:space="preserve">T. </w:t>
      </w:r>
      <w:r w:rsidR="000A7D18">
        <w:rPr>
          <w:rFonts w:cstheme="minorHAnsi"/>
          <w:i/>
          <w:color w:val="212121"/>
          <w:shd w:val="clear" w:color="auto" w:fill="FFFFFF"/>
        </w:rPr>
        <w:t>i</w:t>
      </w:r>
      <w:r w:rsidRPr="003E40E4">
        <w:rPr>
          <w:rFonts w:cstheme="minorHAnsi"/>
          <w:i/>
          <w:color w:val="212121"/>
          <w:shd w:val="clear" w:color="auto" w:fill="FFFFFF"/>
        </w:rPr>
        <w:t>ndotineae</w:t>
      </w:r>
      <w:r w:rsidRPr="003E40E4">
        <w:rPr>
          <w:rFonts w:cstheme="minorHAnsi"/>
          <w:color w:val="212121"/>
          <w:shd w:val="clear" w:color="auto" w:fill="FFFFFF"/>
        </w:rPr>
        <w:t xml:space="preserve"> from Greek </w:t>
      </w:r>
      <w:r w:rsidR="007F6D22">
        <w:rPr>
          <w:rFonts w:cstheme="minorHAnsi"/>
          <w:color w:val="212121"/>
          <w:shd w:val="clear" w:color="auto" w:fill="FFFFFF"/>
        </w:rPr>
        <w:t>hospitals</w:t>
      </w:r>
      <w:r w:rsidRPr="003E40E4">
        <w:rPr>
          <w:rFonts w:cstheme="minorHAnsi"/>
          <w:color w:val="212121"/>
          <w:shd w:val="clear" w:color="auto" w:fill="FFFFFF"/>
        </w:rPr>
        <w:t xml:space="preserve"> raises concerns (</w:t>
      </w:r>
      <w:proofErr w:type="spellStart"/>
      <w:r w:rsidRPr="000A7D18">
        <w:rPr>
          <w:rFonts w:cstheme="minorHAnsi"/>
          <w:i/>
          <w:iCs/>
          <w:color w:val="212121"/>
          <w:shd w:val="clear" w:color="auto" w:fill="FFFFFF"/>
        </w:rPr>
        <w:t>Siopi</w:t>
      </w:r>
      <w:proofErr w:type="spellEnd"/>
      <w:r w:rsidRPr="000A7D18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r w:rsidRPr="003E40E4">
        <w:rPr>
          <w:rFonts w:cstheme="minorHAnsi"/>
          <w:color w:val="212121"/>
          <w:shd w:val="clear" w:color="auto" w:fill="FFFFFF"/>
        </w:rPr>
        <w:t xml:space="preserve">et al. </w:t>
      </w:r>
      <w:proofErr w:type="spellStart"/>
      <w:r w:rsidRPr="003E40E4">
        <w:rPr>
          <w:rFonts w:cstheme="minorHAnsi"/>
          <w:color w:val="212121"/>
          <w:shd w:val="clear" w:color="auto" w:fill="FFFFFF"/>
        </w:rPr>
        <w:t>JoF</w:t>
      </w:r>
      <w:proofErr w:type="spellEnd"/>
      <w:r w:rsidRPr="003E40E4">
        <w:rPr>
          <w:rFonts w:cstheme="minorHAnsi"/>
          <w:color w:val="212121"/>
          <w:shd w:val="clear" w:color="auto" w:fill="FFFFFF"/>
        </w:rPr>
        <w:t xml:space="preserve"> 2021).</w:t>
      </w:r>
      <w:r w:rsidR="007F6D22">
        <w:rPr>
          <w:rFonts w:cstheme="minorHAnsi"/>
          <w:color w:val="212121"/>
          <w:shd w:val="clear" w:color="auto" w:fill="FFFFFF"/>
        </w:rPr>
        <w:t xml:space="preserve"> </w:t>
      </w:r>
      <w:r w:rsidR="007F6D22" w:rsidRPr="007F6D22">
        <w:rPr>
          <w:rFonts w:cstheme="minorHAnsi"/>
          <w:color w:val="212121"/>
          <w:shd w:val="clear" w:color="auto" w:fill="FFFFFF"/>
        </w:rPr>
        <w:t>EUCAST has standardised a microdilution method (</w:t>
      </w:r>
      <w:proofErr w:type="spellStart"/>
      <w:proofErr w:type="gramStart"/>
      <w:r w:rsidR="007F6D22" w:rsidRPr="007F6D22">
        <w:rPr>
          <w:rFonts w:cstheme="minorHAnsi"/>
          <w:color w:val="212121"/>
          <w:shd w:val="clear" w:color="auto" w:fill="FFFFFF"/>
        </w:rPr>
        <w:t>E.Def</w:t>
      </w:r>
      <w:proofErr w:type="spellEnd"/>
      <w:proofErr w:type="gramEnd"/>
      <w:r w:rsidR="000A7D18">
        <w:rPr>
          <w:rFonts w:cstheme="minorHAnsi"/>
          <w:color w:val="212121"/>
          <w:shd w:val="clear" w:color="auto" w:fill="FFFFFF"/>
        </w:rPr>
        <w:t xml:space="preserve"> </w:t>
      </w:r>
      <w:r w:rsidR="007F6D22" w:rsidRPr="007F6D22">
        <w:rPr>
          <w:rFonts w:cstheme="minorHAnsi"/>
          <w:color w:val="212121"/>
          <w:shd w:val="clear" w:color="auto" w:fill="FFFFFF"/>
        </w:rPr>
        <w:t xml:space="preserve">11.0) for the susceptibility testing of </w:t>
      </w:r>
      <w:r w:rsidR="007F6D22">
        <w:rPr>
          <w:rFonts w:cstheme="minorHAnsi"/>
          <w:color w:val="212121"/>
          <w:shd w:val="clear" w:color="auto" w:fill="FFFFFF"/>
        </w:rPr>
        <w:t>microconidia-forming</w:t>
      </w:r>
      <w:r w:rsidR="007F6D22" w:rsidRPr="007F6D22">
        <w:rPr>
          <w:rFonts w:cstheme="minorHAnsi"/>
          <w:color w:val="212121"/>
          <w:shd w:val="clear" w:color="auto" w:fill="FFFFFF"/>
        </w:rPr>
        <w:t xml:space="preserve"> dermatophytes.</w:t>
      </w:r>
      <w:r w:rsidR="00BF6B87">
        <w:rPr>
          <w:rFonts w:cstheme="minorHAnsi"/>
          <w:color w:val="212121"/>
          <w:shd w:val="clear" w:color="auto" w:fill="FFFFFF"/>
        </w:rPr>
        <w:t xml:space="preserve"> </w:t>
      </w:r>
    </w:p>
    <w:p w14:paraId="2C70DA93" w14:textId="1B0FA38D" w:rsidR="00F407B1" w:rsidRDefault="00BF6B87" w:rsidP="00D539F1">
      <w:pPr>
        <w:spacing w:line="276" w:lineRule="auto"/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 xml:space="preserve">We </w:t>
      </w:r>
      <w:r w:rsidRPr="00BF6B87">
        <w:rPr>
          <w:rFonts w:cstheme="minorHAnsi"/>
          <w:color w:val="212121"/>
          <w:shd w:val="clear" w:color="auto" w:fill="FFFFFF"/>
        </w:rPr>
        <w:t xml:space="preserve">investigated the </w:t>
      </w:r>
      <w:r w:rsidRPr="00BF6B87">
        <w:rPr>
          <w:rFonts w:cstheme="minorHAnsi"/>
          <w:i/>
          <w:iCs/>
          <w:color w:val="212121"/>
          <w:shd w:val="clear" w:color="auto" w:fill="FFFFFF"/>
        </w:rPr>
        <w:t>in vitro</w:t>
      </w:r>
      <w:r w:rsidRPr="00BF6B87">
        <w:rPr>
          <w:rFonts w:cstheme="minorHAnsi"/>
          <w:color w:val="212121"/>
          <w:shd w:val="clear" w:color="auto" w:fill="FFFFFF"/>
        </w:rPr>
        <w:t xml:space="preserve"> susceptibility patterns of </w:t>
      </w:r>
      <w:r w:rsidRPr="00BF6B87">
        <w:rPr>
          <w:rFonts w:cstheme="minorHAnsi"/>
          <w:i/>
          <w:iCs/>
          <w:color w:val="212121"/>
          <w:shd w:val="clear" w:color="auto" w:fill="FFFFFF"/>
        </w:rPr>
        <w:t>Trichophyton</w:t>
      </w:r>
      <w:r w:rsidRPr="00BF6B87">
        <w:rPr>
          <w:rFonts w:cstheme="minorHAnsi"/>
          <w:color w:val="212121"/>
          <w:shd w:val="clear" w:color="auto" w:fill="FFFFFF"/>
        </w:rPr>
        <w:t xml:space="preserve"> spp. recovered from patients attending the largest Dermatology Greek hospital (“Andreas </w:t>
      </w:r>
      <w:proofErr w:type="spellStart"/>
      <w:r w:rsidRPr="00BF6B87">
        <w:rPr>
          <w:rFonts w:cstheme="minorHAnsi"/>
          <w:color w:val="212121"/>
          <w:shd w:val="clear" w:color="auto" w:fill="FFFFFF"/>
        </w:rPr>
        <w:t>Syg</w:t>
      </w:r>
      <w:r w:rsidR="00F516E7">
        <w:rPr>
          <w:rFonts w:cstheme="minorHAnsi"/>
          <w:color w:val="212121"/>
          <w:shd w:val="clear" w:color="auto" w:fill="FFFFFF"/>
        </w:rPr>
        <w:t>g</w:t>
      </w:r>
      <w:r w:rsidRPr="00BF6B87">
        <w:rPr>
          <w:rFonts w:cstheme="minorHAnsi"/>
          <w:color w:val="212121"/>
          <w:shd w:val="clear" w:color="auto" w:fill="FFFFFF"/>
        </w:rPr>
        <w:t>ros</w:t>
      </w:r>
      <w:proofErr w:type="spellEnd"/>
      <w:r w:rsidRPr="00BF6B87">
        <w:rPr>
          <w:rFonts w:cstheme="minorHAnsi"/>
          <w:color w:val="212121"/>
          <w:shd w:val="clear" w:color="auto" w:fill="FFFFFF"/>
        </w:rPr>
        <w:t>”).</w:t>
      </w:r>
    </w:p>
    <w:p w14:paraId="33453D9F" w14:textId="43DD4793" w:rsidR="007F6D22" w:rsidRDefault="00F516E7" w:rsidP="00D539F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Materials &amp; </w:t>
      </w:r>
      <w:r w:rsidR="007F6D22" w:rsidRPr="00996CD7">
        <w:rPr>
          <w:b/>
          <w:bCs/>
        </w:rPr>
        <w:t>Methods</w:t>
      </w:r>
      <w:r w:rsidR="007F6D22">
        <w:rPr>
          <w:b/>
          <w:bCs/>
        </w:rPr>
        <w:t>:</w:t>
      </w:r>
    </w:p>
    <w:p w14:paraId="56503060" w14:textId="42076238" w:rsidR="00BC7873" w:rsidRDefault="007F6D22" w:rsidP="00D539F1">
      <w:pPr>
        <w:spacing w:line="276" w:lineRule="auto"/>
        <w:jc w:val="both"/>
        <w:rPr>
          <w:rFonts w:cstheme="minorHAnsi"/>
          <w:color w:val="212121"/>
          <w:shd w:val="clear" w:color="auto" w:fill="FFFFFF"/>
        </w:rPr>
      </w:pPr>
      <w:r>
        <w:t xml:space="preserve">A total of 237 clinical isolates of </w:t>
      </w:r>
      <w:r w:rsidRPr="00356E9D">
        <w:rPr>
          <w:i/>
        </w:rPr>
        <w:t>Trichophyton</w:t>
      </w:r>
      <w:r>
        <w:t xml:space="preserve"> spp. (105 </w:t>
      </w:r>
      <w:r w:rsidR="00BF6B87">
        <w:t xml:space="preserve">(44.4%) </w:t>
      </w:r>
      <w:r w:rsidRPr="003E40E4">
        <w:rPr>
          <w:i/>
        </w:rPr>
        <w:t>T. rubrum</w:t>
      </w:r>
      <w:r>
        <w:t xml:space="preserve">, 24 </w:t>
      </w:r>
      <w:r w:rsidR="00BF6B87">
        <w:t xml:space="preserve">(10.1%) </w:t>
      </w:r>
      <w:r w:rsidRPr="003E40E4">
        <w:rPr>
          <w:i/>
        </w:rPr>
        <w:t xml:space="preserve">T. </w:t>
      </w:r>
      <w:r>
        <w:rPr>
          <w:i/>
        </w:rPr>
        <w:t>t</w:t>
      </w:r>
      <w:r w:rsidRPr="003E40E4">
        <w:rPr>
          <w:i/>
        </w:rPr>
        <w:t>onsurans</w:t>
      </w:r>
      <w:r>
        <w:t>, 9</w:t>
      </w:r>
      <w:r w:rsidR="00BF6B87">
        <w:t xml:space="preserve"> (3.8%)</w:t>
      </w:r>
      <w:r>
        <w:t xml:space="preserve"> </w:t>
      </w:r>
      <w:r w:rsidRPr="003E40E4">
        <w:rPr>
          <w:i/>
        </w:rPr>
        <w:t>T. mentagrophytes</w:t>
      </w:r>
      <w:r>
        <w:t xml:space="preserve">, 16 </w:t>
      </w:r>
      <w:r w:rsidR="00BF6B87">
        <w:t xml:space="preserve">(6.7%) </w:t>
      </w:r>
      <w:r w:rsidRPr="003E40E4">
        <w:rPr>
          <w:i/>
        </w:rPr>
        <w:t xml:space="preserve">T. </w:t>
      </w:r>
      <w:proofErr w:type="spellStart"/>
      <w:r w:rsidR="000A7D18">
        <w:rPr>
          <w:i/>
        </w:rPr>
        <w:t>i</w:t>
      </w:r>
      <w:r w:rsidRPr="003E40E4">
        <w:rPr>
          <w:i/>
        </w:rPr>
        <w:t>nterdigitale</w:t>
      </w:r>
      <w:proofErr w:type="spellEnd"/>
      <w:r>
        <w:t xml:space="preserve"> and 83</w:t>
      </w:r>
      <w:r w:rsidR="00BF6B87">
        <w:t xml:space="preserve"> (35%)</w:t>
      </w:r>
      <w:r>
        <w:t xml:space="preserve"> </w:t>
      </w:r>
      <w:r w:rsidRPr="003E40E4">
        <w:rPr>
          <w:i/>
        </w:rPr>
        <w:t>T.</w:t>
      </w:r>
      <w:r w:rsidR="000A7D18">
        <w:rPr>
          <w:i/>
        </w:rPr>
        <w:t xml:space="preserve"> </w:t>
      </w:r>
      <w:r w:rsidRPr="003E40E4">
        <w:rPr>
          <w:i/>
        </w:rPr>
        <w:t>indotineae</w:t>
      </w:r>
      <w:r>
        <w:t>)</w:t>
      </w:r>
      <w:r w:rsidR="00CD3A63">
        <w:t>,</w:t>
      </w:r>
      <w:r>
        <w:t xml:space="preserve"> </w:t>
      </w:r>
      <w:r w:rsidR="00CD3A63" w:rsidRPr="00CD3A63">
        <w:t>which were recovered from skin scrapings (</w:t>
      </w:r>
      <w:r w:rsidR="00CD3A63" w:rsidRPr="00CD3A63">
        <w:rPr>
          <w:i/>
          <w:iCs/>
        </w:rPr>
        <w:t>n</w:t>
      </w:r>
      <w:r w:rsidR="00CD3A63" w:rsidRPr="00CD3A63">
        <w:t>=</w:t>
      </w:r>
      <w:r w:rsidR="00CD3A63">
        <w:t>127</w:t>
      </w:r>
      <w:r w:rsidR="00CD3A63" w:rsidRPr="00CD3A63">
        <w:t xml:space="preserve">; </w:t>
      </w:r>
      <w:r w:rsidR="00CD3A63">
        <w:t>53.5</w:t>
      </w:r>
      <w:r w:rsidR="00CD3A63" w:rsidRPr="00CD3A63">
        <w:t>%) and nail clippings (</w:t>
      </w:r>
      <w:r w:rsidR="00CD3A63" w:rsidRPr="00CD3A63">
        <w:rPr>
          <w:i/>
          <w:iCs/>
        </w:rPr>
        <w:t>n</w:t>
      </w:r>
      <w:r w:rsidR="00CD3A63" w:rsidRPr="00CD3A63">
        <w:t>=1</w:t>
      </w:r>
      <w:r w:rsidR="00CD3A63">
        <w:t>10</w:t>
      </w:r>
      <w:r w:rsidR="00CD3A63" w:rsidRPr="00CD3A63">
        <w:t xml:space="preserve">; </w:t>
      </w:r>
      <w:r w:rsidR="00CD3A63">
        <w:t>46.5</w:t>
      </w:r>
      <w:r w:rsidR="00CD3A63" w:rsidRPr="00CD3A63">
        <w:t xml:space="preserve">%) from individual patients attending our hospital </w:t>
      </w:r>
      <w:r w:rsidR="00F77159" w:rsidRPr="00F77159">
        <w:t>in the period from 2018 to 2024</w:t>
      </w:r>
      <w:r w:rsidR="00CD3A63" w:rsidRPr="00CD3A63">
        <w:t>, were tested.</w:t>
      </w:r>
      <w:r>
        <w:t xml:space="preserve"> All clinical isolates were identified to the genus and species level by </w:t>
      </w:r>
      <w:r w:rsidR="00BF6B87" w:rsidRPr="00BF6B87">
        <w:t>colonial</w:t>
      </w:r>
      <w:r w:rsidR="00BF6B87">
        <w:t xml:space="preserve"> and </w:t>
      </w:r>
      <w:r w:rsidR="00BF6B87" w:rsidRPr="00BF6B87">
        <w:t>microscopic morphology</w:t>
      </w:r>
      <w:r w:rsidR="00BF6B87">
        <w:t xml:space="preserve"> </w:t>
      </w:r>
      <w:r>
        <w:t>and by MALDI</w:t>
      </w:r>
      <w:r w:rsidR="00CD3A63">
        <w:t>-</w:t>
      </w:r>
      <w:r>
        <w:t>TOF MS (</w:t>
      </w:r>
      <w:proofErr w:type="spellStart"/>
      <w:r w:rsidR="00CD3A63" w:rsidRPr="00CD3A63">
        <w:t>Autof</w:t>
      </w:r>
      <w:proofErr w:type="spellEnd"/>
      <w:r w:rsidR="00CD3A63" w:rsidRPr="00CD3A63">
        <w:t xml:space="preserve"> ms1000, </w:t>
      </w:r>
      <w:proofErr w:type="spellStart"/>
      <w:r w:rsidR="00CD3A63" w:rsidRPr="00CD3A63">
        <w:t>Autobio</w:t>
      </w:r>
      <w:proofErr w:type="spellEnd"/>
      <w:r w:rsidR="00CD3A63" w:rsidRPr="00CD3A63">
        <w:t>, Zhengzhou, China</w:t>
      </w:r>
      <w:r>
        <w:t xml:space="preserve">). </w:t>
      </w:r>
      <w:r w:rsidR="00795F4A" w:rsidRPr="00795F4A">
        <w:t xml:space="preserve">In vitro susceptibility testing of </w:t>
      </w:r>
      <w:r w:rsidR="00795F4A" w:rsidRPr="000A7D18">
        <w:rPr>
          <w:i/>
          <w:iCs/>
        </w:rPr>
        <w:t>Trichophyton</w:t>
      </w:r>
      <w:r w:rsidR="00795F4A" w:rsidRPr="00795F4A">
        <w:t xml:space="preserve"> isolates to terbinafine, itraconazole</w:t>
      </w:r>
      <w:r w:rsidR="00795F4A">
        <w:t xml:space="preserve"> and </w:t>
      </w:r>
      <w:r w:rsidR="00795F4A" w:rsidRPr="00795F4A">
        <w:t xml:space="preserve">voriconazole was performed </w:t>
      </w:r>
      <w:r w:rsidR="00795F4A">
        <w:t>under</w:t>
      </w:r>
      <w:r w:rsidR="00795F4A" w:rsidRPr="00795F4A">
        <w:t xml:space="preserve"> the proposed EUCAST broth microdilution reference method (E.DEF 11.0).</w:t>
      </w:r>
    </w:p>
    <w:p w14:paraId="77BC1D4C" w14:textId="442608C7" w:rsidR="00CD3A63" w:rsidRDefault="00CD3A63" w:rsidP="00D539F1">
      <w:pPr>
        <w:spacing w:line="276" w:lineRule="auto"/>
      </w:pPr>
      <w:r w:rsidRPr="00996CD7">
        <w:rPr>
          <w:b/>
          <w:bCs/>
        </w:rPr>
        <w:t>Results</w:t>
      </w:r>
      <w:r>
        <w:t>:</w:t>
      </w:r>
    </w:p>
    <w:p w14:paraId="7D97DF74" w14:textId="6FBB3B14" w:rsidR="00580061" w:rsidRDefault="00A5432F" w:rsidP="00D539F1">
      <w:pPr>
        <w:spacing w:line="276" w:lineRule="auto"/>
      </w:pPr>
      <w:r w:rsidRPr="00A5432F">
        <w:t>All isolates were considered wild type to itraconazole and voriconazole.</w:t>
      </w:r>
      <w:r>
        <w:t xml:space="preserve"> 78/83</w:t>
      </w:r>
      <w:r w:rsidR="00F77159">
        <w:t xml:space="preserve"> (93.9%)</w:t>
      </w:r>
      <w:r>
        <w:t xml:space="preserve"> strains of </w:t>
      </w:r>
      <w:r w:rsidR="00580061" w:rsidRPr="00A5432F">
        <w:rPr>
          <w:i/>
          <w:iCs/>
        </w:rPr>
        <w:t>T. indotineae</w:t>
      </w:r>
      <w:r w:rsidR="00580061" w:rsidRPr="00580061">
        <w:t xml:space="preserve"> </w:t>
      </w:r>
      <w:r>
        <w:t xml:space="preserve">were non-wild type </w:t>
      </w:r>
      <w:r w:rsidR="00F77159">
        <w:t>to</w:t>
      </w:r>
      <w:r>
        <w:t xml:space="preserve"> TRB </w:t>
      </w:r>
      <w:r w:rsidR="00580061" w:rsidRPr="00580061">
        <w:t xml:space="preserve">(MICs </w:t>
      </w:r>
      <w:r>
        <w:t xml:space="preserve">0.5 - &gt;=2 </w:t>
      </w:r>
      <w:r w:rsidR="00580061" w:rsidRPr="00580061">
        <w:t>mg/L)</w:t>
      </w:r>
      <w:r w:rsidR="00F77159">
        <w:t xml:space="preserve"> and 5/83 (6.1%) isolates</w:t>
      </w:r>
      <w:r w:rsidR="00580061" w:rsidRPr="00580061">
        <w:t xml:space="preserve"> </w:t>
      </w:r>
      <w:r w:rsidR="00F77159">
        <w:t xml:space="preserve">were wild type </w:t>
      </w:r>
      <w:r w:rsidR="00F77159" w:rsidRPr="00580061">
        <w:t xml:space="preserve">(MICs </w:t>
      </w:r>
      <w:r w:rsidR="00F77159">
        <w:t xml:space="preserve">&lt;= 0.016 – 0.06 </w:t>
      </w:r>
      <w:r w:rsidR="00F77159" w:rsidRPr="00580061">
        <w:t>mg/L)</w:t>
      </w:r>
      <w:r w:rsidR="00F77159">
        <w:t>.</w:t>
      </w:r>
      <w:r w:rsidR="005A63F1">
        <w:t xml:space="preserve"> All </w:t>
      </w:r>
      <w:r w:rsidR="005A63F1" w:rsidRPr="000A7D18">
        <w:rPr>
          <w:i/>
          <w:iCs/>
        </w:rPr>
        <w:t>T</w:t>
      </w:r>
      <w:r w:rsidR="000A7D18" w:rsidRPr="000A7D18">
        <w:rPr>
          <w:i/>
          <w:iCs/>
        </w:rPr>
        <w:t>.</w:t>
      </w:r>
      <w:r w:rsidR="005A63F1" w:rsidRPr="000A7D18">
        <w:rPr>
          <w:i/>
          <w:iCs/>
        </w:rPr>
        <w:t xml:space="preserve"> indotineae</w:t>
      </w:r>
      <w:r w:rsidR="005A63F1">
        <w:t xml:space="preserve"> isolates were recovered from skin scrapings.</w:t>
      </w:r>
      <w:r w:rsidR="00F77159">
        <w:t xml:space="preserve"> </w:t>
      </w:r>
      <w:r w:rsidR="00580061" w:rsidRPr="00580061">
        <w:t xml:space="preserve">Overall, the number of terbinafine-resistant </w:t>
      </w:r>
      <w:r w:rsidR="00580061" w:rsidRPr="000A7D18">
        <w:rPr>
          <w:i/>
          <w:iCs/>
        </w:rPr>
        <w:t>Trichophyton</w:t>
      </w:r>
      <w:r w:rsidR="00580061" w:rsidRPr="00580061">
        <w:t xml:space="preserve"> </w:t>
      </w:r>
      <w:proofErr w:type="spellStart"/>
      <w:r w:rsidR="00580061" w:rsidRPr="00580061">
        <w:t>dermatophytoses</w:t>
      </w:r>
      <w:proofErr w:type="spellEnd"/>
      <w:r w:rsidR="00580061" w:rsidRPr="00580061">
        <w:t xml:space="preserve"> </w:t>
      </w:r>
      <w:r w:rsidR="005A63F1">
        <w:t>was</w:t>
      </w:r>
      <w:r w:rsidR="00F77159">
        <w:t xml:space="preserve"> 78/237 (32.9%).</w:t>
      </w:r>
    </w:p>
    <w:p w14:paraId="708070E4" w14:textId="77777777" w:rsidR="00D539F1" w:rsidRDefault="00D539F1" w:rsidP="00D539F1">
      <w:pPr>
        <w:spacing w:line="276" w:lineRule="auto"/>
      </w:pPr>
      <w:r w:rsidRPr="00996CD7">
        <w:rPr>
          <w:b/>
          <w:bCs/>
        </w:rPr>
        <w:t>Conclusions</w:t>
      </w:r>
      <w:r>
        <w:t>:</w:t>
      </w:r>
    </w:p>
    <w:p w14:paraId="1D9DE22D" w14:textId="500F6ADF" w:rsidR="00F77159" w:rsidRPr="005A63F1" w:rsidRDefault="00D539F1" w:rsidP="00D539F1">
      <w:pPr>
        <w:spacing w:line="276" w:lineRule="auto"/>
        <w:jc w:val="both"/>
        <w:rPr>
          <w:lang w:val="en-US"/>
        </w:rPr>
      </w:pPr>
      <w:r w:rsidRPr="00D539F1">
        <w:t xml:space="preserve">A high incidence (32.9%) of reek </w:t>
      </w:r>
      <w:r w:rsidRPr="000A7D18">
        <w:rPr>
          <w:i/>
          <w:iCs/>
        </w:rPr>
        <w:t>Trichophyton</w:t>
      </w:r>
      <w:r w:rsidRPr="00D539F1">
        <w:t xml:space="preserve"> spp. </w:t>
      </w:r>
      <w:r>
        <w:t>clinical</w:t>
      </w:r>
      <w:r w:rsidRPr="00D539F1">
        <w:t xml:space="preserve"> isolates with TRB non-WT appearance was </w:t>
      </w:r>
      <w:r>
        <w:t>recorded</w:t>
      </w:r>
      <w:r w:rsidRPr="00D539F1">
        <w:t xml:space="preserve">. </w:t>
      </w:r>
      <w:r w:rsidR="005A63F1" w:rsidRPr="005A63F1">
        <w:rPr>
          <w:lang w:val="en-US"/>
        </w:rPr>
        <w:t xml:space="preserve">In recent years, there has been an increasing trend of </w:t>
      </w:r>
      <w:r w:rsidR="005A63F1" w:rsidRPr="005A63F1">
        <w:rPr>
          <w:i/>
          <w:iCs/>
          <w:lang w:val="en-US"/>
        </w:rPr>
        <w:t>T. indotineae</w:t>
      </w:r>
      <w:r w:rsidR="005A63F1" w:rsidRPr="005A63F1">
        <w:rPr>
          <w:lang w:val="en-US"/>
        </w:rPr>
        <w:t xml:space="preserve"> showing a non-wild phenotype to terbinafine</w:t>
      </w:r>
      <w:r w:rsidR="000A7D18">
        <w:rPr>
          <w:lang w:val="en-US"/>
        </w:rPr>
        <w:t>,</w:t>
      </w:r>
      <w:r w:rsidR="005A63F1" w:rsidRPr="005A63F1">
        <w:rPr>
          <w:lang w:val="en-US"/>
        </w:rPr>
        <w:t xml:space="preserve"> but not to azoles.</w:t>
      </w:r>
      <w:r w:rsidR="005A63F1">
        <w:rPr>
          <w:lang w:val="en-US"/>
        </w:rPr>
        <w:t xml:space="preserve"> </w:t>
      </w:r>
      <w:r w:rsidR="00DA30F6">
        <w:t>These</w:t>
      </w:r>
      <w:r w:rsidRPr="00D539F1">
        <w:t xml:space="preserve"> finding</w:t>
      </w:r>
      <w:r w:rsidR="00DA30F6">
        <w:t>s</w:t>
      </w:r>
      <w:r w:rsidRPr="00D539F1">
        <w:t xml:space="preserve"> </w:t>
      </w:r>
      <w:r w:rsidR="00DA30F6">
        <w:t>highlight</w:t>
      </w:r>
      <w:r w:rsidRPr="00D539F1">
        <w:t xml:space="preserve"> the need to consider performing antifungal susceptibility testing at a local level, especially in patients who do not respond to empirical </w:t>
      </w:r>
      <w:r>
        <w:t>therapy</w:t>
      </w:r>
      <w:r w:rsidRPr="00D539F1">
        <w:t xml:space="preserve"> of </w:t>
      </w:r>
      <w:r w:rsidRPr="000A7D18">
        <w:rPr>
          <w:i/>
          <w:iCs/>
        </w:rPr>
        <w:t>Trichophyton</w:t>
      </w:r>
      <w:r w:rsidRPr="00D539F1">
        <w:t xml:space="preserve">-induced infections. Mutations in the </w:t>
      </w:r>
      <w:r w:rsidRPr="000A7D18">
        <w:rPr>
          <w:i/>
          <w:iCs/>
        </w:rPr>
        <w:t xml:space="preserve">SQLE </w:t>
      </w:r>
      <w:r w:rsidRPr="00D539F1">
        <w:t>gene associated with TRB resistance are under investigation.</w:t>
      </w:r>
    </w:p>
    <w:p w14:paraId="4A02AF63" w14:textId="77777777" w:rsidR="005A63F1" w:rsidRDefault="005A63F1" w:rsidP="00D539F1">
      <w:pPr>
        <w:spacing w:line="276" w:lineRule="auto"/>
        <w:jc w:val="both"/>
      </w:pPr>
    </w:p>
    <w:sectPr w:rsidR="005A6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83"/>
    <w:rsid w:val="000A7D18"/>
    <w:rsid w:val="002B79EE"/>
    <w:rsid w:val="002C3A1D"/>
    <w:rsid w:val="0032562C"/>
    <w:rsid w:val="00580061"/>
    <w:rsid w:val="005A63F1"/>
    <w:rsid w:val="00795F4A"/>
    <w:rsid w:val="007F6D22"/>
    <w:rsid w:val="008F6DD1"/>
    <w:rsid w:val="009E67DA"/>
    <w:rsid w:val="00A3370E"/>
    <w:rsid w:val="00A443CD"/>
    <w:rsid w:val="00A5432F"/>
    <w:rsid w:val="00B15E32"/>
    <w:rsid w:val="00BC7873"/>
    <w:rsid w:val="00BF6B87"/>
    <w:rsid w:val="00C3315F"/>
    <w:rsid w:val="00CD3A63"/>
    <w:rsid w:val="00D539F1"/>
    <w:rsid w:val="00DA30F6"/>
    <w:rsid w:val="00E061A3"/>
    <w:rsid w:val="00E53383"/>
    <w:rsid w:val="00F407B1"/>
    <w:rsid w:val="00F516E7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3B885"/>
  <w15:chartTrackingRefBased/>
  <w15:docId w15:val="{FFA83E01-CD3D-4B0F-A4A0-AC20AF71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383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53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3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3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3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3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3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3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3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3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53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53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5338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5338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533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5338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533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533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3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5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3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53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533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338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338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3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5338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33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15E3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15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4A06-4E02-4A86-B586-E8C478A8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CHARPAS</dc:creator>
  <cp:keywords/>
  <dc:description/>
  <cp:lastModifiedBy>Georgia2</cp:lastModifiedBy>
  <cp:revision>2</cp:revision>
  <dcterms:created xsi:type="dcterms:W3CDTF">2025-04-23T04:08:00Z</dcterms:created>
  <dcterms:modified xsi:type="dcterms:W3CDTF">2025-04-23T04:08:00Z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89933c75-ba8b-4a7d-a7a2-271dc46bd484</vt:lpwstr>
  </property>
</Properties>
</file>