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CFD4" w14:textId="1D8C3907" w:rsidR="007F1E21" w:rsidRPr="00B36FC7" w:rsidRDefault="00983C1F">
      <w:pPr>
        <w:rPr>
          <w:rFonts w:ascii="Arial" w:hAnsi="Arial" w:cs="Arial"/>
        </w:rPr>
      </w:pPr>
      <w:r w:rsidRPr="00B36FC7">
        <w:rPr>
          <w:rFonts w:ascii="Arial" w:hAnsi="Arial" w:cs="Arial"/>
          <w:b/>
          <w:bCs/>
        </w:rPr>
        <w:t>Ob</w:t>
      </w:r>
      <w:r w:rsidR="00996CD7" w:rsidRPr="00B36FC7">
        <w:rPr>
          <w:rFonts w:ascii="Arial" w:hAnsi="Arial" w:cs="Arial"/>
          <w:b/>
          <w:bCs/>
        </w:rPr>
        <w:t>jectives</w:t>
      </w:r>
      <w:r w:rsidR="00996CD7" w:rsidRPr="00B36FC7">
        <w:rPr>
          <w:rFonts w:ascii="Arial" w:hAnsi="Arial" w:cs="Arial"/>
        </w:rPr>
        <w:t>:</w:t>
      </w:r>
    </w:p>
    <w:p w14:paraId="17DB8332" w14:textId="7CBAE80A" w:rsidR="00996CD7" w:rsidRPr="00E7125E" w:rsidRDefault="00E7125E" w:rsidP="00E7125E">
      <w:pPr>
        <w:spacing w:line="240" w:lineRule="auto"/>
        <w:jc w:val="both"/>
        <w:rPr>
          <w:rFonts w:ascii="Arial" w:hAnsi="Arial" w:cs="Arial"/>
        </w:rPr>
      </w:pPr>
      <w:r w:rsidRPr="001C1E10">
        <w:rPr>
          <w:rFonts w:ascii="Arial" w:eastAsia="Times New Roman" w:hAnsi="Arial" w:cs="Arial"/>
          <w:i/>
          <w:lang w:val="en-US"/>
        </w:rPr>
        <w:t>Trichophyton indotineae</w:t>
      </w:r>
      <w:r w:rsidRPr="001C1E10">
        <w:rPr>
          <w:rFonts w:ascii="Arial" w:eastAsia="Times New Roman" w:hAnsi="Arial" w:cs="Arial"/>
          <w:lang w:val="en-US"/>
        </w:rPr>
        <w:t xml:space="preserve"> is an emerging dermatophyte species of significant global concern for its contagious nature and antifungal resistance. </w:t>
      </w:r>
      <w:r w:rsidRPr="001C1E10">
        <w:rPr>
          <w:rFonts w:ascii="Arial" w:eastAsia="Calibri" w:hAnsi="Arial" w:cs="Arial"/>
          <w:lang w:val="en-US"/>
        </w:rPr>
        <w:t xml:space="preserve">The emergence of antifungal-resistant dermatophytosis has been driven by an epidemiological shift in the predominant dermatophyte species, with </w:t>
      </w:r>
      <w:r w:rsidRPr="001C1E10">
        <w:rPr>
          <w:rFonts w:ascii="Arial" w:eastAsia="Calibri" w:hAnsi="Arial" w:cs="Arial"/>
          <w:i/>
          <w:lang w:val="en-US"/>
        </w:rPr>
        <w:t>T. indotineae</w:t>
      </w:r>
      <w:r w:rsidRPr="001C1E10">
        <w:rPr>
          <w:rFonts w:ascii="Arial" w:eastAsia="Calibri" w:hAnsi="Arial" w:cs="Arial"/>
          <w:lang w:val="en-US"/>
        </w:rPr>
        <w:t xml:space="preserve"> surpassing </w:t>
      </w:r>
      <w:r w:rsidRPr="001C1E10">
        <w:rPr>
          <w:rFonts w:ascii="Arial" w:eastAsia="Calibri" w:hAnsi="Arial" w:cs="Arial"/>
          <w:i/>
          <w:lang w:val="en-US"/>
        </w:rPr>
        <w:t>T. rubrum</w:t>
      </w:r>
      <w:r w:rsidRPr="001C1E10">
        <w:rPr>
          <w:rFonts w:ascii="Arial" w:eastAsia="Calibri" w:hAnsi="Arial" w:cs="Arial"/>
          <w:lang w:val="en-US"/>
        </w:rPr>
        <w:t xml:space="preserve"> between 2017 and 2020</w:t>
      </w:r>
      <w:r w:rsidRPr="001C1E10">
        <w:rPr>
          <w:rFonts w:ascii="Arial" w:hAnsi="Arial" w:cs="Arial"/>
        </w:rPr>
        <w:t xml:space="preserve">. The present study aimed to monitor trends in </w:t>
      </w:r>
      <w:r w:rsidRPr="001C1E10">
        <w:rPr>
          <w:rFonts w:ascii="Arial" w:hAnsi="Arial" w:cs="Arial"/>
          <w:i/>
          <w:iCs/>
        </w:rPr>
        <w:t>Trichophyton</w:t>
      </w:r>
      <w:r w:rsidRPr="001C1E10">
        <w:rPr>
          <w:rFonts w:ascii="Arial" w:hAnsi="Arial" w:cs="Arial"/>
        </w:rPr>
        <w:t xml:space="preserve"> species and their antifungal resistance isolated from cases of extensive superficial dermatophytosis patients enrolled during the period of one year 2023- 2024 in the dermatology outpatient department of a single hospital in Delhi. </w:t>
      </w:r>
    </w:p>
    <w:p w14:paraId="5B44CAD0" w14:textId="1BDA1CE7" w:rsidR="00996CD7" w:rsidRPr="00B36FC7" w:rsidRDefault="00996CD7">
      <w:pPr>
        <w:rPr>
          <w:rFonts w:ascii="Arial" w:hAnsi="Arial" w:cs="Arial"/>
          <w:b/>
          <w:bCs/>
        </w:rPr>
      </w:pPr>
      <w:r w:rsidRPr="00B36FC7">
        <w:rPr>
          <w:rFonts w:ascii="Arial" w:hAnsi="Arial" w:cs="Arial"/>
          <w:b/>
          <w:bCs/>
        </w:rPr>
        <w:t>Materials &amp; Methods:</w:t>
      </w:r>
    </w:p>
    <w:p w14:paraId="4A165CD5" w14:textId="58D280C4" w:rsidR="00996CD7" w:rsidRPr="00E7125E" w:rsidRDefault="00E7125E" w:rsidP="00E7125E">
      <w:pPr>
        <w:spacing w:line="240" w:lineRule="auto"/>
        <w:jc w:val="both"/>
        <w:rPr>
          <w:rFonts w:ascii="Arial" w:hAnsi="Arial" w:cs="Arial"/>
        </w:rPr>
      </w:pPr>
      <w:r w:rsidRPr="001C1E10">
        <w:rPr>
          <w:rFonts w:ascii="Arial" w:hAnsi="Arial" w:cs="Arial"/>
        </w:rPr>
        <w:t xml:space="preserve">A total of 100 clinically suspected cases of Tinea corporis/Tinea cruris, onychomycosis and Tinea capitis, were screened and  clinical specimens comprising of skin scrapings (n=83), nail clippings (n=18) and hair samples (n=2) were collected. Identification at species level was confirmed by ITS (Internal Transcribed Spacer) sequencing and antifungal susceptibility testing was performed following CLSI-BMD </w:t>
      </w:r>
      <w:r w:rsidRPr="001C1E10">
        <w:rPr>
          <w:rFonts w:ascii="Arial" w:hAnsi="Arial" w:cs="Arial"/>
          <w:lang w:val="en-US"/>
        </w:rPr>
        <w:t xml:space="preserve">M38. Target gene sequencing of </w:t>
      </w:r>
      <w:r w:rsidRPr="001C1E10">
        <w:rPr>
          <w:rFonts w:ascii="Arial" w:hAnsi="Arial" w:cs="Arial"/>
          <w:i/>
          <w:iCs/>
          <w:lang w:val="en-US"/>
        </w:rPr>
        <w:t>SQLE</w:t>
      </w:r>
      <w:r w:rsidRPr="001C1E10">
        <w:rPr>
          <w:rFonts w:ascii="Arial" w:hAnsi="Arial" w:cs="Arial"/>
          <w:lang w:val="en-US"/>
        </w:rPr>
        <w:t xml:space="preserve"> (Squalene epoxidase) gene was performed for terbinafine-resistant (MIC value ≥ 1mg/L) and 10 susceptible isolates (MIC &lt;1mg/L). Further, whole genome sequencing was performed for 10 isolates by </w:t>
      </w:r>
      <w:r w:rsidRPr="001C1E10">
        <w:rPr>
          <w:rFonts w:ascii="Arial" w:hAnsi="Arial" w:cs="Arial"/>
        </w:rPr>
        <w:t>Illumina HiSeq 4000</w:t>
      </w:r>
      <w:r w:rsidRPr="001C1E10">
        <w:rPr>
          <w:rFonts w:ascii="Arial" w:hAnsi="Arial" w:cs="Arial"/>
          <w:lang w:val="en-US"/>
        </w:rPr>
        <w:t>.</w:t>
      </w:r>
    </w:p>
    <w:p w14:paraId="56F43E08" w14:textId="77777777" w:rsidR="00996CD7" w:rsidRPr="00B36FC7" w:rsidRDefault="00996CD7">
      <w:pPr>
        <w:rPr>
          <w:rFonts w:ascii="Arial" w:hAnsi="Arial" w:cs="Arial"/>
        </w:rPr>
      </w:pPr>
      <w:r w:rsidRPr="00B36FC7">
        <w:rPr>
          <w:rFonts w:ascii="Arial" w:hAnsi="Arial" w:cs="Arial"/>
          <w:b/>
          <w:bCs/>
        </w:rPr>
        <w:t>Results</w:t>
      </w:r>
      <w:r w:rsidRPr="00B36FC7">
        <w:rPr>
          <w:rFonts w:ascii="Arial" w:hAnsi="Arial" w:cs="Arial"/>
        </w:rPr>
        <w:t>:</w:t>
      </w:r>
    </w:p>
    <w:p w14:paraId="4DEDE184" w14:textId="001ACED4" w:rsidR="00996CD7" w:rsidRPr="00E7125E" w:rsidRDefault="00E7125E" w:rsidP="00E7125E">
      <w:pPr>
        <w:jc w:val="both"/>
        <w:rPr>
          <w:rFonts w:ascii="Arial" w:hAnsi="Arial" w:cs="Arial"/>
          <w:color w:val="1F243C"/>
          <w:shd w:val="clear" w:color="auto" w:fill="FFFFFF"/>
        </w:rPr>
      </w:pPr>
      <w:r w:rsidRPr="001C1E10">
        <w:rPr>
          <w:rFonts w:ascii="Arial" w:hAnsi="Arial" w:cs="Arial"/>
        </w:rPr>
        <w:t xml:space="preserve">All clinical samples yielded growth of </w:t>
      </w:r>
      <w:r w:rsidRPr="001C1E10">
        <w:rPr>
          <w:rFonts w:ascii="Arial" w:hAnsi="Arial" w:cs="Arial"/>
          <w:i/>
          <w:iCs/>
        </w:rPr>
        <w:t>Trichophyton</w:t>
      </w:r>
      <w:r w:rsidRPr="001C1E10">
        <w:rPr>
          <w:rFonts w:ascii="Arial" w:hAnsi="Arial" w:cs="Arial"/>
        </w:rPr>
        <w:t xml:space="preserve"> species. The distribution of </w:t>
      </w:r>
      <w:r w:rsidRPr="001C1E10">
        <w:rPr>
          <w:rFonts w:ascii="Arial" w:hAnsi="Arial" w:cs="Arial"/>
          <w:i/>
          <w:iCs/>
        </w:rPr>
        <w:t>Trichophyton</w:t>
      </w:r>
      <w:r w:rsidRPr="001C1E10">
        <w:rPr>
          <w:rFonts w:ascii="Arial" w:hAnsi="Arial" w:cs="Arial"/>
        </w:rPr>
        <w:t xml:space="preserve"> spp, were </w:t>
      </w:r>
      <w:r w:rsidRPr="001C1E10">
        <w:rPr>
          <w:rFonts w:ascii="Arial" w:hAnsi="Arial" w:cs="Arial"/>
          <w:i/>
          <w:iCs/>
        </w:rPr>
        <w:t>T. indotineae</w:t>
      </w:r>
      <w:r w:rsidRPr="001C1E10">
        <w:rPr>
          <w:rFonts w:ascii="Arial" w:hAnsi="Arial" w:cs="Arial"/>
        </w:rPr>
        <w:t xml:space="preserve"> 59% (n=59), </w:t>
      </w:r>
      <w:r w:rsidRPr="001C1E10">
        <w:rPr>
          <w:rFonts w:ascii="Arial" w:hAnsi="Arial" w:cs="Arial"/>
          <w:i/>
          <w:iCs/>
        </w:rPr>
        <w:t>T. rubrum</w:t>
      </w:r>
      <w:r w:rsidRPr="001C1E10">
        <w:rPr>
          <w:rFonts w:ascii="Arial" w:hAnsi="Arial" w:cs="Arial"/>
        </w:rPr>
        <w:t xml:space="preserve"> as 24% (n=24), </w:t>
      </w:r>
      <w:r w:rsidRPr="001C1E10">
        <w:rPr>
          <w:rFonts w:ascii="Arial" w:hAnsi="Arial" w:cs="Arial"/>
          <w:i/>
          <w:iCs/>
        </w:rPr>
        <w:t>T. mentagrophytes</w:t>
      </w:r>
      <w:r w:rsidRPr="001C1E10">
        <w:rPr>
          <w:rFonts w:ascii="Arial" w:hAnsi="Arial" w:cs="Arial"/>
        </w:rPr>
        <w:t xml:space="preserve"> 13% (n=13), and </w:t>
      </w:r>
      <w:r w:rsidRPr="001C1E10">
        <w:rPr>
          <w:rFonts w:ascii="Arial" w:hAnsi="Arial" w:cs="Arial"/>
          <w:i/>
          <w:iCs/>
        </w:rPr>
        <w:t>T. interdigitale</w:t>
      </w:r>
      <w:r w:rsidRPr="001C1E10">
        <w:rPr>
          <w:rFonts w:ascii="Arial" w:hAnsi="Arial" w:cs="Arial"/>
        </w:rPr>
        <w:t xml:space="preserve"> 4% (n=4).  </w:t>
      </w:r>
      <w:r w:rsidRPr="001C1E10">
        <w:rPr>
          <w:rFonts w:ascii="Arial" w:hAnsi="Arial" w:cs="Arial"/>
          <w:i/>
          <w:iCs/>
        </w:rPr>
        <w:t>T. indotineae</w:t>
      </w:r>
      <w:r w:rsidRPr="001C1E10">
        <w:rPr>
          <w:rFonts w:ascii="Arial" w:hAnsi="Arial" w:cs="Arial"/>
        </w:rPr>
        <w:t xml:space="preserve"> was primarily obtained from skin scrapings (67%), while </w:t>
      </w:r>
      <w:r w:rsidRPr="001C1E10">
        <w:rPr>
          <w:rFonts w:ascii="Arial" w:hAnsi="Arial" w:cs="Arial"/>
          <w:i/>
          <w:iCs/>
        </w:rPr>
        <w:t>T. rubrum</w:t>
      </w:r>
      <w:r w:rsidRPr="001C1E10">
        <w:rPr>
          <w:rFonts w:ascii="Arial" w:hAnsi="Arial" w:cs="Arial"/>
        </w:rPr>
        <w:t xml:space="preserve"> predominates in nail clippings (72%). Overall, high terbinafine resistance in 53% isolates (MIC ≥1 mg/L) was recorded. Remarkably, 76% of </w:t>
      </w:r>
      <w:r w:rsidRPr="001C1E10">
        <w:rPr>
          <w:rFonts w:ascii="Arial" w:hAnsi="Arial" w:cs="Arial"/>
          <w:i/>
          <w:iCs/>
        </w:rPr>
        <w:t>T. indotineae</w:t>
      </w:r>
      <w:r w:rsidRPr="001C1E10">
        <w:rPr>
          <w:rFonts w:ascii="Arial" w:hAnsi="Arial" w:cs="Arial"/>
        </w:rPr>
        <w:t xml:space="preserve"> (n=45), and 21% of </w:t>
      </w:r>
      <w:r w:rsidRPr="001C1E10">
        <w:rPr>
          <w:rFonts w:ascii="Arial" w:hAnsi="Arial" w:cs="Arial"/>
          <w:i/>
          <w:iCs/>
        </w:rPr>
        <w:t xml:space="preserve">T. rubrum </w:t>
      </w:r>
      <w:r w:rsidRPr="001C1E10">
        <w:rPr>
          <w:rFonts w:ascii="Arial" w:hAnsi="Arial" w:cs="Arial"/>
        </w:rPr>
        <w:t xml:space="preserve">(n=5) and two isolates of </w:t>
      </w:r>
      <w:r w:rsidRPr="001C1E10">
        <w:rPr>
          <w:rFonts w:ascii="Arial" w:hAnsi="Arial" w:cs="Arial"/>
          <w:bCs/>
          <w:i/>
          <w:iCs/>
        </w:rPr>
        <w:t>T. mentagrophytes</w:t>
      </w:r>
      <w:r w:rsidRPr="001C1E10">
        <w:rPr>
          <w:rFonts w:ascii="Arial" w:hAnsi="Arial" w:cs="Arial"/>
          <w:bCs/>
        </w:rPr>
        <w:t xml:space="preserve"> and a single strain of </w:t>
      </w:r>
      <w:r w:rsidRPr="001C1E10">
        <w:rPr>
          <w:rFonts w:ascii="Arial" w:hAnsi="Arial" w:cs="Arial"/>
          <w:bCs/>
          <w:i/>
          <w:iCs/>
        </w:rPr>
        <w:t>T. interdigitale</w:t>
      </w:r>
      <w:r w:rsidRPr="001C1E10">
        <w:rPr>
          <w:rFonts w:ascii="Arial" w:hAnsi="Arial" w:cs="Arial"/>
          <w:bCs/>
        </w:rPr>
        <w:t xml:space="preserve"> showed high MIC for TRB. </w:t>
      </w:r>
      <w:r w:rsidRPr="001C1E10">
        <w:rPr>
          <w:rFonts w:ascii="Arial" w:hAnsi="Arial" w:cs="Arial"/>
        </w:rPr>
        <w:t xml:space="preserve">For itraconazole, 26% </w:t>
      </w:r>
      <w:r w:rsidRPr="001C1E10">
        <w:rPr>
          <w:rFonts w:ascii="Arial" w:hAnsi="Arial" w:cs="Arial"/>
          <w:i/>
          <w:iCs/>
        </w:rPr>
        <w:t>T. indotineae</w:t>
      </w:r>
      <w:r w:rsidRPr="001C1E10">
        <w:rPr>
          <w:rFonts w:ascii="Arial" w:hAnsi="Arial" w:cs="Arial"/>
        </w:rPr>
        <w:t xml:space="preserve">, and two isolates each of </w:t>
      </w:r>
      <w:r w:rsidRPr="001C1E10">
        <w:rPr>
          <w:rFonts w:ascii="Arial" w:hAnsi="Arial" w:cs="Arial"/>
          <w:i/>
          <w:iCs/>
        </w:rPr>
        <w:t xml:space="preserve">T. rubrum </w:t>
      </w:r>
      <w:r w:rsidRPr="001C1E10">
        <w:rPr>
          <w:rFonts w:ascii="Arial" w:hAnsi="Arial" w:cs="Arial"/>
        </w:rPr>
        <w:t xml:space="preserve">and </w:t>
      </w:r>
      <w:r w:rsidRPr="001C1E10">
        <w:rPr>
          <w:rFonts w:ascii="Arial" w:hAnsi="Arial" w:cs="Arial"/>
          <w:i/>
          <w:iCs/>
        </w:rPr>
        <w:t xml:space="preserve">T. mentagrophytes </w:t>
      </w:r>
      <w:r w:rsidRPr="001C1E10">
        <w:rPr>
          <w:rFonts w:ascii="Arial" w:hAnsi="Arial" w:cs="Arial"/>
        </w:rPr>
        <w:t>exhibited high MIC-values  ≥ 0.125 mg/L. Further high griseofulvin MIC-value of</w:t>
      </w:r>
      <w:r w:rsidRPr="001C1E10">
        <w:rPr>
          <w:rFonts w:ascii="Arial" w:hAnsi="Arial" w:cs="Arial"/>
          <w:b/>
          <w:bCs/>
        </w:rPr>
        <w:t xml:space="preserve"> </w:t>
      </w:r>
      <w:r w:rsidRPr="001C1E10">
        <w:rPr>
          <w:rFonts w:ascii="Arial" w:hAnsi="Arial" w:cs="Arial"/>
        </w:rPr>
        <w:t xml:space="preserve">≥ 16mg/L was observed in 34% </w:t>
      </w:r>
      <w:r w:rsidRPr="001C1E10">
        <w:rPr>
          <w:rFonts w:ascii="Arial" w:hAnsi="Arial" w:cs="Arial"/>
          <w:i/>
          <w:iCs/>
        </w:rPr>
        <w:t>T. indotineae</w:t>
      </w:r>
      <w:r w:rsidRPr="001C1E10">
        <w:rPr>
          <w:rFonts w:ascii="Arial" w:hAnsi="Arial" w:cs="Arial"/>
        </w:rPr>
        <w:t xml:space="preserve">, and 7.6% </w:t>
      </w:r>
      <w:r w:rsidRPr="001C1E10">
        <w:rPr>
          <w:rFonts w:ascii="Arial" w:hAnsi="Arial" w:cs="Arial"/>
          <w:i/>
          <w:iCs/>
        </w:rPr>
        <w:t>T. mentagrophytes</w:t>
      </w:r>
      <w:r w:rsidRPr="001C1E10">
        <w:rPr>
          <w:rFonts w:ascii="Arial" w:hAnsi="Arial" w:cs="Arial"/>
        </w:rPr>
        <w:t xml:space="preserve">. Phe397Leu was the commonest substitution in the SQLEp in </w:t>
      </w:r>
      <w:r w:rsidRPr="001C1E10">
        <w:rPr>
          <w:rFonts w:ascii="Arial" w:hAnsi="Arial" w:cs="Arial"/>
          <w:i/>
          <w:iCs/>
        </w:rPr>
        <w:t>T. indotineae</w:t>
      </w:r>
      <w:r w:rsidRPr="001C1E10">
        <w:rPr>
          <w:rFonts w:ascii="Arial" w:hAnsi="Arial" w:cs="Arial"/>
        </w:rPr>
        <w:t xml:space="preserve"> , </w:t>
      </w:r>
      <w:r w:rsidRPr="001C1E10">
        <w:rPr>
          <w:rFonts w:ascii="Arial" w:hAnsi="Arial" w:cs="Arial"/>
          <w:i/>
          <w:iCs/>
        </w:rPr>
        <w:t>T. rubrum</w:t>
      </w:r>
      <w:r w:rsidRPr="001C1E10">
        <w:rPr>
          <w:rFonts w:ascii="Arial" w:hAnsi="Arial" w:cs="Arial"/>
        </w:rPr>
        <w:t xml:space="preserve"> and </w:t>
      </w:r>
      <w:r w:rsidRPr="001C1E10">
        <w:rPr>
          <w:rFonts w:ascii="Arial" w:hAnsi="Arial" w:cs="Arial"/>
          <w:i/>
          <w:iCs/>
        </w:rPr>
        <w:t>T. mentagrophytes</w:t>
      </w:r>
      <w:r w:rsidRPr="001C1E10">
        <w:rPr>
          <w:rFonts w:ascii="Arial" w:hAnsi="Arial" w:cs="Arial"/>
        </w:rPr>
        <w:t xml:space="preserve"> strains with high terbinafine MIC (≥2mg/L). Also Leu393Phe were detected in </w:t>
      </w:r>
      <w:r w:rsidRPr="001C1E10">
        <w:rPr>
          <w:rFonts w:ascii="Arial" w:hAnsi="Arial" w:cs="Arial"/>
          <w:i/>
          <w:iCs/>
        </w:rPr>
        <w:t>T. indotineae</w:t>
      </w:r>
      <w:r w:rsidRPr="001C1E10">
        <w:rPr>
          <w:rFonts w:ascii="Arial" w:hAnsi="Arial" w:cs="Arial"/>
        </w:rPr>
        <w:t xml:space="preserve"> in one isolate. Ala448Thr coexisted with Phe397Leu.  Leu393Ser, Leu419Phe + Leu393Ser were associated with low terbinafine MIC ≤ 0.5mg/L. WGS analysis showed three non-synonymous mutation D441G, Y444H, G445S in </w:t>
      </w:r>
      <w:r w:rsidRPr="001C1E10">
        <w:rPr>
          <w:rFonts w:ascii="Arial" w:hAnsi="Arial" w:cs="Arial"/>
          <w:i/>
          <w:iCs/>
        </w:rPr>
        <w:t>CYP51B</w:t>
      </w:r>
      <w:r w:rsidRPr="001C1E10">
        <w:rPr>
          <w:rFonts w:ascii="Arial" w:hAnsi="Arial" w:cs="Arial"/>
        </w:rPr>
        <w:t xml:space="preserve"> gene in terbinafine resistant </w:t>
      </w:r>
      <w:r w:rsidRPr="001C1E10">
        <w:rPr>
          <w:rFonts w:ascii="Arial" w:hAnsi="Arial" w:cs="Arial"/>
          <w:i/>
          <w:iCs/>
        </w:rPr>
        <w:t>T. indotineae</w:t>
      </w:r>
      <w:r w:rsidRPr="001C1E10">
        <w:rPr>
          <w:rFonts w:ascii="Arial" w:hAnsi="Arial" w:cs="Arial"/>
        </w:rPr>
        <w:t xml:space="preserve">. </w:t>
      </w:r>
      <w:r w:rsidRPr="001C1E10">
        <w:rPr>
          <w:rFonts w:ascii="Arial" w:hAnsi="Arial" w:cs="Arial"/>
          <w:shd w:val="clear" w:color="auto" w:fill="FFFFFF"/>
        </w:rPr>
        <w:t xml:space="preserve">Further SNP analysis shows genetic similarity among all </w:t>
      </w:r>
      <w:r w:rsidRPr="001C1E10">
        <w:rPr>
          <w:rFonts w:ascii="Arial" w:hAnsi="Arial" w:cs="Arial"/>
          <w:i/>
          <w:iCs/>
          <w:shd w:val="clear" w:color="auto" w:fill="FFFFFF"/>
        </w:rPr>
        <w:t>T. indotineae</w:t>
      </w:r>
      <w:r w:rsidRPr="001C1E10">
        <w:rPr>
          <w:rFonts w:ascii="Arial" w:hAnsi="Arial" w:cs="Arial"/>
          <w:shd w:val="clear" w:color="auto" w:fill="FFFFFF"/>
        </w:rPr>
        <w:t xml:space="preserve"> isolates, with a median SNP difference of 125 (ranging from 28 to 390 SNPs).</w:t>
      </w:r>
    </w:p>
    <w:p w14:paraId="39F156DA" w14:textId="77777777" w:rsidR="00996CD7" w:rsidRPr="00B36FC7" w:rsidRDefault="00996CD7">
      <w:pPr>
        <w:rPr>
          <w:rFonts w:ascii="Arial" w:hAnsi="Arial" w:cs="Arial"/>
        </w:rPr>
      </w:pPr>
      <w:r w:rsidRPr="00B36FC7">
        <w:rPr>
          <w:rFonts w:ascii="Arial" w:hAnsi="Arial" w:cs="Arial"/>
          <w:b/>
          <w:bCs/>
        </w:rPr>
        <w:t>Conclusions</w:t>
      </w:r>
      <w:r w:rsidRPr="00B36FC7">
        <w:rPr>
          <w:rFonts w:ascii="Arial" w:hAnsi="Arial" w:cs="Arial"/>
        </w:rPr>
        <w:t>:</w:t>
      </w:r>
    </w:p>
    <w:p w14:paraId="7A9DB120" w14:textId="257E0658" w:rsidR="00996CD7" w:rsidRDefault="00E7125E">
      <w:r w:rsidRPr="001C1E10">
        <w:rPr>
          <w:rFonts w:ascii="Arial" w:hAnsi="Arial" w:cs="Arial"/>
        </w:rPr>
        <w:t xml:space="preserve">The study demonstrates high terbinafine and itraconazole resistance in </w:t>
      </w:r>
      <w:r w:rsidRPr="001C1E10">
        <w:rPr>
          <w:rFonts w:ascii="Arial" w:hAnsi="Arial" w:cs="Arial"/>
          <w:i/>
          <w:iCs/>
        </w:rPr>
        <w:t>T. indotineae</w:t>
      </w:r>
      <w:r w:rsidRPr="001C1E10">
        <w:rPr>
          <w:rFonts w:ascii="Arial" w:hAnsi="Arial" w:cs="Arial"/>
        </w:rPr>
        <w:t xml:space="preserve"> and paralell increase in terbinafine reistance in </w:t>
      </w:r>
      <w:r w:rsidRPr="001C1E10">
        <w:rPr>
          <w:rFonts w:ascii="Arial" w:hAnsi="Arial" w:cs="Arial"/>
          <w:i/>
          <w:iCs/>
        </w:rPr>
        <w:t>T. rubrum</w:t>
      </w:r>
      <w:r w:rsidRPr="001C1E10">
        <w:rPr>
          <w:rFonts w:ascii="Arial" w:hAnsi="Arial" w:cs="Arial"/>
        </w:rPr>
        <w:t xml:space="preserve">. Itraconazole is an alternative drug for treatment of terbinafine resistant </w:t>
      </w:r>
      <w:r w:rsidRPr="001C1E10">
        <w:rPr>
          <w:rFonts w:ascii="Arial" w:hAnsi="Arial" w:cs="Arial"/>
          <w:i/>
          <w:iCs/>
        </w:rPr>
        <w:t>T indotineae</w:t>
      </w:r>
      <w:r w:rsidRPr="001C1E10">
        <w:rPr>
          <w:rFonts w:ascii="Arial" w:hAnsi="Arial" w:cs="Arial"/>
        </w:rPr>
        <w:t>, therefore the increasing trend of itraconazole resistance is highly concerning as treatment options becomes limited.</w:t>
      </w:r>
    </w:p>
    <w:p w14:paraId="0EA100DB" w14:textId="77777777" w:rsidR="00996CD7" w:rsidRDefault="00996CD7"/>
    <w:p w14:paraId="13D01230" w14:textId="4C82C409" w:rsidR="00996CD7" w:rsidRDefault="00996CD7"/>
    <w:sectPr w:rsidR="00996CD7" w:rsidSect="0084097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D7"/>
    <w:rsid w:val="005B610D"/>
    <w:rsid w:val="006C2EE9"/>
    <w:rsid w:val="007F1E21"/>
    <w:rsid w:val="0084097F"/>
    <w:rsid w:val="00983C1F"/>
    <w:rsid w:val="00996CD7"/>
    <w:rsid w:val="00B36FC7"/>
    <w:rsid w:val="00CA78D8"/>
    <w:rsid w:val="00D26EAE"/>
    <w:rsid w:val="00D82478"/>
    <w:rsid w:val="00E7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5284C"/>
  <w15:chartTrackingRefBased/>
  <w15:docId w15:val="{119751DD-D57F-43FF-8127-F26A5325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5BB6B2551204E90E87C9C4CC28D74" ma:contentTypeVersion="17" ma:contentTypeDescription="Een nieuw document maken." ma:contentTypeScope="" ma:versionID="94655affa9f5700b87be3031a122f1e2">
  <xsd:schema xmlns:xsd="http://www.w3.org/2001/XMLSchema" xmlns:xs="http://www.w3.org/2001/XMLSchema" xmlns:p="http://schemas.microsoft.com/office/2006/metadata/properties" xmlns:ns2="07d8587c-0836-4532-90f7-764b32c417a5" xmlns:ns3="70ec7d87-6c4d-40da-98cd-7b9ec8f457dc" xmlns:ns4="04cdc74e-25b3-4bba-ac0d-2981243ccd36" targetNamespace="http://schemas.microsoft.com/office/2006/metadata/properties" ma:root="true" ma:fieldsID="2d53a2a53c1f85a7d94802fbf0278ba1" ns2:_="" ns3:_="" ns4:_="">
    <xsd:import namespace="07d8587c-0836-4532-90f7-764b32c417a5"/>
    <xsd:import namespace="70ec7d87-6c4d-40da-98cd-7b9ec8f457dc"/>
    <xsd:import namespace="04cdc74e-25b3-4bba-ac0d-2981243ccd3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Archief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8587c-0836-4532-90f7-764b32c417a5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Ondernemingstrefwoorden" ma:fieldId="{23f27201-bee3-471e-b2e7-b64fd8b7ca38}" ma:taxonomyMulti="true" ma:sspId="d324aff7-e125-433d-a6aa-4640c31b86e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f32c97d-f913-4fd3-989e-eb9e1bc4521e}" ma:internalName="TaxCatchAll" ma:showField="CatchAllData" ma:web="07d8587c-0836-4532-90f7-764b32c4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c7d87-6c4d-40da-98cd-7b9ec8f457dc" elementFormDefault="qualified">
    <xsd:import namespace="http://schemas.microsoft.com/office/2006/documentManagement/types"/>
    <xsd:import namespace="http://schemas.microsoft.com/office/infopath/2007/PartnerControls"/>
    <xsd:element name="Archief" ma:index="11" nillable="true" ma:displayName="Archief" ma:default="0" ma:description="Deze kolom geeft aan of een document gearchiveerd is." ma:indexed="true" ma:internalName="Archief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dc74e-25b3-4bba-ac0d-2981243cc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7d8587c-0836-4532-90f7-764b32c417a5">
      <Terms xmlns="http://schemas.microsoft.com/office/infopath/2007/PartnerControls"/>
    </TaxKeywordTaxHTField>
    <TaxCatchAll xmlns="07d8587c-0836-4532-90f7-764b32c417a5" xsi:nil="true"/>
    <Archief xmlns="70ec7d87-6c4d-40da-98cd-7b9ec8f457dc">false</Archie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9916A124-A321-466F-B56B-5101A4D2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8587c-0836-4532-90f7-764b32c417a5"/>
    <ds:schemaRef ds:uri="70ec7d87-6c4d-40da-98cd-7b9ec8f457dc"/>
    <ds:schemaRef ds:uri="04cdc74e-25b3-4bba-ac0d-2981243cc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D3028C-AC82-48B4-B312-BC32F8C1D313}">
  <ds:schemaRefs>
    <ds:schemaRef ds:uri="http://schemas.microsoft.com/office/2006/metadata/properties"/>
    <ds:schemaRef ds:uri="http://schemas.microsoft.com/office/infopath/2007/PartnerControls"/>
    <ds:schemaRef ds:uri="07d8587c-0836-4532-90f7-764b32c417a5"/>
    <ds:schemaRef ds:uri="70ec7d87-6c4d-40da-98cd-7b9ec8f457dc"/>
  </ds:schemaRefs>
</ds:datastoreItem>
</file>

<file path=customXml/itemProps3.xml><?xml version="1.0" encoding="utf-8"?>
<ds:datastoreItem xmlns:ds="http://schemas.openxmlformats.org/officeDocument/2006/customXml" ds:itemID="{84B56781-83AC-4604-B26E-0CA3757FED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E541AE-39F1-44BF-94A2-B02F1A3C8D35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van Borrendam</dc:creator>
  <cp:keywords/>
  <dc:description/>
  <cp:lastModifiedBy>meenakshimalik64693@gmail.com</cp:lastModifiedBy>
  <cp:revision>3</cp:revision>
  <dcterms:created xsi:type="dcterms:W3CDTF">2025-04-26T12:49:00Z</dcterms:created>
  <dcterms:modified xsi:type="dcterms:W3CDTF">2025-04-26T12:50:00Z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0x010100A1E5BB6B2551204E90E87C9C4CC28D74</vt:lpwstr>
  </property>
</Properties>
</file>