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D2F8" w14:textId="77777777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</w:pP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-GB"/>
          <w14:ligatures w14:val="none"/>
        </w:rPr>
        <w:t>Objectives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>:</w:t>
      </w:r>
    </w:p>
    <w:p w14:paraId="03F6585A" w14:textId="77777777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</w:pP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>Chronic pulmonary aspergillosis (CPA) is categorized into five subtypes: aspergilloma, aspergillus nodules, chronic colloidal pulmonary aspergillosis, chronic fibrotic pulmonary aspergillosis, and subacute invasive aspergillosis.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Aspergillus pseudodeflectus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belongs to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Aspergillus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section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Usti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>. This section includes more than 20 species.</w:t>
      </w:r>
    </w:p>
    <w:p w14:paraId="1CA82986" w14:textId="77777777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-GB"/>
          <w14:ligatures w14:val="none"/>
        </w:rPr>
      </w:pP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-GB"/>
          <w14:ligatures w14:val="none"/>
        </w:rPr>
        <w:t>Materials &amp; Methods:</w:t>
      </w:r>
    </w:p>
    <w:p w14:paraId="7A4DAF53" w14:textId="77777777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</w:pP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>A 69-year-old male, former sailor, smoker with chronic obstructive pulmonary disease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  <w:t xml:space="preserve"> stage IV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presented with a fever up to 38.5°C for three months, worsening cough/dyspnea and weight loss. At first hospitalization, necrotizing pneumonia of the right upper lobe was diagnosed and he received antimicrobial treatment. Bronchoscopy revealed purulent secretions, whereas cultures were negative.</w:t>
      </w:r>
      <w:r w:rsidRPr="00E87230">
        <w:rPr>
          <w:rFonts w:ascii="Arial" w:eastAsia="Times New Roman" w:hAnsi="Arial" w:cs="Arial"/>
          <w:kern w:val="0"/>
          <w:sz w:val="20"/>
          <w:szCs w:val="20"/>
          <w:lang w:val="en"/>
          <w14:ligatures w14:val="none"/>
        </w:rPr>
        <w:t xml:space="preserve">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A second hospitalization followed a few days later, where the presence of microalveolar infiltrates in the right lower and left lower lobes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  <w:t xml:space="preserve">constituted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a new finding on chest computed tomography (CT) scan </w:t>
      </w: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"/>
          <w14:ligatures w14:val="none"/>
        </w:rPr>
        <w:t>(image 1)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;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Aspergillus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spp was isolated in the bronchoalveolar lavage (BAL). Voriconazole was initiated, and a right upper lobe lobectomy was decided due to shrinkage, necrotic morphology, and confluent cavities with bronchiectasis.</w:t>
      </w:r>
    </w:p>
    <w:p w14:paraId="114C0575" w14:textId="77777777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</w:pP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-GB"/>
          <w14:ligatures w14:val="none"/>
        </w:rPr>
        <w:t>Results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>:</w:t>
      </w:r>
    </w:p>
    <w:p w14:paraId="2C7A0830" w14:textId="54E63DAD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</w:pP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Histologic examination revealed lesions consistent with chronic necrotizing aspergillosis (necrotizing granulomatous pneumonia, bronchiectasis cavities, and bronchocentric granulomatosis), presence of fungal spores/hyphae within bronchiectasis spaces with morphological characters of the genus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-GB"/>
          <w14:ligatures w14:val="none"/>
        </w:rPr>
        <w:t>Aspergillus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spp.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  <w:t xml:space="preserve">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and foci of necrotic granulomas consisting of foamy histiocytes and multinucleated giant cells surrounding necrosis enclosing fungal hyphae. Nucleic acid test (NAT) for mycobacteria was negative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  <w:t xml:space="preserve">but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positive for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-GB"/>
          <w14:ligatures w14:val="none"/>
        </w:rPr>
        <w:t>Aspergillus pseudodeflectus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(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-GB"/>
          <w14:ligatures w14:val="none"/>
        </w:rPr>
        <w:t>A. ustus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complex).</w:t>
      </w:r>
      <w:r w:rsidRPr="00E87230">
        <w:rPr>
          <w:rFonts w:ascii="Arial" w:eastAsia="Times New Roman" w:hAnsi="Arial" w:cs="Arial"/>
          <w:kern w:val="0"/>
          <w:sz w:val="22"/>
          <w:szCs w:val="22"/>
          <w:lang w:val="en-GB"/>
          <w14:ligatures w14:val="none"/>
        </w:rPr>
        <w:t xml:space="preserve"> The patient received voriconazole for </w:t>
      </w:r>
      <w:r w:rsidRPr="00E8723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two months without adverse events; then it was discontinued due to clinical improvement.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Eighteen months later, he was readmitted to the hospital for a respiratory infection again; a CT scan showed new thickening fibroatelic elements in the right upper lobe, and lung “honeycombing”; BAL was negative for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Aspergillus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spp.,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Nocardia,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and aerobic or anaerobic bacteria. Also, galactomannan from BAL was negative. Nevertheless, voriconazole was restarted due to positivity of IgG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Aspergillus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>. He was discharged with oral voriconazole, azithromycin and bronchodilator treatment. Following an infectious disease consultation, itraconazole at 200mg twice daily was started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[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>therapeutic drug monitoring (TDM) of itraconazole: 3.60mg/L].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Simultaneously, a new thorax CT scan, after three months, revealed that the fibrodense atelectasis elements had been significantly reduced </w:t>
      </w: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"/>
          <w14:ligatures w14:val="none"/>
        </w:rPr>
        <w:t xml:space="preserve">(image </w:t>
      </w:r>
      <w:r w:rsidR="000F4863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"/>
          <w14:ligatures w14:val="none"/>
        </w:rPr>
        <w:t>2</w:t>
      </w: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"/>
          <w14:ligatures w14:val="none"/>
        </w:rPr>
        <w:t>)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. The patient received one year itraconazole in total, with stable respiratory function and without deterioration in health status based on 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14:ligatures w14:val="none"/>
        </w:rPr>
        <w:t>St. George's Respiratory Questionnaire (SGRQ).</w:t>
      </w:r>
    </w:p>
    <w:p w14:paraId="6098D321" w14:textId="77777777" w:rsidR="00E87230" w:rsidRPr="00E87230" w:rsidRDefault="00E87230" w:rsidP="00E87230">
      <w:pPr>
        <w:spacing w:line="259" w:lineRule="auto"/>
        <w:jc w:val="both"/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</w:pPr>
      <w:r w:rsidRPr="00E87230">
        <w:rPr>
          <w:rFonts w:ascii="Arial" w:eastAsia="Calibri" w:hAnsi="Arial" w:cs="Arial"/>
          <w:b/>
          <w:bCs/>
          <w:noProof/>
          <w:kern w:val="0"/>
          <w:sz w:val="22"/>
          <w:szCs w:val="22"/>
          <w:lang w:val="en-GB"/>
          <w14:ligatures w14:val="none"/>
        </w:rPr>
        <w:t>Conclusions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>:</w:t>
      </w:r>
    </w:p>
    <w:p w14:paraId="0F2D93FB" w14:textId="61E893F2" w:rsidR="00E87230" w:rsidRDefault="00E87230" w:rsidP="00E87230"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>CPA is underdiagnosed and should be sought regardless of immunological deficiencies. If not treated promptly with the appropriate choice of antifungal treatment and duration, it relapses or evolves into a more severe form of disease.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-GB"/>
          <w14:ligatures w14:val="none"/>
        </w:rPr>
        <w:t xml:space="preserve"> </w:t>
      </w:r>
      <w:r w:rsidRPr="00E87230">
        <w:rPr>
          <w:rFonts w:ascii="Arial" w:eastAsia="Calibri" w:hAnsi="Arial" w:cs="Arial"/>
          <w:i/>
          <w:iCs/>
          <w:noProof/>
          <w:kern w:val="0"/>
          <w:sz w:val="22"/>
          <w:szCs w:val="22"/>
          <w:lang w:val="en"/>
          <w14:ligatures w14:val="none"/>
        </w:rPr>
        <w:t>A. pseudodeflectus</w:t>
      </w:r>
      <w:r w:rsidRPr="00E87230">
        <w:rPr>
          <w:rFonts w:ascii="Arial" w:eastAsia="Calibri" w:hAnsi="Arial" w:cs="Arial"/>
          <w:noProof/>
          <w:kern w:val="0"/>
          <w:sz w:val="22"/>
          <w:szCs w:val="22"/>
          <w:lang w:val="en"/>
          <w14:ligatures w14:val="none"/>
        </w:rPr>
        <w:t xml:space="preserve"> has never been described in human pathology, as it may have been underestimated before the introduction of molecular diagnostic modalities in clinical practice.</w:t>
      </w:r>
    </w:p>
    <w:sectPr w:rsidR="00E87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30"/>
    <w:rsid w:val="000F4863"/>
    <w:rsid w:val="003C3230"/>
    <w:rsid w:val="006345AF"/>
    <w:rsid w:val="00E87230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D43E"/>
  <w15:chartTrackingRefBased/>
  <w15:docId w15:val="{A3C5BE5F-2AF6-4177-A838-7A47486D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2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2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2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2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Pantazis Voutsinas</dc:creator>
  <cp:keywords/>
  <dc:description/>
  <cp:lastModifiedBy>Pantazis Voutsinas</cp:lastModifiedBy>
  <cp:revision>3</cp:revision>
  <dcterms:created xsi:type="dcterms:W3CDTF">2025-04-23T21:47:00Z</dcterms:created>
  <dcterms:modified xsi:type="dcterms:W3CDTF">2025-04-25T17:51:00Z</dcterms:modified>
</cp:coreProperties>
</file>