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PDC2021</w:t>
      </w:r>
      <w:r w:rsidDel="00000000" w:rsidR="00000000" w:rsidRPr="00000000">
        <w:rPr>
          <w:rtl w:val="0"/>
        </w:rPr>
      </w:r>
    </w:p>
    <w:p w:rsidR="00000000" w:rsidDel="00000000" w:rsidP="00000000" w:rsidRDefault="00000000" w:rsidRPr="00000000" w14:paraId="00000002">
      <w:pPr>
        <w:jc w:val="cente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Vienna, Austria</w:t>
      </w:r>
      <w:r w:rsidDel="00000000" w:rsidR="00000000" w:rsidRPr="00000000">
        <w:rPr>
          <w:rtl w:val="0"/>
        </w:rPr>
      </w:r>
    </w:p>
    <w:p w:rsidR="00000000" w:rsidDel="00000000" w:rsidP="00000000" w:rsidRDefault="00000000" w:rsidRPr="00000000" w14:paraId="00000003">
      <w:pPr>
        <w:rPr>
          <w:rFonts w:ascii="Arial" w:cs="Arial" w:eastAsia="Arial" w:hAnsi="Arial"/>
        </w:rPr>
      </w:pPr>
      <w:r w:rsidDel="00000000" w:rsidR="00000000" w:rsidRPr="00000000">
        <w:rPr>
          <w:rtl w:val="0"/>
        </w:rPr>
      </w:r>
    </w:p>
    <w:p w:rsidR="00000000" w:rsidDel="00000000" w:rsidP="00000000" w:rsidRDefault="00000000" w:rsidRPr="00000000" w14:paraId="00000004">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 Key International and Political Developments</w:t>
      </w:r>
      <w:r w:rsidDel="00000000" w:rsidR="00000000" w:rsidRPr="00000000">
        <w:rPr>
          <w:rtl w:val="0"/>
        </w:rPr>
      </w:r>
    </w:p>
    <w:p w:rsidR="00000000" w:rsidDel="00000000" w:rsidP="00000000" w:rsidRDefault="00000000" w:rsidRPr="00000000" w14:paraId="00000005">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 Advancements and Progress in NEO Discovery</w:t>
      </w:r>
      <w:r w:rsidDel="00000000" w:rsidR="00000000" w:rsidRPr="00000000">
        <w:rPr>
          <w:rtl w:val="0"/>
        </w:rPr>
      </w:r>
    </w:p>
    <w:p w:rsidR="00000000" w:rsidDel="00000000" w:rsidP="00000000" w:rsidRDefault="00000000" w:rsidRPr="00000000" w14:paraId="00000006">
      <w:pPr>
        <w:rPr>
          <w:rFonts w:ascii="Arial" w:cs="Arial" w:eastAsia="Arial" w:hAnsi="Arial"/>
          <w:b w:val="0"/>
          <w:vertAlign w:val="baseline"/>
        </w:rPr>
      </w:pPr>
      <w:r w:rsidDel="00000000" w:rsidR="00000000" w:rsidRPr="00000000">
        <w:rPr>
          <w:rFonts w:ascii="Arial" w:cs="Arial" w:eastAsia="Arial" w:hAnsi="Arial"/>
          <w:b w:val="1"/>
          <w:rtl w:val="0"/>
        </w:rPr>
        <w:t xml:space="preserve">X</w:t>
      </w:r>
      <w:r w:rsidDel="00000000" w:rsidR="00000000" w:rsidRPr="00000000">
        <w:rPr>
          <w:rFonts w:ascii="Arial" w:cs="Arial" w:eastAsia="Arial" w:hAnsi="Arial"/>
          <w:b w:val="1"/>
          <w:vertAlign w:val="baseline"/>
          <w:rtl w:val="0"/>
        </w:rPr>
        <w:t xml:space="preserve"> NEO Characterization Results</w:t>
      </w:r>
      <w:r w:rsidDel="00000000" w:rsidR="00000000" w:rsidRPr="00000000">
        <w:rPr>
          <w:rtl w:val="0"/>
        </w:rPr>
      </w:r>
    </w:p>
    <w:bookmarkStart w:colFirst="0" w:colLast="0" w:name="3znysh7" w:id="0"/>
    <w:bookmarkEnd w:id="0"/>
    <w:p w:rsidR="00000000" w:rsidDel="00000000" w:rsidP="00000000" w:rsidRDefault="00000000" w:rsidRPr="00000000" w14:paraId="00000007">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 Deflection and Disruption Models &amp; Testing</w:t>
      </w:r>
      <w:r w:rsidDel="00000000" w:rsidR="00000000" w:rsidRPr="00000000">
        <w:rPr>
          <w:rtl w:val="0"/>
        </w:rPr>
      </w:r>
    </w:p>
    <w:p w:rsidR="00000000" w:rsidDel="00000000" w:rsidP="00000000" w:rsidRDefault="00000000" w:rsidRPr="00000000" w14:paraId="00000008">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 Mission &amp; Campaign Designs</w:t>
      </w:r>
      <w:r w:rsidDel="00000000" w:rsidR="00000000" w:rsidRPr="00000000">
        <w:rPr>
          <w:rtl w:val="0"/>
        </w:rPr>
      </w:r>
    </w:p>
    <w:p w:rsidR="00000000" w:rsidDel="00000000" w:rsidP="00000000" w:rsidRDefault="00000000" w:rsidRPr="00000000" w14:paraId="00000009">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 Impact Consequences</w:t>
      </w:r>
      <w:r w:rsidDel="00000000" w:rsidR="00000000" w:rsidRPr="00000000">
        <w:rPr>
          <w:rtl w:val="0"/>
        </w:rPr>
      </w:r>
    </w:p>
    <w:p w:rsidR="00000000" w:rsidDel="00000000" w:rsidP="00000000" w:rsidRDefault="00000000" w:rsidRPr="00000000" w14:paraId="0000000A">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 Disaster Response</w:t>
      </w:r>
      <w:r w:rsidDel="00000000" w:rsidR="00000000" w:rsidRPr="00000000">
        <w:rPr>
          <w:rtl w:val="0"/>
        </w:rPr>
      </w:r>
    </w:p>
    <w:bookmarkStart w:colFirst="0" w:colLast="0" w:name="2et92p0" w:id="1"/>
    <w:bookmarkEnd w:id="1"/>
    <w:p w:rsidR="00000000" w:rsidDel="00000000" w:rsidP="00000000" w:rsidRDefault="00000000" w:rsidRPr="00000000" w14:paraId="0000000B">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 Decision to Act</w:t>
      </w:r>
      <w:r w:rsidDel="00000000" w:rsidR="00000000" w:rsidRPr="00000000">
        <w:rPr>
          <w:rtl w:val="0"/>
        </w:rPr>
      </w:r>
    </w:p>
    <w:bookmarkStart w:colFirst="0" w:colLast="0" w:name="tyjcwt" w:id="2"/>
    <w:bookmarkEnd w:id="2"/>
    <w:p w:rsidR="00000000" w:rsidDel="00000000" w:rsidP="00000000" w:rsidRDefault="00000000" w:rsidRPr="00000000" w14:paraId="0000000C">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 Public Education &amp; Communication</w:t>
      </w:r>
      <w:r w:rsidDel="00000000" w:rsidR="00000000" w:rsidRPr="00000000">
        <w:rPr>
          <w:rtl w:val="0"/>
        </w:rPr>
      </w:r>
    </w:p>
    <w:p w:rsidR="00000000" w:rsidDel="00000000" w:rsidP="00000000" w:rsidRDefault="00000000" w:rsidRPr="00000000" w14:paraId="0000000D">
      <w:pPr>
        <w:jc w:val="cente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0E">
      <w:pPr>
        <w:jc w:val="cente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0F">
      <w:pPr>
        <w:jc w:val="center"/>
        <w:rPr>
          <w:rFonts w:ascii="Arial" w:cs="Arial" w:eastAsia="Arial" w:hAnsi="Arial"/>
          <w:b w:val="0"/>
          <w:vertAlign w:val="baseline"/>
        </w:rPr>
      </w:pPr>
      <w:r w:rsidDel="00000000" w:rsidR="00000000" w:rsidRPr="00000000">
        <w:rPr>
          <w:rFonts w:ascii="Arial" w:cs="Arial" w:eastAsia="Arial" w:hAnsi="Arial"/>
          <w:b w:val="1"/>
          <w:rtl w:val="0"/>
        </w:rPr>
        <w:t xml:space="preserve">RAPID RESPONSE RADAR: ARECIBO AND 2019 OK</w:t>
      </w: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rPr>
      </w:pPr>
      <w:r w:rsidDel="00000000" w:rsidR="00000000" w:rsidRPr="00000000">
        <w:rPr>
          <w:rFonts w:ascii="Arial" w:cs="Arial" w:eastAsia="Arial" w:hAnsi="Arial"/>
          <w:b w:val="1"/>
          <w:rtl w:val="0"/>
        </w:rPr>
        <w:t xml:space="preserve">Luisa. F. Zambrano-Marin</w:t>
      </w:r>
      <w:r w:rsidDel="00000000" w:rsidR="00000000" w:rsidRPr="00000000">
        <w:rPr>
          <w:rFonts w:ascii="Arial" w:cs="Arial" w:eastAsia="Arial" w:hAnsi="Arial"/>
          <w:b w:val="1"/>
          <w:rtl w:val="0"/>
        </w:rPr>
        <w:t xml:space="preserve">(1, 2)</w:t>
      </w:r>
      <w:r w:rsidDel="00000000" w:rsidR="00000000" w:rsidRPr="00000000">
        <w:rPr>
          <w:rFonts w:ascii="Arial" w:cs="Arial" w:eastAsia="Arial" w:hAnsi="Arial"/>
          <w:b w:val="1"/>
          <w:rtl w:val="0"/>
        </w:rPr>
        <w:t xml:space="preserve">, Ellen. S. Howell</w:t>
      </w:r>
      <w:r w:rsidDel="00000000" w:rsidR="00000000" w:rsidRPr="00000000">
        <w:rPr>
          <w:rFonts w:ascii="Arial" w:cs="Arial" w:eastAsia="Arial" w:hAnsi="Arial"/>
          <w:b w:val="1"/>
          <w:rtl w:val="0"/>
        </w:rPr>
        <w:t xml:space="preserve">(3)</w:t>
      </w:r>
      <w:r w:rsidDel="00000000" w:rsidR="00000000" w:rsidRPr="00000000">
        <w:rPr>
          <w:rFonts w:ascii="Arial" w:cs="Arial" w:eastAsia="Arial" w:hAnsi="Arial"/>
          <w:b w:val="1"/>
          <w:rtl w:val="0"/>
        </w:rPr>
        <w:t xml:space="preserve">, Maxime Devogèle</w:t>
      </w:r>
      <w:r w:rsidDel="00000000" w:rsidR="00000000" w:rsidRPr="00000000">
        <w:rPr>
          <w:rFonts w:ascii="Arial" w:cs="Arial" w:eastAsia="Arial" w:hAnsi="Arial"/>
          <w:b w:val="1"/>
          <w:rtl w:val="0"/>
        </w:rPr>
        <w:t xml:space="preserve">(1)</w:t>
      </w:r>
      <w:r w:rsidDel="00000000" w:rsidR="00000000" w:rsidRPr="00000000">
        <w:rPr>
          <w:rFonts w:ascii="Arial" w:cs="Arial" w:eastAsia="Arial" w:hAnsi="Arial"/>
          <w:b w:val="1"/>
          <w:rtl w:val="0"/>
        </w:rPr>
        <w:t xml:space="preserve">, Sean E. Marshall</w:t>
      </w:r>
      <w:r w:rsidDel="00000000" w:rsidR="00000000" w:rsidRPr="00000000">
        <w:rPr>
          <w:rFonts w:ascii="Arial" w:cs="Arial" w:eastAsia="Arial" w:hAnsi="Arial"/>
          <w:b w:val="1"/>
          <w:rtl w:val="0"/>
        </w:rPr>
        <w:t xml:space="preserve">(1)</w:t>
      </w:r>
      <w:r w:rsidDel="00000000" w:rsidR="00000000" w:rsidRPr="00000000">
        <w:rPr>
          <w:rFonts w:ascii="Arial" w:cs="Arial" w:eastAsia="Arial" w:hAnsi="Arial"/>
          <w:b w:val="1"/>
          <w:rtl w:val="0"/>
        </w:rPr>
        <w:t xml:space="preserve">, Dylan Hickson</w:t>
      </w:r>
      <w:r w:rsidDel="00000000" w:rsidR="00000000" w:rsidRPr="00000000">
        <w:rPr>
          <w:rFonts w:ascii="Arial" w:cs="Arial" w:eastAsia="Arial" w:hAnsi="Arial"/>
          <w:b w:val="1"/>
          <w:rtl w:val="0"/>
        </w:rPr>
        <w:t xml:space="preserve">(1)</w:t>
      </w:r>
      <w:r w:rsidDel="00000000" w:rsidR="00000000" w:rsidRPr="00000000">
        <w:rPr>
          <w:rFonts w:ascii="Arial" w:cs="Arial" w:eastAsia="Arial" w:hAnsi="Arial"/>
          <w:b w:val="1"/>
          <w:rtl w:val="0"/>
        </w:rPr>
        <w:t xml:space="preserve">, Anne K. Virkki</w:t>
      </w:r>
      <w:r w:rsidDel="00000000" w:rsidR="00000000" w:rsidRPr="00000000">
        <w:rPr>
          <w:rFonts w:ascii="Arial" w:cs="Arial" w:eastAsia="Arial" w:hAnsi="Arial"/>
          <w:b w:val="1"/>
          <w:rtl w:val="0"/>
        </w:rPr>
        <w:t xml:space="preserve">(1)</w:t>
      </w:r>
      <w:r w:rsidDel="00000000" w:rsidR="00000000" w:rsidRPr="00000000">
        <w:rPr>
          <w:rFonts w:ascii="Arial" w:cs="Arial" w:eastAsia="Arial" w:hAnsi="Arial"/>
          <w:b w:val="1"/>
          <w:rtl w:val="0"/>
        </w:rPr>
        <w:t xml:space="preserve">, Flaviane C. F. Venditti</w:t>
      </w:r>
      <w:r w:rsidDel="00000000" w:rsidR="00000000" w:rsidRPr="00000000">
        <w:rPr>
          <w:rFonts w:ascii="Arial" w:cs="Arial" w:eastAsia="Arial" w:hAnsi="Arial"/>
          <w:b w:val="1"/>
          <w:rtl w:val="0"/>
        </w:rPr>
        <w:t xml:space="preserve">(1)</w:t>
      </w:r>
      <w:r w:rsidDel="00000000" w:rsidR="00000000" w:rsidRPr="00000000">
        <w:rPr>
          <w:rFonts w:ascii="Arial" w:cs="Arial" w:eastAsia="Arial" w:hAnsi="Arial"/>
          <w:b w:val="1"/>
          <w:rtl w:val="0"/>
        </w:rPr>
        <w:t xml:space="preserve">, Edgard G. Rivera-Valentín</w:t>
      </w:r>
      <w:r w:rsidDel="00000000" w:rsidR="00000000" w:rsidRPr="00000000">
        <w:rPr>
          <w:rFonts w:ascii="Arial" w:cs="Arial" w:eastAsia="Arial" w:hAnsi="Arial"/>
          <w:b w:val="1"/>
          <w:rtl w:val="0"/>
        </w:rPr>
        <w:t xml:space="preserve">(4)</w:t>
      </w:r>
      <w:r w:rsidDel="00000000" w:rsidR="00000000" w:rsidRPr="00000000">
        <w:rPr>
          <w:rFonts w:ascii="Arial" w:cs="Arial" w:eastAsia="Arial" w:hAnsi="Arial"/>
          <w:b w:val="1"/>
          <w:rtl w:val="0"/>
        </w:rPr>
        <w:t xml:space="preserve">, Patrick A. Taylor</w:t>
      </w:r>
      <w:r w:rsidDel="00000000" w:rsidR="00000000" w:rsidRPr="00000000">
        <w:rPr>
          <w:rFonts w:ascii="Arial" w:cs="Arial" w:eastAsia="Arial" w:hAnsi="Arial"/>
          <w:b w:val="1"/>
          <w:rtl w:val="0"/>
        </w:rPr>
        <w:t xml:space="preserve">(4)</w:t>
      </w:r>
      <w:r w:rsidDel="00000000" w:rsidR="00000000" w:rsidRPr="00000000">
        <w:rPr>
          <w:rFonts w:ascii="Arial" w:cs="Arial" w:eastAsia="Arial" w:hAnsi="Arial"/>
          <w:b w:val="1"/>
          <w:rtl w:val="0"/>
        </w:rPr>
        <w:t xml:space="preserve">, Victor Negron</w:t>
      </w:r>
      <w:r w:rsidDel="00000000" w:rsidR="00000000" w:rsidRPr="00000000">
        <w:rPr>
          <w:rFonts w:ascii="Arial" w:cs="Arial" w:eastAsia="Arial" w:hAnsi="Arial"/>
          <w:b w:val="1"/>
          <w:rtl w:val="0"/>
        </w:rPr>
        <w:t xml:space="preserve">(1)</w:t>
      </w:r>
      <w:r w:rsidDel="00000000" w:rsidR="00000000" w:rsidRPr="00000000">
        <w:rPr>
          <w:rFonts w:ascii="Arial" w:cs="Arial" w:eastAsia="Arial" w:hAnsi="Arial"/>
          <w:b w:val="1"/>
          <w:rtl w:val="0"/>
        </w:rPr>
        <w:t xml:space="preserve">, Israel Cabrera</w:t>
      </w:r>
      <w:r w:rsidDel="00000000" w:rsidR="00000000" w:rsidRPr="00000000">
        <w:rPr>
          <w:rFonts w:ascii="Arial" w:cs="Arial" w:eastAsia="Arial" w:hAnsi="Arial"/>
          <w:b w:val="1"/>
          <w:rtl w:val="0"/>
        </w:rPr>
        <w:t xml:space="preserve">(1)</w:t>
      </w:r>
      <w:r w:rsidDel="00000000" w:rsidR="00000000" w:rsidRPr="00000000">
        <w:rPr>
          <w:rFonts w:ascii="Arial" w:cs="Arial" w:eastAsia="Arial" w:hAnsi="Arial"/>
          <w:b w:val="1"/>
          <w:rtl w:val="0"/>
        </w:rPr>
        <w:t xml:space="preserve">, Juan Marrero</w:t>
      </w:r>
      <w:r w:rsidDel="00000000" w:rsidR="00000000" w:rsidRPr="00000000">
        <w:rPr>
          <w:rFonts w:ascii="Arial" w:cs="Arial" w:eastAsia="Arial" w:hAnsi="Arial"/>
          <w:b w:val="1"/>
          <w:rtl w:val="0"/>
        </w:rPr>
        <w:t xml:space="preserve">(1)</w:t>
      </w:r>
      <w:r w:rsidDel="00000000" w:rsidR="00000000" w:rsidRPr="00000000">
        <w:rPr>
          <w:rFonts w:ascii="Arial" w:cs="Arial" w:eastAsia="Arial" w:hAnsi="Arial"/>
          <w:b w:val="1"/>
          <w:rtl w:val="0"/>
        </w:rPr>
        <w:t xml:space="preserve">; </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1"/>
        </w:rPr>
      </w:pPr>
      <w:r w:rsidDel="00000000" w:rsidR="00000000" w:rsidRPr="00000000">
        <w:rPr>
          <w:rFonts w:ascii="Arial" w:cs="Arial" w:eastAsia="Arial" w:hAnsi="Arial"/>
          <w:i w:val="1"/>
          <w:rtl w:val="0"/>
        </w:rPr>
        <w:t xml:space="preserve">(1)</w:t>
      </w:r>
      <w:r w:rsidDel="00000000" w:rsidR="00000000" w:rsidRPr="00000000">
        <w:rPr>
          <w:rFonts w:ascii="Arial" w:cs="Arial" w:eastAsia="Arial" w:hAnsi="Arial"/>
          <w:i w:val="1"/>
          <w:rtl w:val="0"/>
        </w:rPr>
        <w:t xml:space="preserve">Arecibo Observatory, University of Central Florida, HC3 Box 53995, Arecibo, PR 00612, USA, +1 787 878 2612, (</w:t>
      </w:r>
      <w:hyperlink r:id="rId6">
        <w:r w:rsidDel="00000000" w:rsidR="00000000" w:rsidRPr="00000000">
          <w:rPr>
            <w:rFonts w:ascii="Arial" w:cs="Arial" w:eastAsia="Arial" w:hAnsi="Arial"/>
            <w:i w:val="1"/>
            <w:rtl w:val="0"/>
          </w:rPr>
          <w:t xml:space="preserve">luisafz@aosa.naic.edu</w:t>
        </w:r>
      </w:hyperlink>
      <w:r w:rsidDel="00000000" w:rsidR="00000000" w:rsidRPr="00000000">
        <w:rPr>
          <w:rFonts w:ascii="Arial" w:cs="Arial" w:eastAsia="Arial" w:hAnsi="Arial"/>
          <w:i w:val="1"/>
          <w:rtl w:val="0"/>
        </w:rPr>
        <w:t xml:space="preserve">)</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1"/>
        </w:rPr>
      </w:pPr>
      <w:r w:rsidDel="00000000" w:rsidR="00000000" w:rsidRPr="00000000">
        <w:rPr>
          <w:rFonts w:ascii="Arial" w:cs="Arial" w:eastAsia="Arial" w:hAnsi="Arial"/>
          <w:i w:val="1"/>
          <w:rtl w:val="0"/>
        </w:rPr>
        <w:t xml:space="preserve">(2)</w:t>
      </w:r>
      <w:r w:rsidDel="00000000" w:rsidR="00000000" w:rsidRPr="00000000">
        <w:rPr>
          <w:rFonts w:ascii="Arial" w:cs="Arial" w:eastAsia="Arial" w:hAnsi="Arial"/>
          <w:i w:val="1"/>
          <w:rtl w:val="0"/>
        </w:rPr>
        <w:t xml:space="preserve">Universidad de Granada, Escuela Internacional de Posgrado, Facultad de Ciencias, Tecnologías e Ingenierías, c/ Paz 18, 18071 Granada, Spain </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1"/>
        </w:rPr>
      </w:pPr>
      <w:r w:rsidDel="00000000" w:rsidR="00000000" w:rsidRPr="00000000">
        <w:rPr>
          <w:rFonts w:ascii="Arial" w:cs="Arial" w:eastAsia="Arial" w:hAnsi="Arial"/>
          <w:i w:val="1"/>
          <w:rtl w:val="0"/>
        </w:rPr>
        <w:t xml:space="preserve">(3)Lunar and Planetary Laboratory, University of Arizona, Arizona, USA</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Fonts w:ascii="Arial" w:cs="Arial" w:eastAsia="Arial" w:hAnsi="Arial"/>
          <w:i w:val="1"/>
          <w:rtl w:val="0"/>
        </w:rPr>
        <w:t xml:space="preserve">(4)</w:t>
      </w:r>
      <w:r w:rsidDel="00000000" w:rsidR="00000000" w:rsidRPr="00000000">
        <w:rPr>
          <w:rFonts w:ascii="Arial" w:cs="Arial" w:eastAsia="Arial" w:hAnsi="Arial"/>
          <w:i w:val="1"/>
          <w:rtl w:val="0"/>
        </w:rPr>
        <w:t xml:space="preserve">Lunar and Planetary Institute, USRA, 3600 Bay Area Blvd., Houston, TX 77058, USA</w:t>
      </w:r>
      <w:r w:rsidDel="00000000" w:rsidR="00000000" w:rsidRPr="00000000">
        <w:rPr>
          <w:rFonts w:ascii="Arial" w:cs="Arial" w:eastAsia="Arial" w:hAnsi="Arial"/>
          <w:rtl w:val="0"/>
        </w:rPr>
        <w:t xml:space="preserve">. </w:t>
      </w:r>
    </w:p>
    <w:p w:rsidR="00000000" w:rsidDel="00000000" w:rsidP="00000000" w:rsidRDefault="00000000" w:rsidRPr="00000000" w14:paraId="00000015">
      <w:pPr>
        <w:jc w:val="cente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6">
      <w:pPr>
        <w:jc w:val="cente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7">
      <w:pPr>
        <w:jc w:val="both"/>
        <w:rPr>
          <w:rFonts w:ascii="Arial" w:cs="Arial" w:eastAsia="Arial" w:hAnsi="Arial"/>
          <w:i w:val="0"/>
          <w:vertAlign w:val="baseline"/>
        </w:rPr>
      </w:pPr>
      <w:r w:rsidDel="00000000" w:rsidR="00000000" w:rsidRPr="00000000">
        <w:rPr>
          <w:rFonts w:ascii="Arial" w:cs="Arial" w:eastAsia="Arial" w:hAnsi="Arial"/>
          <w:b w:val="1"/>
          <w:i w:val="1"/>
          <w:vertAlign w:val="baseline"/>
          <w:rtl w:val="0"/>
        </w:rPr>
        <w:t xml:space="preserve">Keywords: </w:t>
      </w:r>
      <w:r w:rsidDel="00000000" w:rsidR="00000000" w:rsidRPr="00000000">
        <w:rPr>
          <w:rFonts w:ascii="Arial" w:cs="Arial" w:eastAsia="Arial" w:hAnsi="Arial"/>
          <w:i w:val="1"/>
          <w:rtl w:val="0"/>
        </w:rPr>
        <w:t xml:space="preserve">Radar,</w:t>
      </w:r>
      <w:r w:rsidDel="00000000" w:rsidR="00000000" w:rsidRPr="00000000">
        <w:rPr>
          <w:rFonts w:ascii="Arial" w:cs="Arial" w:eastAsia="Arial" w:hAnsi="Arial"/>
          <w:i w:val="1"/>
          <w:vertAlign w:val="baseline"/>
          <w:rtl w:val="0"/>
        </w:rPr>
        <w:t xml:space="preserve"> </w:t>
      </w:r>
      <w:r w:rsidDel="00000000" w:rsidR="00000000" w:rsidRPr="00000000">
        <w:rPr>
          <w:rFonts w:ascii="Arial" w:cs="Arial" w:eastAsia="Arial" w:hAnsi="Arial"/>
          <w:i w:val="1"/>
          <w:rtl w:val="0"/>
        </w:rPr>
        <w:t xml:space="preserve">NEOs, Physical Characterization, Astrometry</w:t>
      </w:r>
      <w:r w:rsidDel="00000000" w:rsidR="00000000" w:rsidRPr="00000000">
        <w:rPr>
          <w:rtl w:val="0"/>
        </w:rPr>
      </w:r>
    </w:p>
    <w:p w:rsidR="00000000" w:rsidDel="00000000" w:rsidP="00000000" w:rsidRDefault="00000000" w:rsidRPr="00000000" w14:paraId="00000018">
      <w:pPr>
        <w:jc w:val="cente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9">
      <w:pPr>
        <w:pStyle w:val="Heading5"/>
        <w:jc w:val="center"/>
        <w:rPr>
          <w:rFonts w:ascii="Arial" w:cs="Arial" w:eastAsia="Arial" w:hAnsi="Arial"/>
          <w:vertAlign w:val="baseline"/>
        </w:rPr>
      </w:pPr>
      <w:r w:rsidDel="00000000" w:rsidR="00000000" w:rsidRPr="00000000">
        <w:rPr>
          <w:rFonts w:ascii="Arial" w:cs="Arial" w:eastAsia="Arial" w:hAnsi="Arial"/>
          <w:b w:val="1"/>
          <w:vertAlign w:val="baseline"/>
          <w:rtl w:val="0"/>
        </w:rPr>
        <w:t xml:space="preserve">ABSTRACT</w:t>
      </w:r>
      <w:r w:rsidDel="00000000" w:rsidR="00000000" w:rsidRPr="00000000">
        <w:rPr>
          <w:rtl w:val="0"/>
        </w:rPr>
      </w:r>
    </w:p>
    <w:p w:rsidR="00000000" w:rsidDel="00000000" w:rsidP="00000000" w:rsidRDefault="00000000" w:rsidRPr="00000000" w14:paraId="0000001A">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Fonts w:ascii="Arial" w:cs="Arial" w:eastAsia="Arial" w:hAnsi="Arial"/>
          <w:rtl w:val="0"/>
        </w:rPr>
        <w:t xml:space="preserve">Rapid response planetary radar systems are a fundamental asset for post-discovery physical and orbital characterization of near-Earth objects.  In the case of near-Earth asteroid 2019 OK, there were only 41 hours from optical discovery to radar characterization </w:t>
      </w:r>
      <w:r w:rsidDel="00000000" w:rsidR="00000000" w:rsidRPr="00000000">
        <w:rPr>
          <w:rFonts w:ascii="Arial" w:cs="Arial" w:eastAsia="Arial" w:hAnsi="Arial"/>
          <w:rtl w:val="0"/>
        </w:rPr>
        <w:t xml:space="preserve">by the planetary radar project at</w:t>
      </w:r>
      <w:r w:rsidDel="00000000" w:rsidR="00000000" w:rsidRPr="00000000">
        <w:rPr>
          <w:rFonts w:ascii="Arial" w:cs="Arial" w:eastAsia="Arial" w:hAnsi="Arial"/>
          <w:rtl w:val="0"/>
        </w:rPr>
        <w:t xml:space="preserve"> Arecibo Observatory. Radar observations were done within hours of asteroid discovery, given a sufficiently accurate ephemeris and telescope access. Arecibo’s capability </w:t>
      </w:r>
      <w:r w:rsidDel="00000000" w:rsidR="00000000" w:rsidRPr="00000000">
        <w:rPr>
          <w:rFonts w:ascii="Arial" w:cs="Arial" w:eastAsia="Arial" w:hAnsi="Arial"/>
          <w:rtl w:val="0"/>
        </w:rPr>
        <w:t xml:space="preserve">to respond on a rapid timescale to observe new near-Earth objects</w:t>
      </w:r>
      <w:r w:rsidDel="00000000" w:rsidR="00000000" w:rsidRPr="00000000">
        <w:rPr>
          <w:rFonts w:ascii="Arial" w:cs="Arial" w:eastAsia="Arial" w:hAnsi="Arial"/>
          <w:rtl w:val="0"/>
        </w:rPr>
        <w:t xml:space="preserve"> has been lost,</w:t>
      </w:r>
      <w:r w:rsidDel="00000000" w:rsidR="00000000" w:rsidRPr="00000000">
        <w:rPr>
          <w:rFonts w:ascii="Arial" w:cs="Arial" w:eastAsia="Arial" w:hAnsi="Arial"/>
          <w:rtl w:val="0"/>
        </w:rPr>
        <w:t xml:space="preserve"> since the Arecibo planetary radar system is no longer functional.</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Fonts w:ascii="Arial" w:cs="Arial" w:eastAsia="Arial" w:hAnsi="Arial"/>
          <w:rtl w:val="0"/>
        </w:rPr>
        <w:t xml:space="preserve">We observed 2019 OK on 2019 July 25 with the </w:t>
      </w:r>
      <w:r w:rsidDel="00000000" w:rsidR="00000000" w:rsidRPr="00000000">
        <w:rPr>
          <w:rFonts w:ascii="Arial" w:cs="Arial" w:eastAsia="Arial" w:hAnsi="Arial"/>
          <w:rtl w:val="0"/>
        </w:rPr>
        <w:t xml:space="preserve">S-band p</w:t>
      </w:r>
      <w:r w:rsidDel="00000000" w:rsidR="00000000" w:rsidRPr="00000000">
        <w:rPr>
          <w:rFonts w:ascii="Arial" w:cs="Arial" w:eastAsia="Arial" w:hAnsi="Arial"/>
          <w:rtl w:val="0"/>
        </w:rPr>
        <w:t xml:space="preserve">lanetary radar system (2380 MHz, 12.6 cm) when it was 3.5 lunar distances (0.0091 au) from Earth. This close proximity allowed only a few seconds of data to be acquired per transmit-receive cycle (scan).  The data reported here was acquired using standard radar techniques, starting with a continuous wave (CW) experiment, where we transmitted a monochromatic, unmodulated circularly polarized wave and received the echoes in both the opposite-sense circular (OC) and same-sense circular (SC) polarizations as transmitted, followed by delay-Doppler mapping.</w:t>
      </w:r>
      <w:r w:rsidDel="00000000" w:rsidR="00000000" w:rsidRPr="00000000">
        <w:rPr>
          <w:rFonts w:ascii="Arial" w:cs="Arial" w:eastAsia="Arial" w:hAnsi="Arial"/>
          <w:rtl w:val="0"/>
        </w:rPr>
        <w:t xml:space="preserve"> From CW data we can </w:t>
      </w:r>
      <w:r w:rsidDel="00000000" w:rsidR="00000000" w:rsidRPr="00000000">
        <w:rPr>
          <w:rFonts w:ascii="Arial" w:cs="Arial" w:eastAsia="Arial" w:hAnsi="Arial"/>
          <w:rtl w:val="0"/>
        </w:rPr>
        <w:t xml:space="preserve">measure various radar properties, such as the circular polarization ratio (μ</w:t>
      </w:r>
      <w:r w:rsidDel="00000000" w:rsidR="00000000" w:rsidRPr="00000000">
        <w:rPr>
          <w:rFonts w:ascii="Arial" w:cs="Arial" w:eastAsia="Arial" w:hAnsi="Arial"/>
          <w:vertAlign w:val="subscript"/>
          <w:rtl w:val="0"/>
        </w:rPr>
        <w:t xml:space="preserve">C</w:t>
      </w:r>
      <w:r w:rsidDel="00000000" w:rsidR="00000000" w:rsidRPr="00000000">
        <w:rPr>
          <w:rFonts w:ascii="Arial" w:cs="Arial" w:eastAsia="Arial" w:hAnsi="Arial"/>
          <w:rtl w:val="0"/>
        </w:rPr>
        <w:t xml:space="preserve">) and the bandwidth, which are related to physical properties. We measured a circular polarization ratio of 0.33 </w:t>
      </w:r>
      <w:r w:rsidDel="00000000" w:rsidR="00000000" w:rsidRPr="00000000">
        <w:rPr>
          <w:rFonts w:ascii="Arial" w:cs="Arial" w:eastAsia="Arial" w:hAnsi="Arial"/>
          <w:u w:val="single"/>
          <w:rtl w:val="0"/>
        </w:rPr>
        <w:t xml:space="preserve">+</w:t>
      </w:r>
      <w:r w:rsidDel="00000000" w:rsidR="00000000" w:rsidRPr="00000000">
        <w:rPr>
          <w:rFonts w:ascii="Arial" w:cs="Arial" w:eastAsia="Arial" w:hAnsi="Arial"/>
          <w:rtl w:val="0"/>
        </w:rPr>
        <w:t xml:space="preserve"> 0.03 for 2019 OK, indicating it is unlikely to be a V- or E-type asteroid, but may be a </w:t>
      </w:r>
      <w:r w:rsidDel="00000000" w:rsidR="00000000" w:rsidRPr="00000000">
        <w:rPr>
          <w:rFonts w:ascii="Arial" w:cs="Arial" w:eastAsia="Arial" w:hAnsi="Arial"/>
          <w:rtl w:val="0"/>
        </w:rPr>
        <w:t xml:space="preserve">C-class or S-class asteroid.</w:t>
      </w: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F">
      <w:pPr>
        <w:jc w:val="both"/>
        <w:rPr>
          <w:rFonts w:ascii="Arial" w:cs="Arial" w:eastAsia="Arial" w:hAnsi="Arial"/>
        </w:rPr>
      </w:pPr>
      <w:r w:rsidDel="00000000" w:rsidR="00000000" w:rsidRPr="00000000">
        <w:rPr>
          <w:rFonts w:ascii="Arial" w:cs="Arial" w:eastAsia="Arial" w:hAnsi="Arial"/>
          <w:rtl w:val="0"/>
        </w:rPr>
        <w:t xml:space="preserve">The absolute magnitude H, reported by the Minor Planet Center (MPC) of 23.3 ± 0.3 mag, implies an optical albedo of 0.02 to 0.1, for a body 100 - 250 m in diameter. The bandwidth of 39.2 </w:t>
      </w:r>
      <w:r w:rsidDel="00000000" w:rsidR="00000000" w:rsidRPr="00000000">
        <w:rPr>
          <w:rFonts w:ascii="Arial" w:cs="Arial" w:eastAsia="Arial" w:hAnsi="Arial"/>
          <w:u w:val="single"/>
          <w:rtl w:val="0"/>
        </w:rPr>
        <w:t xml:space="preserve">+</w:t>
      </w:r>
      <w:r w:rsidDel="00000000" w:rsidR="00000000" w:rsidRPr="00000000">
        <w:rPr>
          <w:rFonts w:ascii="Arial" w:cs="Arial" w:eastAsia="Arial" w:hAnsi="Arial"/>
          <w:rtl w:val="0"/>
        </w:rPr>
        <w:t xml:space="preserve"> 0.8 Hz yields an apparent rotation period of  at least 4.2 minutes and no more than 10 minutes, for the same diameters.</w:t>
      </w:r>
    </w:p>
    <w:p w:rsidR="00000000" w:rsidDel="00000000" w:rsidP="00000000" w:rsidRDefault="00000000" w:rsidRPr="00000000" w14:paraId="00000020">
      <w:pPr>
        <w:jc w:val="both"/>
        <w:rPr>
          <w:rFonts w:ascii="Arial" w:cs="Arial" w:eastAsia="Arial" w:hAnsi="Arial"/>
        </w:rPr>
      </w:pPr>
      <w:r w:rsidDel="00000000" w:rsidR="00000000" w:rsidRPr="00000000">
        <w:rPr>
          <w:rtl w:val="0"/>
        </w:rPr>
      </w:r>
    </w:p>
    <w:p w:rsidR="00000000" w:rsidDel="00000000" w:rsidP="00000000" w:rsidRDefault="00000000" w:rsidRPr="00000000" w14:paraId="00000021">
      <w:pPr>
        <w:jc w:val="both"/>
        <w:rPr>
          <w:rFonts w:ascii="Arial" w:cs="Arial" w:eastAsia="Arial" w:hAnsi="Arial"/>
        </w:rPr>
      </w:pPr>
      <w:r w:rsidDel="00000000" w:rsidR="00000000" w:rsidRPr="00000000">
        <w:rPr>
          <w:rFonts w:ascii="Arial" w:cs="Arial" w:eastAsia="Arial" w:hAnsi="Arial"/>
          <w:rtl w:val="0"/>
        </w:rPr>
        <w:t xml:space="preserve">We calculated the Drucker-Prager cohesion criterion for two cases, a sphere and an ellipsoid (</w:t>
      </w:r>
      <w:r w:rsidDel="00000000" w:rsidR="00000000" w:rsidRPr="00000000">
        <w:rPr>
          <w:rFonts w:ascii="Arial" w:cs="Arial" w:eastAsia="Arial" w:hAnsi="Arial"/>
          <w:rtl w:val="0"/>
        </w:rPr>
        <w:t xml:space="preserve">with axis ratios of 1.4:1:</w:t>
      </w:r>
      <w:r w:rsidDel="00000000" w:rsidR="00000000" w:rsidRPr="00000000">
        <w:rPr>
          <w:rFonts w:ascii="Arial" w:cs="Arial" w:eastAsia="Arial" w:hAnsi="Arial"/>
          <w:rtl w:val="0"/>
        </w:rPr>
        <w:t xml:space="preserve">0.97), with three different densities (1, 2, and 3 g/cm</w:t>
      </w:r>
      <w:r w:rsidDel="00000000" w:rsidR="00000000" w:rsidRPr="00000000">
        <w:rPr>
          <w:rFonts w:ascii="Arial" w:cs="Arial" w:eastAsia="Arial" w:hAnsi="Arial"/>
          <w:vertAlign w:val="superscript"/>
          <w:rtl w:val="0"/>
        </w:rPr>
        <w:t xml:space="preserve">3</w:t>
      </w:r>
      <w:r w:rsidDel="00000000" w:rsidR="00000000" w:rsidRPr="00000000">
        <w:rPr>
          <w:rFonts w:ascii="Arial" w:cs="Arial" w:eastAsia="Arial" w:hAnsi="Arial"/>
          <w:rtl w:val="0"/>
        </w:rPr>
        <w:t xml:space="preserve">) for the minimum and maximum rotation period at the lower and upper diameter limits.  We find that an internal strength of at least 1300 Pa is needed for 2019 OK to avoid catastrophic disruption. The necessary cohesion for 2019 OK is much larger than that calculated for some</w:t>
      </w:r>
      <w:r w:rsidDel="00000000" w:rsidR="00000000" w:rsidRPr="00000000">
        <w:rPr>
          <w:rFonts w:ascii="Arial" w:cs="Arial" w:eastAsia="Arial" w:hAnsi="Arial"/>
          <w:rtl w:val="0"/>
        </w:rPr>
        <w:t xml:space="preserve"> near-Earth objects</w:t>
      </w:r>
      <w:r w:rsidDel="00000000" w:rsidR="00000000" w:rsidRPr="00000000">
        <w:rPr>
          <w:rFonts w:ascii="Arial" w:cs="Arial" w:eastAsia="Arial" w:hAnsi="Arial"/>
          <w:rtl w:val="0"/>
        </w:rPr>
        <w:t xml:space="preserve">.</w:t>
      </w:r>
    </w:p>
    <w:p w:rsidR="00000000" w:rsidDel="00000000" w:rsidP="00000000" w:rsidRDefault="00000000" w:rsidRPr="00000000" w14:paraId="00000022">
      <w:pPr>
        <w:jc w:val="both"/>
        <w:rPr>
          <w:rFonts w:ascii="Arial" w:cs="Arial" w:eastAsia="Arial" w:hAnsi="Arial"/>
        </w:rPr>
      </w:pPr>
      <w:r w:rsidDel="00000000" w:rsidR="00000000" w:rsidRPr="00000000">
        <w:rPr>
          <w:rtl w:val="0"/>
        </w:rPr>
      </w:r>
    </w:p>
    <w:p w:rsidR="00000000" w:rsidDel="00000000" w:rsidP="00000000" w:rsidRDefault="00000000" w:rsidRPr="00000000" w14:paraId="00000023">
      <w:pPr>
        <w:jc w:val="both"/>
        <w:rPr>
          <w:rFonts w:ascii="Arial" w:cs="Arial" w:eastAsia="Arial" w:hAnsi="Arial"/>
        </w:rPr>
      </w:pPr>
      <w:r w:rsidDel="00000000" w:rsidR="00000000" w:rsidRPr="00000000">
        <w:rPr>
          <w:rFonts w:ascii="Arial" w:cs="Arial" w:eastAsia="Arial" w:hAnsi="Arial"/>
          <w:rtl w:val="0"/>
        </w:rPr>
        <w:t xml:space="preserve">At the time of observations, the radar astrometry reduced Doppler and delay uncertainties by 99.93% compared to the initial optical-only ephemeris. Depending on the orbital trajectory and object size, these measurements are so accurate they can take objects off the potential impactors lists, such as in the recent case of 2020 NK</w:t>
      </w:r>
      <w:r w:rsidDel="00000000" w:rsidR="00000000" w:rsidRPr="00000000">
        <w:rPr>
          <w:rFonts w:ascii="Arial" w:cs="Arial" w:eastAsia="Arial" w:hAnsi="Arial"/>
          <w:vertAlign w:val="subscript"/>
          <w:rtl w:val="0"/>
        </w:rPr>
        <w:t xml:space="preserve">1</w:t>
      </w:r>
      <w:r w:rsidDel="00000000" w:rsidR="00000000" w:rsidRPr="00000000">
        <w:rPr>
          <w:rFonts w:ascii="Arial" w:cs="Arial" w:eastAsia="Arial" w:hAnsi="Arial"/>
          <w:rtl w:val="0"/>
        </w:rPr>
        <w:t xml:space="preserve">. Without radar astrometry we would have not been able to accurately forecast its orbit. Radar range-doppler and delay-Doppler measurements increased the encounter predictability window for 2019 OK from only 1 to 395 years, which allows us to know its orbit precisely for another century. The next Earth encounter was determined to be in 2093 at 0.052 au.</w:t>
      </w:r>
    </w:p>
    <w:p w:rsidR="00000000" w:rsidDel="00000000" w:rsidP="00000000" w:rsidRDefault="00000000" w:rsidRPr="00000000" w14:paraId="00000024">
      <w:pPr>
        <w:jc w:val="both"/>
        <w:rPr>
          <w:rFonts w:ascii="Arial" w:cs="Arial" w:eastAsia="Arial" w:hAnsi="Arial"/>
        </w:rPr>
      </w:pPr>
      <w:r w:rsidDel="00000000" w:rsidR="00000000" w:rsidRPr="00000000">
        <w:rPr>
          <w:rtl w:val="0"/>
        </w:rPr>
      </w:r>
    </w:p>
    <w:p w:rsidR="00000000" w:rsidDel="00000000" w:rsidP="00000000" w:rsidRDefault="00000000" w:rsidRPr="00000000" w14:paraId="00000025">
      <w:pPr>
        <w:jc w:val="both"/>
        <w:rPr>
          <w:rFonts w:ascii="Arial" w:cs="Arial" w:eastAsia="Arial" w:hAnsi="Arial"/>
        </w:rPr>
      </w:pPr>
      <w:r w:rsidDel="00000000" w:rsidR="00000000" w:rsidRPr="00000000">
        <w:rPr>
          <w:rtl w:val="0"/>
        </w:rPr>
      </w:r>
    </w:p>
    <w:p w:rsidR="00000000" w:rsidDel="00000000" w:rsidP="00000000" w:rsidRDefault="00000000" w:rsidRPr="00000000" w14:paraId="00000026">
      <w:pPr>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27">
      <w:pPr>
        <w:jc w:val="both"/>
        <w:rPr>
          <w:rFonts w:ascii="Arial" w:cs="Arial" w:eastAsia="Arial" w:hAnsi="Arial"/>
        </w:rPr>
      </w:pPr>
      <w:r w:rsidDel="00000000" w:rsidR="00000000" w:rsidRPr="00000000">
        <w:rPr>
          <w:rtl w:val="0"/>
        </w:rPr>
      </w:r>
    </w:p>
    <w:p w:rsidR="00000000" w:rsidDel="00000000" w:rsidP="00000000" w:rsidRDefault="00000000" w:rsidRPr="00000000" w14:paraId="00000028">
      <w:pPr>
        <w:jc w:val="both"/>
        <w:rPr>
          <w:rFonts w:ascii="Arial" w:cs="Arial" w:eastAsia="Arial" w:hAnsi="Arial"/>
        </w:rPr>
      </w:pPr>
      <w:r w:rsidDel="00000000" w:rsidR="00000000" w:rsidRPr="00000000">
        <w:rPr>
          <w:rFonts w:ascii="Arial" w:cs="Arial" w:eastAsia="Arial" w:hAnsi="Arial"/>
          <w:b w:val="1"/>
          <w:i w:val="1"/>
          <w:rtl w:val="0"/>
        </w:rPr>
        <w:t xml:space="preserve">Comments:</w:t>
      </w:r>
      <w:r w:rsidDel="00000000" w:rsidR="00000000" w:rsidRPr="00000000">
        <w:rPr>
          <w:rtl w:val="0"/>
        </w:rPr>
      </w:r>
    </w:p>
    <w:p w:rsidR="00000000" w:rsidDel="00000000" w:rsidP="00000000" w:rsidRDefault="00000000" w:rsidRPr="00000000" w14:paraId="00000029">
      <w:pPr>
        <w:jc w:val="both"/>
        <w:rPr>
          <w:rFonts w:ascii="Arial" w:cs="Arial" w:eastAsia="Arial" w:hAnsi="Arial"/>
        </w:rPr>
      </w:pPr>
      <w:r w:rsidDel="00000000" w:rsidR="00000000" w:rsidRPr="00000000">
        <w:rPr>
          <w:rtl w:val="0"/>
        </w:rPr>
      </w:r>
    </w:p>
    <w:p w:rsidR="00000000" w:rsidDel="00000000" w:rsidP="00000000" w:rsidRDefault="00000000" w:rsidRPr="00000000" w14:paraId="0000002A">
      <w:pPr>
        <w:jc w:val="both"/>
        <w:rPr>
          <w:rFonts w:ascii="Arial" w:cs="Arial" w:eastAsia="Arial" w:hAnsi="Arial"/>
        </w:rPr>
      </w:pPr>
      <w:r w:rsidDel="00000000" w:rsidR="00000000" w:rsidRPr="00000000">
        <w:rPr>
          <w:rFonts w:ascii="Arial" w:cs="Arial" w:eastAsia="Arial" w:hAnsi="Arial"/>
          <w:i w:val="1"/>
          <w:sz w:val="22"/>
          <w:szCs w:val="22"/>
          <w:rtl w:val="0"/>
        </w:rPr>
        <w:t xml:space="preserve">(Oral)</w:t>
      </w:r>
      <w:r w:rsidDel="00000000" w:rsidR="00000000" w:rsidRPr="00000000">
        <w:rPr>
          <w:rtl w:val="0"/>
        </w:rPr>
      </w:r>
    </w:p>
    <w:p w:rsidR="00000000" w:rsidDel="00000000" w:rsidP="00000000" w:rsidRDefault="00000000" w:rsidRPr="00000000" w14:paraId="0000002B">
      <w:pPr>
        <w:jc w:val="both"/>
        <w:rPr>
          <w:rFonts w:ascii="Arial" w:cs="Arial" w:eastAsia="Arial" w:hAnsi="Arial"/>
        </w:rPr>
      </w:pPr>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rPr>
      </w:pPr>
      <w:r w:rsidDel="00000000" w:rsidR="00000000" w:rsidRPr="00000000">
        <w:rPr>
          <w:rFonts w:ascii="Arial" w:cs="Arial" w:eastAsia="Arial" w:hAnsi="Arial"/>
          <w:b w:val="1"/>
          <w:rtl w:val="0"/>
        </w:rPr>
        <w:t xml:space="preserve">PAPER TITLE</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rPr>
      </w:pPr>
      <w:r w:rsidDel="00000000" w:rsidR="00000000" w:rsidRPr="00000000">
        <w:rPr>
          <w:rFonts w:ascii="Arial" w:cs="Arial" w:eastAsia="Arial" w:hAnsi="Arial"/>
          <w:rtl w:val="0"/>
        </w:rPr>
        <w:t xml:space="preserve">F</w:t>
      </w:r>
      <w:r w:rsidDel="00000000" w:rsidR="00000000" w:rsidRPr="00000000">
        <w:rPr>
          <w:rFonts w:ascii="Arial" w:cs="Arial" w:eastAsia="Arial" w:hAnsi="Arial"/>
          <w:b w:val="1"/>
          <w:rtl w:val="0"/>
        </w:rPr>
        <w:t xml:space="preserve">irst author name(1), Co-author name(2), and Co-author name(3)</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1"/>
        </w:rPr>
      </w:pPr>
      <w:r w:rsidDel="00000000" w:rsidR="00000000" w:rsidRPr="00000000">
        <w:rPr>
          <w:rFonts w:ascii="Arial" w:cs="Arial" w:eastAsia="Arial" w:hAnsi="Arial"/>
          <w:i w:val="1"/>
          <w:rtl w:val="0"/>
        </w:rPr>
        <w:t xml:space="preserve">(1)(2)Affiliation, postal address, phone, email</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1"/>
        </w:rPr>
      </w:pPr>
      <w:r w:rsidDel="00000000" w:rsidR="00000000" w:rsidRPr="00000000">
        <w:rPr>
          <w:rFonts w:ascii="Arial" w:cs="Arial" w:eastAsia="Arial" w:hAnsi="Arial"/>
          <w:i w:val="1"/>
          <w:rtl w:val="0"/>
        </w:rPr>
        <w:t xml:space="preserve">(3)Affiliation, postal address, phone, email</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1"/>
        </w:rPr>
      </w:pP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b w:val="1"/>
          <w:i w:val="1"/>
        </w:rPr>
      </w:pP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i w:val="1"/>
        </w:rPr>
      </w:pPr>
      <w:r w:rsidDel="00000000" w:rsidR="00000000" w:rsidRPr="00000000">
        <w:rPr>
          <w:rFonts w:ascii="Arial" w:cs="Arial" w:eastAsia="Arial" w:hAnsi="Arial"/>
          <w:b w:val="1"/>
          <w:i w:val="1"/>
          <w:rtl w:val="0"/>
        </w:rPr>
        <w:t xml:space="preserve">Keywords:</w:t>
      </w:r>
      <w:r w:rsidDel="00000000" w:rsidR="00000000" w:rsidRPr="00000000">
        <w:rPr>
          <w:rFonts w:ascii="Arial" w:cs="Arial" w:eastAsia="Arial" w:hAnsi="Arial"/>
          <w:i w:val="1"/>
          <w:rtl w:val="0"/>
        </w:rPr>
        <w:t xml:space="preserve"> Maximum of five keywords separated by comma</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1"/>
        </w:rPr>
      </w:pP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Fonts w:ascii="Arial" w:cs="Arial" w:eastAsia="Arial" w:hAnsi="Arial"/>
          <w:b w:val="1"/>
          <w:rtl w:val="0"/>
        </w:rPr>
        <w:t xml:space="preserve">ABSTRACT</w:t>
      </w: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is the abstract preparation template for the IAA conference. Each abstract will be evaluated by the members of the program committee and scored based on quality, originality, and relevance </w:t>
      </w:r>
      <w:r w:rsidDel="00000000" w:rsidR="00000000" w:rsidRPr="00000000">
        <w:rPr>
          <w:rFonts w:ascii="Arial" w:cs="Arial" w:eastAsia="Arial" w:hAnsi="Arial"/>
          <w:rtl w:val="0"/>
        </w:rPr>
        <w:t xml:space="preserve">to the conference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abstracts will be ranked according to a score and selected for presentation based on the available space. Please note that failure to follow this format will lead to rejections of the paper without review. If selected for presentation a paper or an extended abstracts will be is required.</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abstract length should be between 250 and 500 words. It must contain the paper title, the author names, their corresponding affiliation, postal and e-mail addresses. The extended abstract shall be prepared using the following format:</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84"/>
        </w:tabs>
        <w:spacing w:after="0" w:before="0" w:line="240" w:lineRule="auto"/>
        <w:ind w:left="720" w:right="0" w:hanging="360"/>
        <w:jc w:val="both"/>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Paper:</w:t>
        <w:tab/>
        <w:tab/>
        <w:tab/>
        <w:t xml:space="preserve">standard A4 paper (21.0x29.7 cm)</w:t>
      </w:r>
    </w:p>
    <w:p w:rsidR="00000000" w:rsidDel="00000000" w:rsidP="00000000" w:rsidRDefault="00000000" w:rsidRPr="00000000" w14:paraId="00000040">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84"/>
        </w:tabs>
        <w:spacing w:after="0" w:before="0" w:line="240" w:lineRule="auto"/>
        <w:ind w:left="720" w:right="0" w:hanging="360"/>
        <w:jc w:val="both"/>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Margins:</w:t>
        <w:tab/>
        <w:tab/>
        <w:t xml:space="preserve">2.54 cm (all sides)</w:t>
      </w:r>
    </w:p>
    <w:p w:rsidR="00000000" w:rsidDel="00000000" w:rsidP="00000000" w:rsidRDefault="00000000" w:rsidRPr="00000000" w14:paraId="0000004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Title:</w:t>
        <w:tab/>
        <w:tab/>
        <w:tab/>
        <w:t xml:space="preserve">12 pt bold, Arial, centered, all capital letters</w:t>
      </w:r>
    </w:p>
    <w:p w:rsidR="00000000" w:rsidDel="00000000" w:rsidP="00000000" w:rsidRDefault="00000000" w:rsidRPr="00000000" w14:paraId="00000042">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84"/>
        </w:tabs>
        <w:spacing w:after="0" w:before="0" w:line="240" w:lineRule="auto"/>
        <w:ind w:left="720" w:right="0" w:hanging="360"/>
        <w:jc w:val="both"/>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Author names:</w:t>
        <w:tab/>
        <w:t xml:space="preserve">12 pt bold, Arial, centered</w:t>
      </w:r>
    </w:p>
    <w:p w:rsidR="00000000" w:rsidDel="00000000" w:rsidP="00000000" w:rsidRDefault="00000000" w:rsidRPr="00000000" w14:paraId="00000043">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84"/>
        </w:tabs>
        <w:spacing w:after="0" w:before="0" w:line="240" w:lineRule="auto"/>
        <w:ind w:left="720" w:right="0" w:hanging="360"/>
        <w:jc w:val="both"/>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Affiliation:</w:t>
        <w:tab/>
        <w:tab/>
        <w:t xml:space="preserve">12 pt italic, Arial, centered</w:t>
      </w:r>
    </w:p>
    <w:p w:rsidR="00000000" w:rsidDel="00000000" w:rsidP="00000000" w:rsidRDefault="00000000" w:rsidRPr="00000000" w14:paraId="00000044">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84"/>
        </w:tabs>
        <w:spacing w:after="0" w:before="0" w:line="240" w:lineRule="auto"/>
        <w:ind w:left="720" w:right="0" w:hanging="360"/>
        <w:jc w:val="both"/>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Abstract body:</w:t>
        <w:tab/>
        <w:t xml:space="preserve">12 pt, Arial, justified with single line spacing</w:t>
      </w:r>
    </w:p>
    <w:p w:rsidR="00000000" w:rsidDel="00000000" w:rsidP="00000000" w:rsidRDefault="00000000" w:rsidRPr="00000000" w14:paraId="0000004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Equations, figures, literature may be included with references in the body text</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Abstracts must be written in English and should be submitted to the IAA as Microsoft Word files (.doc, .docx) within the deadline. All abstracts must be submitted online to iaapdc (at) iaamail.org  It is recommended to proof read the abstract before submission.</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Notification about the review process is planned according calendar. This will give the possibility to profit from the “early registration fee” of the conference. Please note that the presenting author of each accepted abstract has to register to the conference.</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Comments:</w:t>
      </w: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(Alternative session, Time slot, Oral or Poster, Etc…)</w:t>
      </w:r>
      <w:r w:rsidDel="00000000" w:rsidR="00000000" w:rsidRPr="00000000">
        <w:rPr>
          <w:rtl w:val="0"/>
        </w:rPr>
      </w:r>
    </w:p>
    <w:sectPr>
      <w:pgSz w:h="16840" w:w="11907"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Times New Roman"/>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pPr>
    <w:rPr>
      <w:rFonts w:ascii="Times New Roman" w:cs="Times New Roman" w:eastAsia="Times New Roman" w:hAnsi="Times New Roman"/>
      <w:b w:val="1"/>
      <w:sz w:val="24"/>
      <w:szCs w:val="24"/>
      <w:vertAlign w:val="baseline"/>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luisafz@aosa.naic.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