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6F242" w14:textId="77777777" w:rsidR="007763E7" w:rsidRPr="007763E7" w:rsidRDefault="007763E7" w:rsidP="007763E7">
      <w:pPr>
        <w:tabs>
          <w:tab w:val="left" w:pos="-720"/>
          <w:tab w:val="left" w:pos="0"/>
          <w:tab w:val="left" w:pos="851"/>
          <w:tab w:val="left" w:pos="3600"/>
        </w:tabs>
        <w:rPr>
          <w:rFonts w:ascii="Arial" w:eastAsia="Arial Unicode MS" w:hAnsi="Arial" w:cs="Arial"/>
          <w:b/>
          <w:color w:val="000000" w:themeColor="text1"/>
          <w:spacing w:val="-2"/>
          <w:sz w:val="22"/>
          <w:lang w:val="en-GB"/>
        </w:rPr>
      </w:pPr>
      <w:r w:rsidRPr="007763E7">
        <w:rPr>
          <w:rFonts w:ascii="Arial" w:eastAsia="Arial Unicode MS" w:hAnsi="Arial" w:cs="Arial"/>
          <w:b/>
          <w:color w:val="000000" w:themeColor="text1"/>
          <w:spacing w:val="-2"/>
          <w:sz w:val="22"/>
          <w:lang w:val="en-GB"/>
        </w:rPr>
        <w:t>Space Systems of Systems Generative Design Using Concurrent MBSE:</w:t>
      </w:r>
    </w:p>
    <w:p w14:paraId="58FD9A57" w14:textId="786BC601" w:rsidR="00970F68" w:rsidRDefault="007763E7" w:rsidP="007763E7">
      <w:pPr>
        <w:tabs>
          <w:tab w:val="left" w:pos="-720"/>
          <w:tab w:val="left" w:pos="0"/>
          <w:tab w:val="left" w:pos="851"/>
          <w:tab w:val="left" w:pos="3600"/>
        </w:tabs>
        <w:rPr>
          <w:rFonts w:ascii="Arial" w:eastAsia="Arial Unicode MS" w:hAnsi="Arial" w:cs="Arial"/>
          <w:b/>
          <w:color w:val="000000" w:themeColor="text1"/>
          <w:spacing w:val="-2"/>
          <w:sz w:val="22"/>
          <w:lang w:val="en-GB"/>
        </w:rPr>
      </w:pPr>
      <w:r w:rsidRPr="007763E7">
        <w:rPr>
          <w:rFonts w:ascii="Arial" w:eastAsia="Arial Unicode MS" w:hAnsi="Arial" w:cs="Arial"/>
          <w:b/>
          <w:color w:val="000000" w:themeColor="text1"/>
          <w:spacing w:val="-2"/>
          <w:sz w:val="22"/>
          <w:lang w:val="en-GB"/>
        </w:rPr>
        <w:t xml:space="preserve">An Application </w:t>
      </w:r>
      <w:r w:rsidR="00D64F94">
        <w:rPr>
          <w:rFonts w:ascii="Arial" w:eastAsia="Arial Unicode MS" w:hAnsi="Arial" w:cs="Arial"/>
          <w:b/>
          <w:color w:val="000000" w:themeColor="text1"/>
          <w:spacing w:val="-2"/>
          <w:sz w:val="22"/>
          <w:lang w:val="en-GB"/>
        </w:rPr>
        <w:t xml:space="preserve">of </w:t>
      </w:r>
      <w:r w:rsidRPr="007763E7">
        <w:rPr>
          <w:rFonts w:ascii="Arial" w:eastAsia="Arial Unicode MS" w:hAnsi="Arial" w:cs="Arial"/>
          <w:b/>
          <w:color w:val="000000" w:themeColor="text1"/>
          <w:spacing w:val="-2"/>
          <w:sz w:val="22"/>
          <w:lang w:val="en-GB"/>
        </w:rPr>
        <w:t>E</w:t>
      </w:r>
      <w:r w:rsidR="00233EAB">
        <w:rPr>
          <w:rFonts w:ascii="Arial" w:eastAsia="Arial Unicode MS" w:hAnsi="Arial" w:cs="Arial"/>
          <w:b/>
          <w:color w:val="000000" w:themeColor="text1"/>
          <w:spacing w:val="-2"/>
          <w:sz w:val="22"/>
          <w:lang w:val="en-GB"/>
        </w:rPr>
        <w:t>CSS-E</w:t>
      </w:r>
      <w:r w:rsidRPr="007763E7">
        <w:rPr>
          <w:rFonts w:ascii="Arial" w:eastAsia="Arial Unicode MS" w:hAnsi="Arial" w:cs="Arial"/>
          <w:b/>
          <w:color w:val="000000" w:themeColor="text1"/>
          <w:spacing w:val="-2"/>
          <w:sz w:val="22"/>
          <w:lang w:val="en-GB"/>
        </w:rPr>
        <w:t xml:space="preserve">-TM-10-25 </w:t>
      </w:r>
      <w:r w:rsidR="00233EAB">
        <w:rPr>
          <w:rFonts w:ascii="Arial" w:eastAsia="Arial Unicode MS" w:hAnsi="Arial" w:cs="Arial"/>
          <w:b/>
          <w:color w:val="000000" w:themeColor="text1"/>
          <w:spacing w:val="-2"/>
          <w:sz w:val="22"/>
          <w:lang w:val="en-GB"/>
        </w:rPr>
        <w:t xml:space="preserve">and the GCD </w:t>
      </w:r>
      <w:r w:rsidR="00BC1C74">
        <w:rPr>
          <w:rFonts w:ascii="Arial" w:eastAsia="Arial Unicode MS" w:hAnsi="Arial" w:cs="Arial"/>
          <w:b/>
          <w:color w:val="000000" w:themeColor="text1"/>
          <w:spacing w:val="-2"/>
          <w:sz w:val="22"/>
          <w:lang w:val="en-GB"/>
        </w:rPr>
        <w:t>T</w:t>
      </w:r>
      <w:r w:rsidR="00233EAB">
        <w:rPr>
          <w:rFonts w:ascii="Arial" w:eastAsia="Arial Unicode MS" w:hAnsi="Arial" w:cs="Arial"/>
          <w:b/>
          <w:color w:val="000000" w:themeColor="text1"/>
          <w:spacing w:val="-2"/>
          <w:sz w:val="22"/>
          <w:lang w:val="en-GB"/>
        </w:rPr>
        <w:t xml:space="preserve">ool </w:t>
      </w:r>
      <w:r w:rsidRPr="007763E7">
        <w:rPr>
          <w:rFonts w:ascii="Arial" w:eastAsia="Arial Unicode MS" w:hAnsi="Arial" w:cs="Arial"/>
          <w:b/>
          <w:color w:val="000000" w:themeColor="text1"/>
          <w:spacing w:val="-2"/>
          <w:sz w:val="22"/>
          <w:lang w:val="en-GB"/>
        </w:rPr>
        <w:t>to Copernicus Next Generation</w:t>
      </w:r>
    </w:p>
    <w:p w14:paraId="30C1DAC1" w14:textId="77777777" w:rsidR="007763E7" w:rsidRPr="00614BDE" w:rsidRDefault="007763E7" w:rsidP="007763E7">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1416E9AE" w14:textId="6CC0D279" w:rsidR="00970F68" w:rsidRPr="00DC338E" w:rsidRDefault="007763E7" w:rsidP="00DC338E">
      <w:pPr>
        <w:spacing w:after="120"/>
        <w:rPr>
          <w:rFonts w:ascii="Arial" w:hAnsi="Arial" w:cs="Arial"/>
          <w:sz w:val="20"/>
          <w:szCs w:val="16"/>
        </w:rPr>
      </w:pPr>
      <w:r w:rsidRPr="00B67AE3">
        <w:rPr>
          <w:rFonts w:ascii="Arial" w:hAnsi="Arial" w:cs="Arial"/>
          <w:sz w:val="20"/>
          <w:szCs w:val="16"/>
          <w:u w:val="single"/>
        </w:rPr>
        <w:t>A. Mincolla</w:t>
      </w:r>
      <w:r w:rsidRPr="00B67AE3">
        <w:rPr>
          <w:rFonts w:ascii="Arial" w:hAnsi="Arial" w:cs="Arial"/>
          <w:i/>
          <w:iCs/>
          <w:sz w:val="20"/>
          <w:szCs w:val="16"/>
          <w:vertAlign w:val="superscript"/>
        </w:rPr>
        <w:t>1,4*</w:t>
      </w:r>
      <w:r w:rsidRPr="00B67AE3">
        <w:rPr>
          <w:rFonts w:ascii="Arial" w:hAnsi="Arial" w:cs="Arial"/>
          <w:sz w:val="20"/>
          <w:szCs w:val="16"/>
        </w:rPr>
        <w:t xml:space="preserve">; </w:t>
      </w:r>
      <w:r w:rsidRPr="00B67AE3">
        <w:rPr>
          <w:rFonts w:ascii="Arial" w:hAnsi="Arial" w:cs="Arial"/>
          <w:i/>
          <w:iCs/>
          <w:sz w:val="20"/>
          <w:szCs w:val="16"/>
        </w:rPr>
        <w:t>S. Gerené</w:t>
      </w:r>
      <w:r w:rsidRPr="00B67AE3">
        <w:rPr>
          <w:rFonts w:ascii="Arial" w:hAnsi="Arial" w:cs="Arial"/>
          <w:i/>
          <w:iCs/>
          <w:sz w:val="20"/>
          <w:szCs w:val="16"/>
          <w:vertAlign w:val="superscript"/>
        </w:rPr>
        <w:t>1</w:t>
      </w:r>
      <w:r w:rsidRPr="00B67AE3">
        <w:rPr>
          <w:rFonts w:ascii="Arial" w:hAnsi="Arial" w:cs="Arial"/>
          <w:i/>
          <w:iCs/>
          <w:sz w:val="20"/>
          <w:szCs w:val="16"/>
        </w:rPr>
        <w:t>, A. Vorobiev</w:t>
      </w:r>
      <w:r w:rsidRPr="00B67AE3">
        <w:rPr>
          <w:rFonts w:ascii="Arial" w:hAnsi="Arial" w:cs="Arial"/>
          <w:i/>
          <w:iCs/>
          <w:sz w:val="20"/>
          <w:szCs w:val="16"/>
          <w:vertAlign w:val="superscript"/>
        </w:rPr>
        <w:t>1</w:t>
      </w:r>
      <w:r w:rsidRPr="00B67AE3">
        <w:rPr>
          <w:rFonts w:ascii="Arial" w:hAnsi="Arial" w:cs="Arial"/>
          <w:i/>
          <w:iCs/>
          <w:sz w:val="20"/>
          <w:szCs w:val="16"/>
        </w:rPr>
        <w:t>, K. Wojnowski</w:t>
      </w:r>
      <w:r w:rsidRPr="00B67AE3">
        <w:rPr>
          <w:rFonts w:ascii="Arial" w:hAnsi="Arial" w:cs="Arial"/>
          <w:i/>
          <w:iCs/>
          <w:sz w:val="20"/>
          <w:szCs w:val="16"/>
          <w:vertAlign w:val="superscript"/>
        </w:rPr>
        <w:t>1</w:t>
      </w:r>
      <w:r w:rsidRPr="00B67AE3">
        <w:rPr>
          <w:rFonts w:ascii="Arial" w:hAnsi="Arial" w:cs="Arial"/>
          <w:i/>
          <w:iCs/>
          <w:sz w:val="20"/>
          <w:szCs w:val="16"/>
        </w:rPr>
        <w:t>, N. Smiechowski</w:t>
      </w:r>
      <w:r w:rsidRPr="00B67AE3">
        <w:rPr>
          <w:rFonts w:ascii="Arial" w:hAnsi="Arial" w:cs="Arial"/>
          <w:i/>
          <w:iCs/>
          <w:sz w:val="20"/>
          <w:szCs w:val="16"/>
          <w:vertAlign w:val="superscript"/>
        </w:rPr>
        <w:t>1</w:t>
      </w:r>
      <w:r w:rsidRPr="00B67AE3">
        <w:rPr>
          <w:rFonts w:ascii="Arial" w:hAnsi="Arial" w:cs="Arial"/>
          <w:i/>
          <w:iCs/>
          <w:sz w:val="20"/>
          <w:szCs w:val="16"/>
        </w:rPr>
        <w:t>, M. Nicolai</w:t>
      </w:r>
      <w:r w:rsidRPr="00B67AE3">
        <w:rPr>
          <w:rFonts w:ascii="Arial" w:hAnsi="Arial" w:cs="Arial"/>
          <w:i/>
          <w:iCs/>
          <w:sz w:val="20"/>
          <w:szCs w:val="16"/>
          <w:vertAlign w:val="superscript"/>
        </w:rPr>
        <w:t>2</w:t>
      </w:r>
      <w:r w:rsidRPr="00B67AE3">
        <w:rPr>
          <w:rFonts w:ascii="Arial" w:hAnsi="Arial" w:cs="Arial"/>
          <w:i/>
          <w:iCs/>
          <w:sz w:val="20"/>
          <w:szCs w:val="16"/>
        </w:rPr>
        <w:t>, J. Menu</w:t>
      </w:r>
      <w:r w:rsidRPr="00B67AE3">
        <w:rPr>
          <w:rFonts w:ascii="Arial" w:hAnsi="Arial" w:cs="Arial"/>
          <w:i/>
          <w:iCs/>
          <w:sz w:val="20"/>
          <w:szCs w:val="16"/>
          <w:vertAlign w:val="superscript"/>
        </w:rPr>
        <w:t>2</w:t>
      </w:r>
      <w:r w:rsidRPr="00B67AE3">
        <w:rPr>
          <w:rFonts w:ascii="Arial" w:hAnsi="Arial" w:cs="Arial"/>
          <w:i/>
          <w:iCs/>
          <w:sz w:val="20"/>
          <w:szCs w:val="16"/>
        </w:rPr>
        <w:t>, S. Jahnke</w:t>
      </w:r>
      <w:r w:rsidRPr="00B67AE3">
        <w:rPr>
          <w:rFonts w:ascii="Arial" w:hAnsi="Arial" w:cs="Arial"/>
          <w:i/>
          <w:iCs/>
          <w:sz w:val="20"/>
          <w:szCs w:val="16"/>
          <w:vertAlign w:val="superscript"/>
        </w:rPr>
        <w:t>3</w:t>
      </w:r>
      <w:r w:rsidRPr="00B67AE3">
        <w:rPr>
          <w:rFonts w:ascii="Arial" w:hAnsi="Arial" w:cs="Arial"/>
          <w:i/>
          <w:iCs/>
          <w:sz w:val="20"/>
          <w:szCs w:val="16"/>
        </w:rPr>
        <w:t>, R. Benvenuto</w:t>
      </w:r>
      <w:r w:rsidRPr="00B67AE3">
        <w:rPr>
          <w:rFonts w:ascii="Arial" w:hAnsi="Arial" w:cs="Arial"/>
          <w:i/>
          <w:iCs/>
          <w:sz w:val="20"/>
          <w:szCs w:val="16"/>
          <w:vertAlign w:val="superscript"/>
        </w:rPr>
        <w:t>3</w:t>
      </w:r>
      <w:r w:rsidRPr="00B67AE3">
        <w:rPr>
          <w:rFonts w:ascii="Arial" w:hAnsi="Arial" w:cs="Arial"/>
          <w:i/>
          <w:iCs/>
          <w:sz w:val="20"/>
          <w:szCs w:val="16"/>
        </w:rPr>
        <w:t>, G. Tibert</w:t>
      </w:r>
      <w:r w:rsidRPr="00B67AE3">
        <w:rPr>
          <w:rFonts w:ascii="Arial" w:hAnsi="Arial" w:cs="Arial"/>
          <w:i/>
          <w:iCs/>
          <w:sz w:val="20"/>
          <w:szCs w:val="16"/>
          <w:vertAlign w:val="superscript"/>
        </w:rPr>
        <w:t>4</w:t>
      </w:r>
      <w:r w:rsidRPr="00B67AE3">
        <w:rPr>
          <w:rFonts w:ascii="Arial" w:hAnsi="Arial" w:cs="Arial"/>
          <w:i/>
          <w:iCs/>
          <w:sz w:val="20"/>
          <w:szCs w:val="16"/>
        </w:rPr>
        <w:t xml:space="preserve"> </w:t>
      </w:r>
    </w:p>
    <w:p w14:paraId="634BB46C" w14:textId="7589A361" w:rsidR="007763E7" w:rsidRPr="007763E7" w:rsidRDefault="007763E7" w:rsidP="007763E7">
      <w:pPr>
        <w:rPr>
          <w:rFonts w:ascii="Arial" w:hAnsi="Arial" w:cs="Arial"/>
          <w:i/>
          <w:iCs/>
          <w:sz w:val="20"/>
        </w:rPr>
      </w:pPr>
      <w:r w:rsidRPr="007763E7">
        <w:rPr>
          <w:rFonts w:ascii="Arial" w:hAnsi="Arial" w:cs="Arial"/>
          <w:i/>
          <w:iCs/>
          <w:sz w:val="20"/>
          <w:vertAlign w:val="superscript"/>
        </w:rPr>
        <w:t>1</w:t>
      </w:r>
      <w:r w:rsidRPr="007763E7">
        <w:rPr>
          <w:rFonts w:ascii="Arial" w:hAnsi="Arial" w:cs="Arial"/>
          <w:i/>
          <w:iCs/>
          <w:sz w:val="20"/>
        </w:rPr>
        <w:t xml:space="preserve">RHEA Group, </w:t>
      </w:r>
      <w:r>
        <w:rPr>
          <w:rFonts w:ascii="Arial" w:hAnsi="Arial" w:cs="Arial"/>
          <w:i/>
          <w:iCs/>
          <w:sz w:val="20"/>
        </w:rPr>
        <w:t xml:space="preserve">Leiden, </w:t>
      </w:r>
      <w:r w:rsidRPr="007763E7">
        <w:rPr>
          <w:rFonts w:ascii="Arial" w:hAnsi="Arial" w:cs="Arial"/>
          <w:i/>
          <w:iCs/>
          <w:sz w:val="20"/>
        </w:rPr>
        <w:t>The Netherlands</w:t>
      </w:r>
      <w:r w:rsidR="00DA7F06">
        <w:rPr>
          <w:rFonts w:ascii="Arial" w:hAnsi="Arial" w:cs="Arial"/>
          <w:i/>
          <w:iCs/>
          <w:sz w:val="20"/>
        </w:rPr>
        <w:t>,</w:t>
      </w:r>
      <w:r w:rsidRPr="000732F6">
        <w:rPr>
          <w:rFonts w:ascii="Arial" w:eastAsia="Arial Unicode MS" w:hAnsi="Arial" w:cs="Arial"/>
          <w:i/>
          <w:color w:val="000000" w:themeColor="text1"/>
          <w:spacing w:val="-2"/>
          <w:sz w:val="20"/>
          <w:lang w:val="en-GB"/>
        </w:rPr>
        <w:t xml:space="preserve"> </w:t>
      </w:r>
      <w:hyperlink r:id="rId10" w:history="1">
        <w:r w:rsidR="00DA7F06" w:rsidRPr="00111B71">
          <w:rPr>
            <w:rStyle w:val="Collegamentoipertestuale"/>
            <w:rFonts w:ascii="Arial" w:eastAsia="Arial Unicode MS" w:hAnsi="Arial" w:cs="Arial"/>
            <w:i/>
            <w:spacing w:val="-2"/>
            <w:sz w:val="20"/>
            <w:lang w:val="en-GB"/>
          </w:rPr>
          <w:t>andrea.mincolla@gmail.com</w:t>
        </w:r>
      </w:hyperlink>
      <w:r>
        <w:rPr>
          <w:rFonts w:ascii="Arial" w:eastAsia="Arial Unicode MS" w:hAnsi="Arial" w:cs="Arial"/>
          <w:i/>
          <w:color w:val="000000" w:themeColor="text1"/>
          <w:spacing w:val="-2"/>
          <w:sz w:val="20"/>
          <w:lang w:val="en-GB"/>
        </w:rPr>
        <w:t xml:space="preserve"> </w:t>
      </w:r>
    </w:p>
    <w:p w14:paraId="6A5591DC" w14:textId="09FD7499" w:rsidR="007763E7" w:rsidRPr="007763E7" w:rsidRDefault="007763E7" w:rsidP="007763E7">
      <w:pPr>
        <w:rPr>
          <w:rFonts w:ascii="Arial" w:hAnsi="Arial" w:cs="Arial"/>
          <w:i/>
          <w:iCs/>
          <w:sz w:val="20"/>
        </w:rPr>
      </w:pPr>
      <w:r w:rsidRPr="007763E7">
        <w:rPr>
          <w:rFonts w:ascii="Arial" w:hAnsi="Arial" w:cs="Arial"/>
          <w:i/>
          <w:iCs/>
          <w:sz w:val="20"/>
          <w:vertAlign w:val="superscript"/>
        </w:rPr>
        <w:t>2</w:t>
      </w:r>
      <w:r w:rsidRPr="007763E7">
        <w:rPr>
          <w:rFonts w:ascii="Arial" w:hAnsi="Arial" w:cs="Arial"/>
          <w:i/>
          <w:iCs/>
          <w:sz w:val="20"/>
        </w:rPr>
        <w:t>Siemens Digital Industries Software</w:t>
      </w:r>
      <w:r w:rsidR="000F6562">
        <w:rPr>
          <w:rFonts w:ascii="Arial" w:hAnsi="Arial" w:cs="Arial"/>
          <w:i/>
          <w:iCs/>
          <w:sz w:val="20"/>
        </w:rPr>
        <w:t xml:space="preserve"> NV</w:t>
      </w:r>
      <w:r w:rsidRPr="007763E7">
        <w:rPr>
          <w:rFonts w:ascii="Arial" w:hAnsi="Arial" w:cs="Arial"/>
          <w:i/>
          <w:iCs/>
          <w:sz w:val="20"/>
        </w:rPr>
        <w:t>,</w:t>
      </w:r>
      <w:r>
        <w:rPr>
          <w:rFonts w:ascii="Arial" w:hAnsi="Arial" w:cs="Arial"/>
          <w:i/>
          <w:iCs/>
          <w:sz w:val="20"/>
        </w:rPr>
        <w:t xml:space="preserve"> Leuven,</w:t>
      </w:r>
      <w:r w:rsidRPr="007763E7">
        <w:rPr>
          <w:rFonts w:ascii="Arial" w:hAnsi="Arial" w:cs="Arial"/>
          <w:i/>
          <w:iCs/>
          <w:sz w:val="20"/>
        </w:rPr>
        <w:t xml:space="preserve"> Belgium</w:t>
      </w:r>
    </w:p>
    <w:p w14:paraId="6FC9A413" w14:textId="43820282" w:rsidR="007763E7" w:rsidRPr="007763E7" w:rsidRDefault="007763E7" w:rsidP="007763E7">
      <w:pPr>
        <w:rPr>
          <w:rFonts w:ascii="Arial" w:hAnsi="Arial" w:cs="Arial"/>
          <w:i/>
          <w:iCs/>
          <w:sz w:val="20"/>
        </w:rPr>
      </w:pPr>
      <w:r w:rsidRPr="007763E7">
        <w:rPr>
          <w:rFonts w:ascii="Arial" w:hAnsi="Arial" w:cs="Arial"/>
          <w:i/>
          <w:iCs/>
          <w:sz w:val="20"/>
          <w:vertAlign w:val="superscript"/>
        </w:rPr>
        <w:t>3</w:t>
      </w:r>
      <w:r w:rsidRPr="007763E7">
        <w:rPr>
          <w:rFonts w:ascii="Arial" w:hAnsi="Arial" w:cs="Arial"/>
          <w:i/>
          <w:iCs/>
          <w:sz w:val="20"/>
        </w:rPr>
        <w:t xml:space="preserve">OHB System AG, </w:t>
      </w:r>
      <w:r>
        <w:rPr>
          <w:rFonts w:ascii="Arial" w:hAnsi="Arial" w:cs="Arial"/>
          <w:i/>
          <w:iCs/>
          <w:sz w:val="20"/>
        </w:rPr>
        <w:t xml:space="preserve">Bremen, </w:t>
      </w:r>
      <w:r w:rsidRPr="007763E7">
        <w:rPr>
          <w:rFonts w:ascii="Arial" w:hAnsi="Arial" w:cs="Arial"/>
          <w:i/>
          <w:iCs/>
          <w:sz w:val="20"/>
        </w:rPr>
        <w:t>Germany</w:t>
      </w:r>
    </w:p>
    <w:p w14:paraId="25A8501C" w14:textId="5489B2E9" w:rsidR="007763E7" w:rsidRPr="007763E7" w:rsidRDefault="007763E7" w:rsidP="007763E7">
      <w:pPr>
        <w:rPr>
          <w:rFonts w:ascii="Arial" w:hAnsi="Arial" w:cs="Arial"/>
          <w:i/>
          <w:iCs/>
          <w:sz w:val="20"/>
        </w:rPr>
      </w:pPr>
      <w:r w:rsidRPr="007763E7">
        <w:rPr>
          <w:rFonts w:ascii="Arial" w:hAnsi="Arial" w:cs="Arial"/>
          <w:i/>
          <w:iCs/>
          <w:sz w:val="20"/>
          <w:vertAlign w:val="superscript"/>
        </w:rPr>
        <w:t>4</w:t>
      </w:r>
      <w:r w:rsidRPr="007763E7">
        <w:rPr>
          <w:rFonts w:ascii="Arial" w:hAnsi="Arial" w:cs="Arial"/>
          <w:i/>
          <w:iCs/>
          <w:sz w:val="20"/>
        </w:rPr>
        <w:t>KTH Royal Institute of Technology,</w:t>
      </w:r>
      <w:r>
        <w:rPr>
          <w:rFonts w:ascii="Arial" w:hAnsi="Arial" w:cs="Arial"/>
          <w:i/>
          <w:iCs/>
          <w:sz w:val="20"/>
        </w:rPr>
        <w:t xml:space="preserve"> Stockholm,</w:t>
      </w:r>
      <w:r w:rsidRPr="007763E7">
        <w:rPr>
          <w:rFonts w:ascii="Arial" w:hAnsi="Arial" w:cs="Arial"/>
          <w:i/>
          <w:iCs/>
          <w:sz w:val="20"/>
        </w:rPr>
        <w:t xml:space="preserve"> Sweden</w:t>
      </w:r>
    </w:p>
    <w:p w14:paraId="3D1B81B4" w14:textId="77777777" w:rsidR="007763E7" w:rsidRPr="00DC338E" w:rsidRDefault="007763E7" w:rsidP="00A86753">
      <w:pPr>
        <w:tabs>
          <w:tab w:val="left" w:pos="-720"/>
          <w:tab w:val="left" w:pos="0"/>
          <w:tab w:val="left" w:pos="851"/>
          <w:tab w:val="left" w:pos="3600"/>
        </w:tabs>
        <w:rPr>
          <w:rFonts w:ascii="Arial" w:eastAsia="Arial Unicode MS" w:hAnsi="Arial" w:cs="Arial"/>
          <w:iCs/>
          <w:color w:val="000000" w:themeColor="text1"/>
          <w:spacing w:val="-2"/>
          <w:sz w:val="20"/>
          <w:lang w:val="en-GB"/>
        </w:rPr>
      </w:pPr>
    </w:p>
    <w:p w14:paraId="7A52D156" w14:textId="33A4F0AC" w:rsidR="00621EFD" w:rsidRDefault="007763E7" w:rsidP="007763E7">
      <w:pPr>
        <w:jc w:val="both"/>
        <w:rPr>
          <w:rFonts w:ascii="Arial" w:hAnsi="Arial" w:cs="Arial"/>
          <w:sz w:val="20"/>
        </w:rPr>
      </w:pPr>
      <w:r w:rsidRPr="000732F6">
        <w:rPr>
          <w:rFonts w:ascii="Arial" w:hAnsi="Arial" w:cs="Arial"/>
          <w:sz w:val="20"/>
        </w:rPr>
        <w:t>The Concurrent</w:t>
      </w:r>
      <w:r w:rsidRPr="006C05BC">
        <w:rPr>
          <w:rFonts w:ascii="Arial" w:hAnsi="Arial" w:cs="Arial"/>
          <w:sz w:val="20"/>
        </w:rPr>
        <w:t xml:space="preserve"> Design Platform 4 (CDP4®)</w:t>
      </w:r>
      <w:r w:rsidR="000F6562">
        <w:rPr>
          <w:rFonts w:ascii="Arial" w:hAnsi="Arial" w:cs="Arial"/>
          <w:sz w:val="20"/>
        </w:rPr>
        <w:t xml:space="preserve"> [1]</w:t>
      </w:r>
      <w:r w:rsidRPr="006C05BC">
        <w:rPr>
          <w:rFonts w:ascii="Arial" w:hAnsi="Arial" w:cs="Arial"/>
          <w:sz w:val="20"/>
        </w:rPr>
        <w:t xml:space="preserve">, developed by the Systems Engineering Methods and Tools (SEMT) business unit at RHEA Group, aims to address </w:t>
      </w:r>
      <w:r w:rsidR="00621EFD">
        <w:rPr>
          <w:rFonts w:ascii="Arial" w:hAnsi="Arial" w:cs="Arial"/>
          <w:sz w:val="20"/>
        </w:rPr>
        <w:t xml:space="preserve">the </w:t>
      </w:r>
      <w:r w:rsidR="0068603B">
        <w:rPr>
          <w:rFonts w:ascii="Arial" w:hAnsi="Arial" w:cs="Arial"/>
          <w:sz w:val="20"/>
        </w:rPr>
        <w:t xml:space="preserve">modern </w:t>
      </w:r>
      <w:r w:rsidRPr="006C05BC">
        <w:rPr>
          <w:rFonts w:ascii="Arial" w:hAnsi="Arial" w:cs="Arial"/>
          <w:sz w:val="20"/>
        </w:rPr>
        <w:t>challenges</w:t>
      </w:r>
      <w:r w:rsidR="00621EFD">
        <w:rPr>
          <w:rFonts w:ascii="Arial" w:hAnsi="Arial" w:cs="Arial"/>
          <w:sz w:val="20"/>
        </w:rPr>
        <w:t xml:space="preserve"> of Model-Based System Engineering (</w:t>
      </w:r>
      <w:r w:rsidR="00621EFD" w:rsidRPr="006C05BC">
        <w:rPr>
          <w:rFonts w:ascii="Arial" w:hAnsi="Arial" w:cs="Arial"/>
          <w:sz w:val="20"/>
        </w:rPr>
        <w:t>MBSE</w:t>
      </w:r>
      <w:r w:rsidR="00621EFD">
        <w:rPr>
          <w:rFonts w:ascii="Arial" w:hAnsi="Arial" w:cs="Arial"/>
          <w:sz w:val="20"/>
        </w:rPr>
        <w:t>)</w:t>
      </w:r>
      <w:r w:rsidRPr="006C05BC">
        <w:rPr>
          <w:rFonts w:ascii="Arial" w:hAnsi="Arial" w:cs="Arial"/>
          <w:sz w:val="20"/>
        </w:rPr>
        <w:t>. CDP4® is a collaborative software tool conceived for architecting complex systems,</w:t>
      </w:r>
      <w:r w:rsidR="00DC338E">
        <w:rPr>
          <w:rFonts w:ascii="Arial" w:hAnsi="Arial" w:cs="Arial"/>
          <w:sz w:val="20"/>
        </w:rPr>
        <w:t xml:space="preserve"> across integrated tools, domains and industrial applications allowing agile tailoring of systems engineering methodologies. Key features of the tool among others are </w:t>
      </w:r>
      <w:r w:rsidR="00474E07">
        <w:rPr>
          <w:rFonts w:ascii="Arial" w:hAnsi="Arial" w:cs="Arial"/>
          <w:sz w:val="20"/>
        </w:rPr>
        <w:t>enabling</w:t>
      </w:r>
      <w:r w:rsidRPr="006C05BC">
        <w:rPr>
          <w:rFonts w:ascii="Arial" w:hAnsi="Arial" w:cs="Arial"/>
          <w:sz w:val="20"/>
        </w:rPr>
        <w:t xml:space="preserve"> </w:t>
      </w:r>
      <w:r w:rsidR="00D64F94">
        <w:rPr>
          <w:rFonts w:ascii="Arial" w:hAnsi="Arial" w:cs="Arial"/>
          <w:sz w:val="20"/>
        </w:rPr>
        <w:t>semantic interoperability</w:t>
      </w:r>
      <w:r w:rsidRPr="006C05BC">
        <w:rPr>
          <w:rFonts w:ascii="Arial" w:hAnsi="Arial" w:cs="Arial"/>
          <w:sz w:val="20"/>
        </w:rPr>
        <w:t xml:space="preserve">, configuration management, </w:t>
      </w:r>
      <w:r w:rsidR="00D64F94" w:rsidRPr="006C05BC">
        <w:rPr>
          <w:rFonts w:ascii="Arial" w:hAnsi="Arial" w:cs="Arial"/>
          <w:sz w:val="20"/>
        </w:rPr>
        <w:t>requirements-to-architecture mapping</w:t>
      </w:r>
      <w:r w:rsidR="00D64F94">
        <w:rPr>
          <w:rFonts w:ascii="Arial" w:hAnsi="Arial" w:cs="Arial"/>
          <w:sz w:val="20"/>
        </w:rPr>
        <w:t xml:space="preserve">, </w:t>
      </w:r>
      <w:r w:rsidRPr="006C05BC">
        <w:rPr>
          <w:rFonts w:ascii="Arial" w:hAnsi="Arial" w:cs="Arial"/>
          <w:sz w:val="20"/>
        </w:rPr>
        <w:t xml:space="preserve">systems modelling and analysis, model </w:t>
      </w:r>
      <w:r w:rsidR="00621EFD">
        <w:rPr>
          <w:rFonts w:ascii="Arial" w:hAnsi="Arial" w:cs="Arial"/>
          <w:sz w:val="20"/>
        </w:rPr>
        <w:t xml:space="preserve">re-use via </w:t>
      </w:r>
      <w:r w:rsidRPr="006C05BC">
        <w:rPr>
          <w:rFonts w:ascii="Arial" w:hAnsi="Arial" w:cs="Arial"/>
          <w:sz w:val="20"/>
        </w:rPr>
        <w:t>catalogues</w:t>
      </w:r>
      <w:r w:rsidR="00621EFD">
        <w:rPr>
          <w:rFonts w:ascii="Arial" w:hAnsi="Arial" w:cs="Arial"/>
          <w:sz w:val="20"/>
        </w:rPr>
        <w:t>.</w:t>
      </w:r>
    </w:p>
    <w:p w14:paraId="73050906" w14:textId="3CCD743E" w:rsidR="007763E7" w:rsidRPr="006C05BC" w:rsidRDefault="007763E7" w:rsidP="007763E7">
      <w:pPr>
        <w:jc w:val="both"/>
        <w:rPr>
          <w:rFonts w:ascii="Arial" w:hAnsi="Arial" w:cs="Arial"/>
          <w:sz w:val="20"/>
        </w:rPr>
      </w:pPr>
      <w:r w:rsidRPr="006C05BC">
        <w:rPr>
          <w:rFonts w:ascii="Arial" w:hAnsi="Arial" w:cs="Arial"/>
          <w:sz w:val="20"/>
        </w:rPr>
        <w:t>Nevertheless,</w:t>
      </w:r>
      <w:r w:rsidR="0068603B">
        <w:rPr>
          <w:rFonts w:ascii="Arial" w:hAnsi="Arial" w:cs="Arial"/>
          <w:sz w:val="20"/>
        </w:rPr>
        <w:t xml:space="preserve"> there are limitations concerning the manageable number of system options both on the tool and the user level</w:t>
      </w:r>
      <w:r w:rsidRPr="006C05BC">
        <w:rPr>
          <w:rFonts w:ascii="Arial" w:hAnsi="Arial" w:cs="Arial"/>
          <w:sz w:val="20"/>
        </w:rPr>
        <w:t>. The Siemens prototype for generative engineering, Dx</w:t>
      </w:r>
      <w:r w:rsidR="00D2752F">
        <w:rPr>
          <w:rFonts w:ascii="Arial" w:hAnsi="Arial" w:cs="Arial"/>
          <w:sz w:val="20"/>
        </w:rPr>
        <w:t xml:space="preserve"> [2]</w:t>
      </w:r>
      <w:r w:rsidRPr="006C05BC">
        <w:rPr>
          <w:rFonts w:ascii="Arial" w:hAnsi="Arial" w:cs="Arial"/>
          <w:sz w:val="20"/>
        </w:rPr>
        <w:t>, is attempting to overcome this limitation by enabling automatic synthesis and evaluation of architecture variants.</w:t>
      </w:r>
    </w:p>
    <w:p w14:paraId="23381355" w14:textId="5E027BE7" w:rsidR="007763E7" w:rsidRPr="006C05BC" w:rsidRDefault="00BD5A70" w:rsidP="00C008F8">
      <w:pPr>
        <w:spacing w:after="120"/>
        <w:jc w:val="both"/>
        <w:rPr>
          <w:rFonts w:ascii="Arial" w:hAnsi="Arial" w:cs="Arial"/>
          <w:sz w:val="20"/>
        </w:rPr>
      </w:pPr>
      <w:r>
        <w:rPr>
          <w:rFonts w:ascii="Arial" w:hAnsi="Arial" w:cs="Arial"/>
          <w:sz w:val="20"/>
        </w:rPr>
        <w:t>The motivation for the Generative Concurrent Design (GCD) project as a collaboration between RHEA, Siemens and OHB is to develop a combined prototype of these two tools</w:t>
      </w:r>
      <w:r w:rsidR="007763E7" w:rsidRPr="006C05BC">
        <w:rPr>
          <w:rFonts w:ascii="Arial" w:hAnsi="Arial" w:cs="Arial"/>
          <w:sz w:val="20"/>
        </w:rPr>
        <w:t xml:space="preserve">. Speaking the language of goals and constraints, engineers will </w:t>
      </w:r>
      <w:r w:rsidR="009501FF">
        <w:rPr>
          <w:rFonts w:ascii="Arial" w:hAnsi="Arial" w:cs="Arial"/>
          <w:sz w:val="20"/>
        </w:rPr>
        <w:t xml:space="preserve">therefore </w:t>
      </w:r>
      <w:r w:rsidR="007763E7" w:rsidRPr="006C05BC">
        <w:rPr>
          <w:rFonts w:ascii="Arial" w:hAnsi="Arial" w:cs="Arial"/>
          <w:sz w:val="20"/>
        </w:rPr>
        <w:t>be</w:t>
      </w:r>
      <w:r w:rsidR="009501FF">
        <w:rPr>
          <w:rFonts w:ascii="Arial" w:hAnsi="Arial" w:cs="Arial"/>
          <w:sz w:val="20"/>
        </w:rPr>
        <w:t xml:space="preserve"> </w:t>
      </w:r>
      <w:r w:rsidR="007763E7" w:rsidRPr="006C05BC">
        <w:rPr>
          <w:rFonts w:ascii="Arial" w:hAnsi="Arial" w:cs="Arial"/>
          <w:sz w:val="20"/>
        </w:rPr>
        <w:t xml:space="preserve">able to collaboratively </w:t>
      </w:r>
      <w:r w:rsidR="007763E7" w:rsidRPr="000732F6">
        <w:rPr>
          <w:rFonts w:ascii="Arial" w:hAnsi="Arial" w:cs="Arial"/>
          <w:sz w:val="20"/>
        </w:rPr>
        <w:t xml:space="preserve">explore </w:t>
      </w:r>
      <w:r w:rsidR="00FD1FB1" w:rsidRPr="000732F6">
        <w:rPr>
          <w:rFonts w:ascii="Arial" w:hAnsi="Arial" w:cs="Arial"/>
          <w:sz w:val="20"/>
        </w:rPr>
        <w:t>a larger</w:t>
      </w:r>
      <w:r w:rsidR="007763E7" w:rsidRPr="000732F6">
        <w:rPr>
          <w:rFonts w:ascii="Arial" w:hAnsi="Arial" w:cs="Arial"/>
          <w:sz w:val="20"/>
        </w:rPr>
        <w:t xml:space="preserve"> design-space</w:t>
      </w:r>
      <w:r w:rsidR="009501FF" w:rsidRPr="000732F6">
        <w:rPr>
          <w:rFonts w:ascii="Arial" w:hAnsi="Arial" w:cs="Arial"/>
          <w:sz w:val="20"/>
        </w:rPr>
        <w:t>.</w:t>
      </w:r>
      <w:r w:rsidR="009501FF">
        <w:rPr>
          <w:rFonts w:ascii="Arial" w:hAnsi="Arial" w:cs="Arial"/>
          <w:sz w:val="20"/>
        </w:rPr>
        <w:t xml:space="preserve"> </w:t>
      </w:r>
      <w:r w:rsidR="007763E7" w:rsidRPr="006C05BC">
        <w:rPr>
          <w:rFonts w:ascii="Arial" w:hAnsi="Arial" w:cs="Arial"/>
          <w:sz w:val="20"/>
        </w:rPr>
        <w:t>Design is co-executed by the users and the computer, exploiting the computational power of the latter and the ability to pose the right questions of the formers. This workflow can be outlined in the following steps:</w:t>
      </w:r>
    </w:p>
    <w:p w14:paraId="12DCD4DE" w14:textId="1169FE23" w:rsidR="009D000D" w:rsidRPr="009D000D" w:rsidRDefault="009D000D" w:rsidP="009D000D">
      <w:pPr>
        <w:pStyle w:val="Paragrafoelenco"/>
        <w:numPr>
          <w:ilvl w:val="0"/>
          <w:numId w:val="8"/>
        </w:numPr>
        <w:spacing w:after="120"/>
        <w:jc w:val="both"/>
        <w:rPr>
          <w:rFonts w:ascii="Arial" w:hAnsi="Arial" w:cs="Arial"/>
          <w:sz w:val="20"/>
        </w:rPr>
      </w:pPr>
      <w:r w:rsidRPr="009D000D">
        <w:rPr>
          <w:rFonts w:ascii="Arial" w:hAnsi="Arial" w:cs="Arial"/>
          <w:sz w:val="20"/>
        </w:rPr>
        <w:t>A CD Team makes use of CDP4® to define the</w:t>
      </w:r>
      <w:r w:rsidR="00F100FD">
        <w:rPr>
          <w:rFonts w:ascii="Arial" w:hAnsi="Arial" w:cs="Arial"/>
          <w:sz w:val="20"/>
        </w:rPr>
        <w:t xml:space="preserve"> initial</w:t>
      </w:r>
      <w:r w:rsidRPr="009D000D">
        <w:rPr>
          <w:rFonts w:ascii="Arial" w:hAnsi="Arial" w:cs="Arial"/>
          <w:sz w:val="20"/>
        </w:rPr>
        <w:t xml:space="preserve"> elements of the system of interest and to implicitly model all its potential architectures in one single, condensed diagram</w:t>
      </w:r>
      <w:r w:rsidR="00F100FD">
        <w:rPr>
          <w:rFonts w:ascii="Arial" w:hAnsi="Arial" w:cs="Arial"/>
          <w:sz w:val="20"/>
        </w:rPr>
        <w:t xml:space="preserve"> view</w:t>
      </w:r>
      <w:r w:rsidRPr="009D000D">
        <w:rPr>
          <w:rFonts w:ascii="Arial" w:hAnsi="Arial" w:cs="Arial"/>
          <w:sz w:val="20"/>
        </w:rPr>
        <w:t>, by means of design constraints.</w:t>
      </w:r>
    </w:p>
    <w:p w14:paraId="3CDF038B" w14:textId="063E54D6" w:rsidR="009D000D" w:rsidRPr="009D000D" w:rsidRDefault="009D000D" w:rsidP="009D000D">
      <w:pPr>
        <w:pStyle w:val="Paragrafoelenco"/>
        <w:numPr>
          <w:ilvl w:val="0"/>
          <w:numId w:val="8"/>
        </w:numPr>
        <w:spacing w:after="120"/>
        <w:jc w:val="both"/>
        <w:rPr>
          <w:rFonts w:ascii="Arial" w:hAnsi="Arial" w:cs="Arial"/>
          <w:sz w:val="20"/>
        </w:rPr>
      </w:pPr>
      <w:r w:rsidRPr="009D000D">
        <w:rPr>
          <w:rFonts w:ascii="Arial" w:hAnsi="Arial" w:cs="Arial"/>
          <w:sz w:val="20"/>
        </w:rPr>
        <w:t xml:space="preserve">Dx is used to compute all the feasible architecture variants from that single </w:t>
      </w:r>
      <w:r w:rsidR="0082680D">
        <w:rPr>
          <w:rFonts w:ascii="Arial" w:hAnsi="Arial" w:cs="Arial"/>
          <w:sz w:val="20"/>
        </w:rPr>
        <w:t>model</w:t>
      </w:r>
      <w:r w:rsidRPr="009D000D">
        <w:rPr>
          <w:rFonts w:ascii="Arial" w:hAnsi="Arial" w:cs="Arial"/>
          <w:sz w:val="20"/>
        </w:rPr>
        <w:t>; if the feasible solutions are not reasonable, the user can return to Step 1 and make adjustments.</w:t>
      </w:r>
    </w:p>
    <w:p w14:paraId="5297BC7E" w14:textId="77777777" w:rsidR="009D000D" w:rsidRPr="009D000D" w:rsidRDefault="009D000D" w:rsidP="009D000D">
      <w:pPr>
        <w:pStyle w:val="Paragrafoelenco"/>
        <w:numPr>
          <w:ilvl w:val="0"/>
          <w:numId w:val="8"/>
        </w:numPr>
        <w:spacing w:after="120"/>
        <w:jc w:val="both"/>
        <w:rPr>
          <w:rFonts w:ascii="Arial" w:hAnsi="Arial" w:cs="Arial"/>
          <w:sz w:val="20"/>
        </w:rPr>
      </w:pPr>
      <w:r w:rsidRPr="009D000D">
        <w:rPr>
          <w:rFonts w:ascii="Arial" w:hAnsi="Arial" w:cs="Arial"/>
          <w:sz w:val="20"/>
        </w:rPr>
        <w:t>A domain-specific tool can be used to simulate the behavioural constructs associated to the feasible architecture solutions; for less complex parametric calculations, a simple script can also be used.</w:t>
      </w:r>
    </w:p>
    <w:p w14:paraId="2227152D" w14:textId="77777777" w:rsidR="009D000D" w:rsidRPr="009D000D" w:rsidRDefault="009D000D" w:rsidP="009D000D">
      <w:pPr>
        <w:pStyle w:val="Paragrafoelenco"/>
        <w:numPr>
          <w:ilvl w:val="0"/>
          <w:numId w:val="8"/>
        </w:numPr>
        <w:spacing w:after="120"/>
        <w:jc w:val="both"/>
        <w:rPr>
          <w:rFonts w:ascii="Arial" w:hAnsi="Arial" w:cs="Arial"/>
          <w:sz w:val="20"/>
        </w:rPr>
      </w:pPr>
      <w:r w:rsidRPr="009D000D">
        <w:rPr>
          <w:rFonts w:ascii="Arial" w:hAnsi="Arial" w:cs="Arial"/>
          <w:sz w:val="20"/>
        </w:rPr>
        <w:t>Dx displays the evaluated results on a pareto plot and other types of charts, so that the CD Team can make trade-offs by filtering, sorting and selecting the preferred option(s) against user-defined criteria.</w:t>
      </w:r>
    </w:p>
    <w:p w14:paraId="50642C4C" w14:textId="77777777" w:rsidR="009D000D" w:rsidRPr="009D000D" w:rsidRDefault="009D000D" w:rsidP="009D000D">
      <w:pPr>
        <w:pStyle w:val="Paragrafoelenco"/>
        <w:numPr>
          <w:ilvl w:val="0"/>
          <w:numId w:val="8"/>
        </w:numPr>
        <w:spacing w:after="120"/>
        <w:jc w:val="both"/>
        <w:rPr>
          <w:rFonts w:ascii="Arial" w:hAnsi="Arial" w:cs="Arial"/>
          <w:sz w:val="20"/>
        </w:rPr>
      </w:pPr>
      <w:r w:rsidRPr="009D000D">
        <w:rPr>
          <w:rFonts w:ascii="Arial" w:hAnsi="Arial" w:cs="Arial"/>
          <w:sz w:val="20"/>
        </w:rPr>
        <w:t>The selected option(s) from Dx are added to CDP4, becoming the new baseline for another iteration from Step 1 or for detailed design, hence following a spiral process. These steps can be performed for the whole system or in parallel for its constituents e.g. sub-systems, managed by domain experts.</w:t>
      </w:r>
    </w:p>
    <w:p w14:paraId="64C37764" w14:textId="3D32313A" w:rsidR="00D816B4" w:rsidRPr="000F6562" w:rsidRDefault="007763E7" w:rsidP="000F6562">
      <w:pPr>
        <w:spacing w:after="120"/>
        <w:jc w:val="both"/>
        <w:rPr>
          <w:rFonts w:ascii="Arial" w:hAnsi="Arial" w:cs="Arial"/>
          <w:sz w:val="20"/>
        </w:rPr>
      </w:pPr>
      <w:r w:rsidRPr="006C05BC">
        <w:rPr>
          <w:rFonts w:ascii="Arial" w:hAnsi="Arial" w:cs="Arial"/>
          <w:sz w:val="20"/>
        </w:rPr>
        <w:t xml:space="preserve">GCD represents a </w:t>
      </w:r>
      <w:r w:rsidR="000732F6">
        <w:rPr>
          <w:rFonts w:ascii="Arial" w:hAnsi="Arial" w:cs="Arial"/>
          <w:sz w:val="20"/>
        </w:rPr>
        <w:t>paradigm shift</w:t>
      </w:r>
      <w:r w:rsidRPr="006C05BC">
        <w:rPr>
          <w:rFonts w:ascii="Arial" w:hAnsi="Arial" w:cs="Arial"/>
          <w:sz w:val="20"/>
        </w:rPr>
        <w:t xml:space="preserve"> for concurrent systems architecting,</w:t>
      </w:r>
      <w:r w:rsidR="00FD1FB1">
        <w:rPr>
          <w:rFonts w:ascii="Arial" w:hAnsi="Arial" w:cs="Arial"/>
          <w:sz w:val="20"/>
        </w:rPr>
        <w:t xml:space="preserve"> </w:t>
      </w:r>
      <w:r w:rsidR="00FD1FB1" w:rsidRPr="000732F6">
        <w:rPr>
          <w:rFonts w:ascii="Arial" w:hAnsi="Arial" w:cs="Arial"/>
          <w:sz w:val="20"/>
        </w:rPr>
        <w:t>speeding up the overall process and</w:t>
      </w:r>
      <w:r w:rsidR="00FD1FB1">
        <w:rPr>
          <w:rFonts w:ascii="Arial" w:hAnsi="Arial" w:cs="Arial"/>
          <w:sz w:val="20"/>
        </w:rPr>
        <w:t xml:space="preserve"> providing an improved starting point for the subsequent detailed design phases</w:t>
      </w:r>
      <w:r w:rsidRPr="006C05BC">
        <w:rPr>
          <w:rFonts w:ascii="Arial" w:hAnsi="Arial" w:cs="Arial"/>
          <w:sz w:val="20"/>
        </w:rPr>
        <w:t>. This paper – written in the context of the GCD co-funded GSTP activity – presents a mode</w:t>
      </w:r>
      <w:r w:rsidR="001C5A6B">
        <w:rPr>
          <w:rFonts w:ascii="Arial" w:hAnsi="Arial" w:cs="Arial"/>
          <w:sz w:val="20"/>
        </w:rPr>
        <w:t>l</w:t>
      </w:r>
      <w:r w:rsidRPr="006C05BC">
        <w:rPr>
          <w:rFonts w:ascii="Arial" w:hAnsi="Arial" w:cs="Arial"/>
          <w:sz w:val="20"/>
        </w:rPr>
        <w:t>l</w:t>
      </w:r>
      <w:r w:rsidR="001C5A6B">
        <w:rPr>
          <w:rFonts w:ascii="Arial" w:hAnsi="Arial" w:cs="Arial"/>
          <w:sz w:val="20"/>
        </w:rPr>
        <w:t>isation</w:t>
      </w:r>
      <w:r w:rsidRPr="006C05BC">
        <w:rPr>
          <w:rFonts w:ascii="Arial" w:hAnsi="Arial" w:cs="Arial"/>
          <w:sz w:val="20"/>
        </w:rPr>
        <w:t xml:space="preserve"> of Copernicus Next Generation, using generative capabilities in a typical Phase-0 study. </w:t>
      </w:r>
      <w:r w:rsidR="00EB591C">
        <w:rPr>
          <w:rFonts w:ascii="Arial" w:hAnsi="Arial" w:cs="Arial"/>
          <w:sz w:val="20"/>
        </w:rPr>
        <w:t>It represents</w:t>
      </w:r>
      <w:r w:rsidRPr="006C05BC">
        <w:rPr>
          <w:rFonts w:ascii="Arial" w:hAnsi="Arial" w:cs="Arial"/>
          <w:sz w:val="20"/>
        </w:rPr>
        <w:t xml:space="preserve"> </w:t>
      </w:r>
      <w:r w:rsidR="00EB591C">
        <w:rPr>
          <w:rFonts w:ascii="Arial" w:hAnsi="Arial" w:cs="Arial"/>
          <w:sz w:val="20"/>
        </w:rPr>
        <w:t xml:space="preserve">the third step of </w:t>
      </w:r>
      <w:r w:rsidR="00D60BD6">
        <w:rPr>
          <w:rFonts w:ascii="Arial" w:hAnsi="Arial" w:cs="Arial"/>
          <w:sz w:val="20"/>
        </w:rPr>
        <w:t>the</w:t>
      </w:r>
      <w:r w:rsidR="00EB591C">
        <w:rPr>
          <w:rFonts w:ascii="Arial" w:hAnsi="Arial" w:cs="Arial"/>
          <w:sz w:val="20"/>
        </w:rPr>
        <w:t xml:space="preserve"> bottom-up </w:t>
      </w:r>
      <w:r w:rsidR="00D60BD6">
        <w:rPr>
          <w:rFonts w:ascii="Arial" w:hAnsi="Arial" w:cs="Arial"/>
          <w:sz w:val="20"/>
        </w:rPr>
        <w:t>GCD</w:t>
      </w:r>
      <w:r w:rsidR="00461B56">
        <w:rPr>
          <w:rFonts w:ascii="Arial" w:hAnsi="Arial" w:cs="Arial"/>
          <w:sz w:val="20"/>
        </w:rPr>
        <w:t xml:space="preserve"> </w:t>
      </w:r>
      <w:r w:rsidR="00EB591C">
        <w:rPr>
          <w:rFonts w:ascii="Arial" w:hAnsi="Arial" w:cs="Arial"/>
          <w:sz w:val="20"/>
        </w:rPr>
        <w:t xml:space="preserve">validation, indended </w:t>
      </w:r>
      <w:r w:rsidRPr="006C05BC">
        <w:rPr>
          <w:rFonts w:ascii="Arial" w:hAnsi="Arial" w:cs="Arial"/>
          <w:sz w:val="20"/>
        </w:rPr>
        <w:t xml:space="preserve">to investigate how </w:t>
      </w:r>
      <w:r w:rsidR="00D60BD6">
        <w:rPr>
          <w:rFonts w:ascii="Arial" w:hAnsi="Arial" w:cs="Arial"/>
          <w:sz w:val="20"/>
        </w:rPr>
        <w:t xml:space="preserve">architecting differs among </w:t>
      </w:r>
      <w:r w:rsidR="00EB591C">
        <w:rPr>
          <w:rFonts w:ascii="Arial" w:hAnsi="Arial" w:cs="Arial"/>
          <w:sz w:val="20"/>
        </w:rPr>
        <w:t>“Sub-system”</w:t>
      </w:r>
      <w:r w:rsidR="00D60BD6">
        <w:rPr>
          <w:rFonts w:ascii="Arial" w:hAnsi="Arial" w:cs="Arial"/>
          <w:sz w:val="20"/>
        </w:rPr>
        <w:t xml:space="preserve">, “Systems” and </w:t>
      </w:r>
      <w:r w:rsidR="00D60BD6" w:rsidRPr="006C05BC">
        <w:rPr>
          <w:rFonts w:ascii="Arial" w:hAnsi="Arial" w:cs="Arial"/>
          <w:sz w:val="20"/>
        </w:rPr>
        <w:t xml:space="preserve">“Systems of </w:t>
      </w:r>
      <w:r w:rsidR="00D60BD6">
        <w:rPr>
          <w:rFonts w:ascii="Arial" w:hAnsi="Arial" w:cs="Arial"/>
          <w:sz w:val="20"/>
        </w:rPr>
        <w:t>S</w:t>
      </w:r>
      <w:r w:rsidR="00D60BD6" w:rsidRPr="006C05BC">
        <w:rPr>
          <w:rFonts w:ascii="Arial" w:hAnsi="Arial" w:cs="Arial"/>
          <w:sz w:val="20"/>
        </w:rPr>
        <w:t>ystems (SoS)”</w:t>
      </w:r>
      <w:r w:rsidRPr="006C05BC">
        <w:rPr>
          <w:rFonts w:ascii="Arial" w:hAnsi="Arial" w:cs="Arial"/>
          <w:sz w:val="20"/>
        </w:rPr>
        <w:t xml:space="preserve"> in </w:t>
      </w:r>
      <w:r w:rsidR="000F6562">
        <w:rPr>
          <w:rFonts w:ascii="Arial" w:hAnsi="Arial" w:cs="Arial"/>
          <w:sz w:val="20"/>
        </w:rPr>
        <w:t>E</w:t>
      </w:r>
      <w:r w:rsidR="00D65E2E">
        <w:rPr>
          <w:rFonts w:ascii="Arial" w:hAnsi="Arial" w:cs="Arial"/>
          <w:sz w:val="20"/>
        </w:rPr>
        <w:t>CSS-E</w:t>
      </w:r>
      <w:r w:rsidRPr="006C05BC">
        <w:rPr>
          <w:rFonts w:ascii="Arial" w:hAnsi="Arial" w:cs="Arial"/>
          <w:sz w:val="20"/>
        </w:rPr>
        <w:t>-TM-10-25</w:t>
      </w:r>
      <w:r w:rsidR="000F6562">
        <w:rPr>
          <w:rFonts w:ascii="Arial" w:hAnsi="Arial" w:cs="Arial"/>
          <w:sz w:val="20"/>
        </w:rPr>
        <w:t xml:space="preserve"> [3]</w:t>
      </w:r>
      <w:r w:rsidRPr="006C05BC">
        <w:rPr>
          <w:rFonts w:ascii="Arial" w:hAnsi="Arial" w:cs="Arial"/>
          <w:sz w:val="20"/>
        </w:rPr>
        <w:t>. Therefore, this work both provide</w:t>
      </w:r>
      <w:r w:rsidR="00FD1FB1">
        <w:rPr>
          <w:rFonts w:ascii="Arial" w:hAnsi="Arial" w:cs="Arial"/>
          <w:sz w:val="20"/>
        </w:rPr>
        <w:t>s</w:t>
      </w:r>
      <w:r w:rsidRPr="006C05BC">
        <w:rPr>
          <w:rFonts w:ascii="Arial" w:hAnsi="Arial" w:cs="Arial"/>
          <w:sz w:val="20"/>
        </w:rPr>
        <w:t xml:space="preserve"> a</w:t>
      </w:r>
      <w:r w:rsidR="00D60BD6">
        <w:rPr>
          <w:rFonts w:ascii="Arial" w:hAnsi="Arial" w:cs="Arial"/>
          <w:sz w:val="20"/>
        </w:rPr>
        <w:t>n</w:t>
      </w:r>
      <w:r w:rsidRPr="006C05BC">
        <w:rPr>
          <w:rFonts w:ascii="Arial" w:hAnsi="Arial" w:cs="Arial"/>
          <w:sz w:val="20"/>
        </w:rPr>
        <w:t xml:space="preserve"> </w:t>
      </w:r>
      <w:r w:rsidR="00D60BD6">
        <w:rPr>
          <w:rFonts w:ascii="Arial" w:hAnsi="Arial" w:cs="Arial"/>
          <w:sz w:val="20"/>
        </w:rPr>
        <w:t xml:space="preserve">architecting </w:t>
      </w:r>
      <w:r w:rsidRPr="006C05BC">
        <w:rPr>
          <w:rFonts w:ascii="Arial" w:hAnsi="Arial" w:cs="Arial"/>
          <w:sz w:val="20"/>
        </w:rPr>
        <w:t xml:space="preserve">strategy which </w:t>
      </w:r>
      <w:r w:rsidR="00D60BD6">
        <w:rPr>
          <w:rFonts w:ascii="Arial" w:hAnsi="Arial" w:cs="Arial"/>
          <w:sz w:val="20"/>
        </w:rPr>
        <w:t>can be</w:t>
      </w:r>
      <w:r w:rsidRPr="006C05BC">
        <w:rPr>
          <w:rFonts w:ascii="Arial" w:hAnsi="Arial" w:cs="Arial"/>
          <w:sz w:val="20"/>
        </w:rPr>
        <w:t xml:space="preserve"> </w:t>
      </w:r>
      <w:r w:rsidR="00D60BD6">
        <w:rPr>
          <w:rFonts w:ascii="Arial" w:hAnsi="Arial" w:cs="Arial"/>
          <w:sz w:val="20"/>
        </w:rPr>
        <w:t>generalised</w:t>
      </w:r>
      <w:r w:rsidRPr="006C05BC">
        <w:rPr>
          <w:rFonts w:ascii="Arial" w:hAnsi="Arial" w:cs="Arial"/>
          <w:sz w:val="20"/>
        </w:rPr>
        <w:t xml:space="preserve"> for other SoS use-cases (in different industrial applications) and contribute</w:t>
      </w:r>
      <w:r w:rsidR="00D65E2E">
        <w:rPr>
          <w:rFonts w:ascii="Arial" w:hAnsi="Arial" w:cs="Arial"/>
          <w:sz w:val="20"/>
        </w:rPr>
        <w:t>s</w:t>
      </w:r>
      <w:r w:rsidRPr="006C05BC">
        <w:rPr>
          <w:rFonts w:ascii="Arial" w:hAnsi="Arial" w:cs="Arial"/>
          <w:sz w:val="20"/>
        </w:rPr>
        <w:t xml:space="preserve"> to assess whether extensions to </w:t>
      </w:r>
      <w:r w:rsidR="00D65E2E">
        <w:rPr>
          <w:rFonts w:ascii="Arial" w:hAnsi="Arial" w:cs="Arial"/>
          <w:sz w:val="20"/>
        </w:rPr>
        <w:t>ECSS-E</w:t>
      </w:r>
      <w:r w:rsidR="00D65E2E" w:rsidRPr="006C05BC">
        <w:rPr>
          <w:rFonts w:ascii="Arial" w:hAnsi="Arial" w:cs="Arial"/>
          <w:sz w:val="20"/>
        </w:rPr>
        <w:t>-TM-10-25</w:t>
      </w:r>
      <w:r w:rsidRPr="006C05BC">
        <w:rPr>
          <w:rFonts w:ascii="Arial" w:hAnsi="Arial" w:cs="Arial"/>
          <w:sz w:val="20"/>
        </w:rPr>
        <w:t xml:space="preserve"> are necessary to successfully support GCD.</w:t>
      </w:r>
    </w:p>
    <w:p w14:paraId="076CBFD5" w14:textId="72080406" w:rsidR="00D816B4" w:rsidRPr="004719BC" w:rsidRDefault="00D816B4" w:rsidP="007763E7">
      <w:pPr>
        <w:pStyle w:val="Paragrafoelenco"/>
        <w:tabs>
          <w:tab w:val="left" w:pos="-72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2807BBE5" w14:textId="623185F6" w:rsidR="000F6562" w:rsidRDefault="003F0AF8" w:rsidP="006D31EF">
      <w:pPr>
        <w:pStyle w:val="Nessunaspaziatura"/>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r w:rsidR="000F6562" w:rsidRPr="00102C22">
        <w:rPr>
          <w:rFonts w:ascii="Arial" w:hAnsi="Arial" w:cs="Arial"/>
          <w:color w:val="000000" w:themeColor="text1"/>
          <w:sz w:val="20"/>
          <w:lang w:val="en-GB"/>
        </w:rPr>
        <w:t xml:space="preserve">CDP4-IME </w:t>
      </w:r>
      <w:hyperlink r:id="rId11" w:history="1">
        <w:r w:rsidR="000F6562" w:rsidRPr="006F0F5A">
          <w:rPr>
            <w:rStyle w:val="Collegamentoipertestuale"/>
            <w:rFonts w:ascii="Arial" w:hAnsi="Arial" w:cs="Arial"/>
            <w:sz w:val="20"/>
            <w:lang w:val="en-GB"/>
          </w:rPr>
          <w:t>https://www.rheagroup.com/cdp</w:t>
        </w:r>
      </w:hyperlink>
    </w:p>
    <w:p w14:paraId="6A25865C" w14:textId="52EE494C" w:rsidR="003F0AF8" w:rsidRDefault="003F0AF8" w:rsidP="006D31EF">
      <w:pPr>
        <w:pStyle w:val="Nessunaspaziatura"/>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[2] </w:t>
      </w:r>
      <w:r w:rsidR="00D2752F" w:rsidRPr="00D2752F">
        <w:rPr>
          <w:rFonts w:ascii="Arial" w:hAnsi="Arial" w:cs="Arial"/>
          <w:color w:val="000000" w:themeColor="text1"/>
          <w:sz w:val="20"/>
          <w:lang w:val="en-GB"/>
        </w:rPr>
        <w:t>Menu, J., Nicolai, M., Zeller, M., “Designing Fail-Safe Architectures for Aircraft Electrical Power Systems”, AIAA/IEEE Electric Aircraft Technologies Symposium, AIAA Propulsion and Energy Forum, (AIAA 2018-5032), 2018</w:t>
      </w:r>
    </w:p>
    <w:p w14:paraId="62109E19" w14:textId="328E133A" w:rsidR="001A4342" w:rsidRPr="0045005F" w:rsidRDefault="000F6562" w:rsidP="0045005F">
      <w:pPr>
        <w:pStyle w:val="Nessunaspaziatura"/>
        <w:jc w:val="both"/>
        <w:rPr>
          <w:rFonts w:ascii="Arial" w:hAnsi="Arial" w:cs="Arial"/>
          <w:color w:val="000000" w:themeColor="text1"/>
          <w:sz w:val="20"/>
          <w:lang w:val="en-GB"/>
        </w:rPr>
      </w:pPr>
      <w:r w:rsidRPr="00102C22">
        <w:rPr>
          <w:rFonts w:ascii="Arial" w:hAnsi="Arial" w:cs="Arial"/>
          <w:color w:val="000000" w:themeColor="text1"/>
          <w:sz w:val="20"/>
          <w:lang w:val="en-GB"/>
        </w:rPr>
        <w:t>[</w:t>
      </w:r>
      <w:r w:rsidR="00621EFD">
        <w:rPr>
          <w:rFonts w:ascii="Arial" w:hAnsi="Arial" w:cs="Arial"/>
          <w:color w:val="000000" w:themeColor="text1"/>
          <w:sz w:val="20"/>
          <w:lang w:val="en-GB"/>
        </w:rPr>
        <w:t>3</w:t>
      </w:r>
      <w:r w:rsidRPr="00102C22">
        <w:rPr>
          <w:rFonts w:ascii="Arial" w:hAnsi="Arial" w:cs="Arial"/>
          <w:color w:val="000000" w:themeColor="text1"/>
          <w:sz w:val="20"/>
          <w:lang w:val="en-GB"/>
        </w:rPr>
        <w:t>] ECSS E-TM-10-25A, “Space engineering – Engineering design model data exchange (CDF)”, ECSS Secretariat, made available 20 October 2010.</w:t>
      </w:r>
    </w:p>
    <w:sectPr w:rsidR="001A4342" w:rsidRPr="0045005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A1E39" w14:textId="77777777" w:rsidR="00A8771C" w:rsidRDefault="00A8771C" w:rsidP="002B3D2E">
      <w:r>
        <w:separator/>
      </w:r>
    </w:p>
  </w:endnote>
  <w:endnote w:type="continuationSeparator" w:id="0">
    <w:p w14:paraId="162BC663" w14:textId="77777777" w:rsidR="00A8771C" w:rsidRDefault="00A8771C"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79917" w14:textId="77777777" w:rsidR="00A8771C" w:rsidRDefault="00A8771C" w:rsidP="002B3D2E">
      <w:r>
        <w:separator/>
      </w:r>
    </w:p>
  </w:footnote>
  <w:footnote w:type="continuationSeparator" w:id="0">
    <w:p w14:paraId="7B9644D0" w14:textId="77777777" w:rsidR="00A8771C" w:rsidRDefault="00A8771C"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58C7252D"/>
    <w:multiLevelType w:val="hybridMultilevel"/>
    <w:tmpl w:val="02361A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D42A51"/>
    <w:multiLevelType w:val="hybridMultilevel"/>
    <w:tmpl w:val="1E888D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7"/>
  </w:num>
  <w:num w:numId="4">
    <w:abstractNumId w:val="3"/>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15B41"/>
    <w:rsid w:val="00067049"/>
    <w:rsid w:val="000732F6"/>
    <w:rsid w:val="000F6562"/>
    <w:rsid w:val="001062A3"/>
    <w:rsid w:val="0016733A"/>
    <w:rsid w:val="001A2217"/>
    <w:rsid w:val="001A4342"/>
    <w:rsid w:val="001B0137"/>
    <w:rsid w:val="001B4F5F"/>
    <w:rsid w:val="001B7EB8"/>
    <w:rsid w:val="001C07E6"/>
    <w:rsid w:val="001C53CE"/>
    <w:rsid w:val="001C5A6B"/>
    <w:rsid w:val="001D7027"/>
    <w:rsid w:val="001E5A02"/>
    <w:rsid w:val="0021043A"/>
    <w:rsid w:val="00233EAB"/>
    <w:rsid w:val="002551C5"/>
    <w:rsid w:val="0027138A"/>
    <w:rsid w:val="00273A1C"/>
    <w:rsid w:val="002B0E94"/>
    <w:rsid w:val="002B3D2E"/>
    <w:rsid w:val="00346EF7"/>
    <w:rsid w:val="003621EB"/>
    <w:rsid w:val="003F0AF8"/>
    <w:rsid w:val="0045005F"/>
    <w:rsid w:val="00461B56"/>
    <w:rsid w:val="004626DE"/>
    <w:rsid w:val="004719BC"/>
    <w:rsid w:val="00474E07"/>
    <w:rsid w:val="0050163D"/>
    <w:rsid w:val="0050245D"/>
    <w:rsid w:val="005028D7"/>
    <w:rsid w:val="00530AD7"/>
    <w:rsid w:val="005D501E"/>
    <w:rsid w:val="00614BDE"/>
    <w:rsid w:val="00621EFD"/>
    <w:rsid w:val="00635748"/>
    <w:rsid w:val="00676A0D"/>
    <w:rsid w:val="006809E1"/>
    <w:rsid w:val="0068603B"/>
    <w:rsid w:val="006D31EF"/>
    <w:rsid w:val="006E2678"/>
    <w:rsid w:val="007208A1"/>
    <w:rsid w:val="007728AF"/>
    <w:rsid w:val="007763E7"/>
    <w:rsid w:val="00781FA5"/>
    <w:rsid w:val="007E5AE9"/>
    <w:rsid w:val="007F2301"/>
    <w:rsid w:val="007F3CB6"/>
    <w:rsid w:val="008220AB"/>
    <w:rsid w:val="0082680D"/>
    <w:rsid w:val="008D25F1"/>
    <w:rsid w:val="00910260"/>
    <w:rsid w:val="009501FF"/>
    <w:rsid w:val="00955D18"/>
    <w:rsid w:val="00963135"/>
    <w:rsid w:val="00970F68"/>
    <w:rsid w:val="009B09EE"/>
    <w:rsid w:val="009C3932"/>
    <w:rsid w:val="009D000D"/>
    <w:rsid w:val="00A04231"/>
    <w:rsid w:val="00A30F89"/>
    <w:rsid w:val="00A81977"/>
    <w:rsid w:val="00A86753"/>
    <w:rsid w:val="00A8771C"/>
    <w:rsid w:val="00AA2605"/>
    <w:rsid w:val="00AB3DF0"/>
    <w:rsid w:val="00AC5B81"/>
    <w:rsid w:val="00AD0253"/>
    <w:rsid w:val="00AE29AC"/>
    <w:rsid w:val="00AE4669"/>
    <w:rsid w:val="00B3099F"/>
    <w:rsid w:val="00B325B2"/>
    <w:rsid w:val="00B42334"/>
    <w:rsid w:val="00B67AE3"/>
    <w:rsid w:val="00B82299"/>
    <w:rsid w:val="00B91303"/>
    <w:rsid w:val="00BC0956"/>
    <w:rsid w:val="00BC1C74"/>
    <w:rsid w:val="00BD5A70"/>
    <w:rsid w:val="00C008F8"/>
    <w:rsid w:val="00C26E50"/>
    <w:rsid w:val="00C45485"/>
    <w:rsid w:val="00CA2574"/>
    <w:rsid w:val="00CB6CA7"/>
    <w:rsid w:val="00CD0286"/>
    <w:rsid w:val="00D2752F"/>
    <w:rsid w:val="00D60BD6"/>
    <w:rsid w:val="00D64F94"/>
    <w:rsid w:val="00D65E2E"/>
    <w:rsid w:val="00D816B4"/>
    <w:rsid w:val="00D82FE6"/>
    <w:rsid w:val="00DA7F06"/>
    <w:rsid w:val="00DB37B6"/>
    <w:rsid w:val="00DC338E"/>
    <w:rsid w:val="00DC44CA"/>
    <w:rsid w:val="00E06F9E"/>
    <w:rsid w:val="00E272EB"/>
    <w:rsid w:val="00E70430"/>
    <w:rsid w:val="00E713CC"/>
    <w:rsid w:val="00EA719C"/>
    <w:rsid w:val="00EB4338"/>
    <w:rsid w:val="00EB591C"/>
    <w:rsid w:val="00ED24A9"/>
    <w:rsid w:val="00F100FD"/>
    <w:rsid w:val="00F352AE"/>
    <w:rsid w:val="00FA17A0"/>
    <w:rsid w:val="00FC29B6"/>
    <w:rsid w:val="00FD14FE"/>
    <w:rsid w:val="00FD1FB1"/>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ctiontext">
    <w:name w:val="Section_text"/>
    <w:basedOn w:val="Normale"/>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stofumetto">
    <w:name w:val="Balloon Text"/>
    <w:basedOn w:val="Normale"/>
    <w:link w:val="TestofumettoCarattere"/>
    <w:uiPriority w:val="99"/>
    <w:semiHidden/>
    <w:unhideWhenUsed/>
    <w:rsid w:val="00E27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e"/>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essunaspaziatura">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e"/>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Intestazione">
    <w:name w:val="header"/>
    <w:basedOn w:val="Normale"/>
    <w:link w:val="IntestazioneCarattere"/>
    <w:uiPriority w:val="99"/>
    <w:unhideWhenUsed/>
    <w:rsid w:val="002B3D2E"/>
    <w:pPr>
      <w:tabs>
        <w:tab w:val="center" w:pos="4536"/>
        <w:tab w:val="right" w:pos="9072"/>
      </w:tabs>
    </w:pPr>
  </w:style>
  <w:style w:type="character" w:customStyle="1" w:styleId="IntestazioneCarattere">
    <w:name w:val="Intestazione Carattere"/>
    <w:basedOn w:val="Carpredefinitoparagrafo"/>
    <w:link w:val="Intestazione"/>
    <w:uiPriority w:val="99"/>
    <w:rsid w:val="002B3D2E"/>
    <w:rPr>
      <w:rFonts w:ascii="Courier New" w:eastAsia="Times New Roman" w:hAnsi="Courier New" w:cs="Times New Roman"/>
      <w:snapToGrid w:val="0"/>
      <w:sz w:val="24"/>
      <w:szCs w:val="20"/>
      <w:lang w:eastAsia="nl-NL"/>
    </w:rPr>
  </w:style>
  <w:style w:type="paragraph" w:styleId="Pidipagina">
    <w:name w:val="footer"/>
    <w:basedOn w:val="Normale"/>
    <w:link w:val="PidipaginaCarattere"/>
    <w:uiPriority w:val="99"/>
    <w:unhideWhenUsed/>
    <w:rsid w:val="002B3D2E"/>
    <w:pPr>
      <w:tabs>
        <w:tab w:val="center" w:pos="4536"/>
        <w:tab w:val="right" w:pos="9072"/>
      </w:tabs>
    </w:pPr>
  </w:style>
  <w:style w:type="character" w:customStyle="1" w:styleId="PidipaginaCarattere">
    <w:name w:val="Piè di pagina Carattere"/>
    <w:basedOn w:val="Carpredefinitoparagrafo"/>
    <w:link w:val="Pidipagina"/>
    <w:uiPriority w:val="99"/>
    <w:rsid w:val="002B3D2E"/>
    <w:rPr>
      <w:rFonts w:ascii="Courier New" w:eastAsia="Times New Roman" w:hAnsi="Courier New" w:cs="Times New Roman"/>
      <w:snapToGrid w:val="0"/>
      <w:sz w:val="24"/>
      <w:szCs w:val="20"/>
      <w:lang w:eastAsia="nl-NL"/>
    </w:rPr>
  </w:style>
  <w:style w:type="character" w:styleId="Testosegnaposto">
    <w:name w:val="Placeholder Text"/>
    <w:basedOn w:val="Carpredefinitoparagrafo"/>
    <w:uiPriority w:val="99"/>
    <w:semiHidden/>
    <w:rsid w:val="00A86753"/>
    <w:rPr>
      <w:color w:val="808080"/>
    </w:rPr>
  </w:style>
  <w:style w:type="paragraph" w:styleId="Paragrafoelenco">
    <w:name w:val="List Paragraph"/>
    <w:basedOn w:val="Normale"/>
    <w:uiPriority w:val="34"/>
    <w:qFormat/>
    <w:rsid w:val="00CB6CA7"/>
    <w:pPr>
      <w:ind w:left="720"/>
      <w:contextualSpacing/>
    </w:pPr>
  </w:style>
  <w:style w:type="character" w:styleId="Collegamentoipertestuale">
    <w:name w:val="Hyperlink"/>
    <w:basedOn w:val="Carpredefinitoparagrafo"/>
    <w:uiPriority w:val="99"/>
    <w:unhideWhenUsed/>
    <w:rsid w:val="007208A1"/>
    <w:rPr>
      <w:color w:val="0000FF" w:themeColor="hyperlink"/>
      <w:u w:val="single"/>
    </w:rPr>
  </w:style>
  <w:style w:type="character" w:styleId="Menzionenonrisolta">
    <w:name w:val="Unresolved Mention"/>
    <w:basedOn w:val="Carpredefinitoparagrafo"/>
    <w:uiPriority w:val="99"/>
    <w:semiHidden/>
    <w:unhideWhenUsed/>
    <w:rsid w:val="007763E7"/>
    <w:rPr>
      <w:color w:val="605E5C"/>
      <w:shd w:val="clear" w:color="auto" w:fill="E1DFDD"/>
    </w:rPr>
  </w:style>
  <w:style w:type="character" w:styleId="Collegamentovisitato">
    <w:name w:val="FollowedHyperlink"/>
    <w:basedOn w:val="Carpredefinitoparagrafo"/>
    <w:uiPriority w:val="99"/>
    <w:semiHidden/>
    <w:unhideWhenUsed/>
    <w:rsid w:val="000F6562"/>
    <w:rPr>
      <w:color w:val="800080" w:themeColor="followedHyperlink"/>
      <w:u w:val="single"/>
    </w:rPr>
  </w:style>
  <w:style w:type="character" w:styleId="Rimandocommento">
    <w:name w:val="annotation reference"/>
    <w:basedOn w:val="Carpredefinitoparagrafo"/>
    <w:uiPriority w:val="99"/>
    <w:semiHidden/>
    <w:unhideWhenUsed/>
    <w:rsid w:val="004626DE"/>
    <w:rPr>
      <w:sz w:val="16"/>
      <w:szCs w:val="16"/>
    </w:rPr>
  </w:style>
  <w:style w:type="paragraph" w:styleId="Testocommento">
    <w:name w:val="annotation text"/>
    <w:basedOn w:val="Normale"/>
    <w:link w:val="TestocommentoCarattere"/>
    <w:uiPriority w:val="99"/>
    <w:semiHidden/>
    <w:unhideWhenUsed/>
    <w:rsid w:val="004626DE"/>
    <w:rPr>
      <w:sz w:val="20"/>
    </w:rPr>
  </w:style>
  <w:style w:type="character" w:customStyle="1" w:styleId="TestocommentoCarattere">
    <w:name w:val="Testo commento Carattere"/>
    <w:basedOn w:val="Carpredefinitoparagrafo"/>
    <w:link w:val="Testocommento"/>
    <w:uiPriority w:val="99"/>
    <w:semiHidden/>
    <w:rsid w:val="004626DE"/>
    <w:rPr>
      <w:rFonts w:ascii="Courier New" w:eastAsia="Times New Roman" w:hAnsi="Courier New" w:cs="Times New Roman"/>
      <w:snapToGrid w:val="0"/>
      <w:sz w:val="20"/>
      <w:szCs w:val="20"/>
      <w:lang w:eastAsia="nl-NL"/>
    </w:rPr>
  </w:style>
  <w:style w:type="paragraph" w:styleId="Soggettocommento">
    <w:name w:val="annotation subject"/>
    <w:basedOn w:val="Testocommento"/>
    <w:next w:val="Testocommento"/>
    <w:link w:val="SoggettocommentoCarattere"/>
    <w:uiPriority w:val="99"/>
    <w:semiHidden/>
    <w:unhideWhenUsed/>
    <w:rsid w:val="004626DE"/>
    <w:rPr>
      <w:b/>
      <w:bCs/>
    </w:rPr>
  </w:style>
  <w:style w:type="character" w:customStyle="1" w:styleId="SoggettocommentoCarattere">
    <w:name w:val="Soggetto commento Carattere"/>
    <w:basedOn w:val="TestocommentoCarattere"/>
    <w:link w:val="Soggettocommento"/>
    <w:uiPriority w:val="99"/>
    <w:semiHidden/>
    <w:rsid w:val="004626DE"/>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698778632">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heagroup.com/cdp" TargetMode="External"/><Relationship Id="rId5" Type="http://schemas.openxmlformats.org/officeDocument/2006/relationships/styles" Target="styles.xml"/><Relationship Id="rId10" Type="http://schemas.openxmlformats.org/officeDocument/2006/relationships/hyperlink" Target="mailto:andrea.mincoll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1</Pages>
  <Words>652</Words>
  <Characters>3723</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Andrea Mincolla</cp:lastModifiedBy>
  <cp:revision>29</cp:revision>
  <dcterms:created xsi:type="dcterms:W3CDTF">2020-02-17T09:59:00Z</dcterms:created>
  <dcterms:modified xsi:type="dcterms:W3CDTF">2020-05-20T10:31:00Z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