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C7C4E"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6CC983BD"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09CFEDD6" w14:textId="77777777" w:rsidR="00FC551E" w:rsidRDefault="00FC551E" w:rsidP="00226490">
      <w:pPr>
        <w:autoSpaceDE w:val="0"/>
        <w:autoSpaceDN w:val="0"/>
        <w:adjustRightInd w:val="0"/>
        <w:jc w:val="center"/>
        <w:rPr>
          <w:rFonts w:ascii="Arial" w:hAnsi="Arial" w:cs="Arial"/>
          <w:b/>
          <w:bCs/>
        </w:rPr>
      </w:pPr>
    </w:p>
    <w:p w14:paraId="08E3EE1B" w14:textId="77777777" w:rsidR="00BC672A" w:rsidRDefault="00BC672A" w:rsidP="00226490">
      <w:pPr>
        <w:autoSpaceDE w:val="0"/>
        <w:autoSpaceDN w:val="0"/>
        <w:adjustRightInd w:val="0"/>
        <w:jc w:val="center"/>
        <w:rPr>
          <w:rFonts w:ascii="Arial" w:hAnsi="Arial" w:cs="Arial"/>
          <w:b/>
          <w:bCs/>
        </w:rPr>
      </w:pPr>
    </w:p>
    <w:p w14:paraId="2B32409A" w14:textId="77777777"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14:paraId="41E50FAA" w14:textId="77777777" w:rsidR="00BC672A" w:rsidRDefault="00BC672A" w:rsidP="00226490">
      <w:pPr>
        <w:autoSpaceDE w:val="0"/>
        <w:autoSpaceDN w:val="0"/>
        <w:adjustRightInd w:val="0"/>
        <w:jc w:val="center"/>
        <w:rPr>
          <w:rFonts w:ascii="Arial" w:hAnsi="Arial" w:cs="Arial"/>
          <w:bCs/>
          <w:i/>
        </w:rPr>
      </w:pPr>
    </w:p>
    <w:p w14:paraId="0B96BDAF" w14:textId="77777777"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r w:rsidR="00104A75" w:rsidRPr="00104A75">
        <w:rPr>
          <w:rFonts w:ascii="Arial" w:hAnsi="Arial" w:cs="Arial"/>
          <w:bCs/>
          <w:i/>
        </w:rPr>
        <w:t>https://iaaspace.org/pdc</w:t>
      </w:r>
    </w:p>
    <w:p w14:paraId="30F79CA5" w14:textId="77777777" w:rsidR="00FC551E" w:rsidRDefault="00FC551E" w:rsidP="00226490">
      <w:pPr>
        <w:autoSpaceDE w:val="0"/>
        <w:autoSpaceDN w:val="0"/>
        <w:adjustRightInd w:val="0"/>
        <w:jc w:val="center"/>
        <w:rPr>
          <w:rFonts w:ascii="Arial" w:hAnsi="Arial" w:cs="Arial"/>
          <w:b/>
          <w:bCs/>
        </w:rPr>
      </w:pPr>
    </w:p>
    <w:p w14:paraId="26413704"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2EE85C76"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232FE3B3" w14:textId="77777777" w:rsidR="00A4497D" w:rsidRPr="00590FC5" w:rsidRDefault="00A4497D" w:rsidP="00226490">
      <w:pPr>
        <w:autoSpaceDE w:val="0"/>
        <w:autoSpaceDN w:val="0"/>
        <w:adjustRightInd w:val="0"/>
        <w:jc w:val="center"/>
        <w:rPr>
          <w:rFonts w:ascii="Arial" w:hAnsi="Arial" w:cs="Arial"/>
          <w:bCs/>
          <w:i/>
        </w:rPr>
      </w:pPr>
    </w:p>
    <w:bookmarkStart w:id="0" w:name="Check2"/>
    <w:p w14:paraId="7F3F12C7"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31C06ACF"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3DCE4D42" w14:textId="77777777" w:rsidR="004F2A7A" w:rsidRDefault="00F62E22"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1"/>
            </w:checkBox>
          </w:ffData>
        </w:fldChar>
      </w:r>
      <w:bookmarkStart w:id="2" w:name="Check4"/>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2"/>
      <w:r w:rsidR="004F2A7A">
        <w:rPr>
          <w:rFonts w:ascii="Arial" w:hAnsi="Arial" w:cs="Arial"/>
          <w:b/>
          <w:bCs/>
        </w:rPr>
        <w:t xml:space="preserve"> </w:t>
      </w:r>
      <w:r w:rsidR="008C3FF3" w:rsidRPr="008C3FF3">
        <w:rPr>
          <w:rFonts w:ascii="Arial" w:hAnsi="Arial" w:cs="Arial"/>
          <w:b/>
          <w:bCs/>
        </w:rPr>
        <w:t>NEO Characterization Results</w:t>
      </w:r>
    </w:p>
    <w:p w14:paraId="2E76B073"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1A5BEC98"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53903B44"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5F3E7472"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7A0623F5"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Decision to Act</w:t>
      </w:r>
    </w:p>
    <w:p w14:paraId="589E7972"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52A5E59A" w14:textId="77777777" w:rsidR="00F8561E" w:rsidRDefault="00F8561E" w:rsidP="00226490">
      <w:pPr>
        <w:autoSpaceDE w:val="0"/>
        <w:autoSpaceDN w:val="0"/>
        <w:adjustRightInd w:val="0"/>
        <w:jc w:val="center"/>
        <w:rPr>
          <w:rFonts w:ascii="Arial" w:hAnsi="Arial" w:cs="Arial"/>
          <w:b/>
          <w:bCs/>
        </w:rPr>
      </w:pPr>
    </w:p>
    <w:p w14:paraId="416620F5" w14:textId="77777777" w:rsidR="002744CC" w:rsidRDefault="002744CC" w:rsidP="00226490">
      <w:pPr>
        <w:autoSpaceDE w:val="0"/>
        <w:autoSpaceDN w:val="0"/>
        <w:adjustRightInd w:val="0"/>
        <w:jc w:val="center"/>
        <w:rPr>
          <w:rFonts w:ascii="Arial" w:hAnsi="Arial" w:cs="Arial"/>
          <w:b/>
          <w:bCs/>
        </w:rPr>
      </w:pPr>
    </w:p>
    <w:p w14:paraId="060B32F2" w14:textId="77777777" w:rsidR="00226490" w:rsidRPr="00197379" w:rsidRDefault="006F430E" w:rsidP="00226490">
      <w:pPr>
        <w:autoSpaceDE w:val="0"/>
        <w:autoSpaceDN w:val="0"/>
        <w:adjustRightInd w:val="0"/>
        <w:jc w:val="center"/>
        <w:rPr>
          <w:rFonts w:ascii="Arial" w:hAnsi="Arial" w:cs="Arial"/>
          <w:b/>
          <w:bCs/>
        </w:rPr>
      </w:pPr>
      <w:r>
        <w:rPr>
          <w:rFonts w:ascii="Arial" w:hAnsi="Arial" w:cs="Arial"/>
          <w:b/>
          <w:bCs/>
        </w:rPr>
        <w:t>THE EFFECT OF PLANETARY FLYBYS ON SINGLY SYNCHRONOUS BINARY ASTEROIDS</w:t>
      </w:r>
    </w:p>
    <w:p w14:paraId="76AE1C84" w14:textId="77777777" w:rsidR="00226490" w:rsidRPr="00197379" w:rsidRDefault="00226490" w:rsidP="00226490">
      <w:pPr>
        <w:autoSpaceDE w:val="0"/>
        <w:autoSpaceDN w:val="0"/>
        <w:adjustRightInd w:val="0"/>
        <w:rPr>
          <w:rFonts w:ascii="Arial" w:hAnsi="Arial" w:cs="Arial"/>
          <w:b/>
          <w:bCs/>
        </w:rPr>
      </w:pPr>
    </w:p>
    <w:p w14:paraId="1088F369" w14:textId="77777777" w:rsidR="00226490" w:rsidRPr="00197379" w:rsidRDefault="00A3205D" w:rsidP="00226490">
      <w:pPr>
        <w:autoSpaceDE w:val="0"/>
        <w:autoSpaceDN w:val="0"/>
        <w:adjustRightInd w:val="0"/>
        <w:jc w:val="center"/>
        <w:rPr>
          <w:rFonts w:ascii="Arial" w:hAnsi="Arial" w:cs="Arial"/>
          <w:b/>
          <w:bCs/>
        </w:rPr>
      </w:pPr>
      <w:r>
        <w:rPr>
          <w:rFonts w:ascii="Arial" w:hAnsi="Arial" w:cs="Arial"/>
          <w:b/>
          <w:bCs/>
        </w:rPr>
        <w:t xml:space="preserve">Alex J. </w:t>
      </w:r>
      <w:proofErr w:type="gramStart"/>
      <w:r>
        <w:rPr>
          <w:rFonts w:ascii="Arial" w:hAnsi="Arial" w:cs="Arial"/>
          <w:b/>
          <w:bCs/>
        </w:rPr>
        <w:t>Meyer</w:t>
      </w:r>
      <w:r w:rsidR="00226490" w:rsidRPr="00197379">
        <w:rPr>
          <w:rFonts w:ascii="Arial" w:hAnsi="Arial" w:cs="Arial"/>
          <w:bCs/>
          <w:vertAlign w:val="superscript"/>
        </w:rPr>
        <w:t>(</w:t>
      </w:r>
      <w:proofErr w:type="gramEnd"/>
      <w:r w:rsidR="00226490" w:rsidRPr="00197379">
        <w:rPr>
          <w:rFonts w:ascii="Arial" w:hAnsi="Arial" w:cs="Arial"/>
          <w:bCs/>
          <w:vertAlign w:val="superscript"/>
        </w:rPr>
        <w:t>1)</w:t>
      </w:r>
      <w:r w:rsidR="00226490" w:rsidRPr="00197379">
        <w:rPr>
          <w:rFonts w:ascii="Arial" w:hAnsi="Arial" w:cs="Arial"/>
          <w:b/>
          <w:bCs/>
        </w:rPr>
        <w:t xml:space="preserve">, </w:t>
      </w:r>
      <w:r>
        <w:rPr>
          <w:rFonts w:ascii="Arial" w:hAnsi="Arial" w:cs="Arial"/>
          <w:b/>
          <w:bCs/>
        </w:rPr>
        <w:t>Daniel J. Scheeres</w:t>
      </w:r>
      <w:r w:rsidR="00226490" w:rsidRPr="00197379">
        <w:rPr>
          <w:rFonts w:ascii="Arial" w:hAnsi="Arial" w:cs="Arial"/>
          <w:bCs/>
          <w:vertAlign w:val="superscript"/>
        </w:rPr>
        <w:t>(2)</w:t>
      </w:r>
    </w:p>
    <w:p w14:paraId="70EEB592" w14:textId="77777777" w:rsidR="00226490" w:rsidRPr="00197379" w:rsidRDefault="00226490" w:rsidP="00226490">
      <w:pPr>
        <w:autoSpaceDE w:val="0"/>
        <w:autoSpaceDN w:val="0"/>
        <w:adjustRightInd w:val="0"/>
        <w:jc w:val="center"/>
        <w:rPr>
          <w:rFonts w:ascii="Arial" w:hAnsi="Arial" w:cs="Arial"/>
          <w:i/>
          <w:iCs/>
        </w:rPr>
      </w:pPr>
      <w:r w:rsidRPr="00197379">
        <w:rPr>
          <w:rFonts w:ascii="Arial" w:hAnsi="Arial" w:cs="Arial"/>
          <w:iCs/>
          <w:vertAlign w:val="superscript"/>
        </w:rPr>
        <w:t>(</w:t>
      </w:r>
      <w:proofErr w:type="gramStart"/>
      <w:r w:rsidRPr="00197379">
        <w:rPr>
          <w:rFonts w:ascii="Arial" w:hAnsi="Arial" w:cs="Arial"/>
          <w:iCs/>
          <w:vertAlign w:val="superscript"/>
        </w:rPr>
        <w:t>1)</w:t>
      </w:r>
      <w:r w:rsidR="00A3205D">
        <w:rPr>
          <w:rFonts w:ascii="Arial" w:hAnsi="Arial" w:cs="Arial"/>
          <w:i/>
          <w:iCs/>
        </w:rPr>
        <w:t>University</w:t>
      </w:r>
      <w:proofErr w:type="gramEnd"/>
      <w:r w:rsidR="00A3205D">
        <w:rPr>
          <w:rFonts w:ascii="Arial" w:hAnsi="Arial" w:cs="Arial"/>
          <w:i/>
          <w:iCs/>
        </w:rPr>
        <w:t xml:space="preserve"> of Colorado Boulder</w:t>
      </w:r>
      <w:r w:rsidR="00822B08" w:rsidRPr="00197379">
        <w:rPr>
          <w:rFonts w:ascii="Arial" w:hAnsi="Arial" w:cs="Arial"/>
          <w:i/>
          <w:iCs/>
        </w:rPr>
        <w:t>,</w:t>
      </w:r>
      <w:r w:rsidRPr="00197379">
        <w:rPr>
          <w:rFonts w:ascii="Arial" w:hAnsi="Arial" w:cs="Arial"/>
          <w:i/>
          <w:iCs/>
        </w:rPr>
        <w:t xml:space="preserve"> </w:t>
      </w:r>
      <w:r w:rsidR="00A3205D">
        <w:rPr>
          <w:rFonts w:ascii="Arial" w:hAnsi="Arial" w:cs="Arial"/>
          <w:i/>
          <w:iCs/>
        </w:rPr>
        <w:t>3775 Discovery Dr. Boulder, C</w:t>
      </w:r>
      <w:r w:rsidR="004A3B44">
        <w:rPr>
          <w:rFonts w:ascii="Arial" w:hAnsi="Arial" w:cs="Arial"/>
          <w:i/>
          <w:iCs/>
        </w:rPr>
        <w:t>O</w:t>
      </w:r>
      <w:r w:rsidR="00A3205D">
        <w:rPr>
          <w:rFonts w:ascii="Arial" w:hAnsi="Arial" w:cs="Arial"/>
          <w:i/>
          <w:iCs/>
        </w:rPr>
        <w:t>, 80303</w:t>
      </w:r>
      <w:r w:rsidRPr="00197379">
        <w:rPr>
          <w:rFonts w:ascii="Arial" w:hAnsi="Arial" w:cs="Arial"/>
          <w:i/>
          <w:iCs/>
        </w:rPr>
        <w:t xml:space="preserve">, </w:t>
      </w:r>
      <w:r w:rsidR="00A3205D">
        <w:rPr>
          <w:rFonts w:ascii="Arial" w:hAnsi="Arial" w:cs="Arial"/>
          <w:i/>
          <w:iCs/>
        </w:rPr>
        <w:t>alex.meyer@colorado.edu</w:t>
      </w:r>
    </w:p>
    <w:p w14:paraId="10B8853F" w14:textId="77777777" w:rsidR="00226490" w:rsidRPr="00197379" w:rsidRDefault="00226490" w:rsidP="00226490">
      <w:pPr>
        <w:autoSpaceDE w:val="0"/>
        <w:autoSpaceDN w:val="0"/>
        <w:adjustRightInd w:val="0"/>
        <w:jc w:val="center"/>
        <w:rPr>
          <w:rFonts w:ascii="Arial" w:hAnsi="Arial" w:cs="Arial"/>
        </w:rPr>
      </w:pPr>
      <w:r w:rsidRPr="00197379">
        <w:rPr>
          <w:rFonts w:ascii="Arial" w:hAnsi="Arial" w:cs="Arial"/>
          <w:iCs/>
          <w:vertAlign w:val="superscript"/>
        </w:rPr>
        <w:t>(</w:t>
      </w:r>
      <w:r w:rsidR="00A3205D">
        <w:rPr>
          <w:rFonts w:ascii="Arial" w:hAnsi="Arial" w:cs="Arial"/>
          <w:iCs/>
          <w:vertAlign w:val="superscript"/>
        </w:rPr>
        <w:t>2</w:t>
      </w:r>
      <w:r w:rsidRPr="00197379">
        <w:rPr>
          <w:rFonts w:ascii="Arial" w:hAnsi="Arial" w:cs="Arial"/>
          <w:iCs/>
          <w:vertAlign w:val="superscript"/>
        </w:rPr>
        <w:t>)</w:t>
      </w:r>
      <w:r w:rsidR="00A3205D" w:rsidRPr="00A3205D">
        <w:rPr>
          <w:rFonts w:ascii="Arial" w:hAnsi="Arial" w:cs="Arial"/>
          <w:i/>
          <w:iCs/>
        </w:rPr>
        <w:t xml:space="preserve"> </w:t>
      </w:r>
      <w:r w:rsidR="00A3205D">
        <w:rPr>
          <w:rFonts w:ascii="Arial" w:hAnsi="Arial" w:cs="Arial"/>
          <w:i/>
          <w:iCs/>
        </w:rPr>
        <w:t>University of Colorado Boulder</w:t>
      </w:r>
      <w:r w:rsidR="00A3205D" w:rsidRPr="00197379">
        <w:rPr>
          <w:rFonts w:ascii="Arial" w:hAnsi="Arial" w:cs="Arial"/>
          <w:i/>
          <w:iCs/>
        </w:rPr>
        <w:t xml:space="preserve">, </w:t>
      </w:r>
      <w:r w:rsidR="00A3205D">
        <w:rPr>
          <w:rFonts w:ascii="Arial" w:hAnsi="Arial" w:cs="Arial"/>
          <w:i/>
          <w:iCs/>
        </w:rPr>
        <w:t>3775 Discovery Dr. Boulder, C</w:t>
      </w:r>
      <w:r w:rsidR="004A3B44">
        <w:rPr>
          <w:rFonts w:ascii="Arial" w:hAnsi="Arial" w:cs="Arial"/>
          <w:i/>
          <w:iCs/>
        </w:rPr>
        <w:t>O</w:t>
      </w:r>
      <w:r w:rsidR="00A3205D">
        <w:rPr>
          <w:rFonts w:ascii="Arial" w:hAnsi="Arial" w:cs="Arial"/>
          <w:i/>
          <w:iCs/>
        </w:rPr>
        <w:t>, 80303</w:t>
      </w:r>
      <w:r w:rsidR="00A3205D" w:rsidRPr="00197379">
        <w:rPr>
          <w:rFonts w:ascii="Arial" w:hAnsi="Arial" w:cs="Arial"/>
          <w:i/>
          <w:iCs/>
        </w:rPr>
        <w:t xml:space="preserve">, </w:t>
      </w:r>
      <w:r w:rsidR="00A3205D">
        <w:rPr>
          <w:rFonts w:ascii="Arial" w:hAnsi="Arial" w:cs="Arial"/>
          <w:i/>
          <w:iCs/>
        </w:rPr>
        <w:t>scheeres@colorado.edu</w:t>
      </w:r>
    </w:p>
    <w:p w14:paraId="11DC883F" w14:textId="77777777" w:rsidR="00226490" w:rsidRPr="00197379" w:rsidRDefault="00226490" w:rsidP="00226490">
      <w:pPr>
        <w:jc w:val="center"/>
        <w:rPr>
          <w:rFonts w:ascii="Arial" w:hAnsi="Arial" w:cs="Arial"/>
        </w:rPr>
      </w:pPr>
    </w:p>
    <w:p w14:paraId="5463A1DE" w14:textId="77777777"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9E154F">
        <w:rPr>
          <w:rFonts w:ascii="Arial" w:hAnsi="Arial" w:cs="Arial"/>
          <w:i/>
        </w:rPr>
        <w:t xml:space="preserve">Binary asteroid, Planetary flyby, </w:t>
      </w:r>
      <w:r w:rsidR="00607FA5">
        <w:rPr>
          <w:rFonts w:ascii="Arial" w:hAnsi="Arial" w:cs="Arial"/>
          <w:i/>
        </w:rPr>
        <w:t>L</w:t>
      </w:r>
      <w:r w:rsidR="009E154F">
        <w:rPr>
          <w:rFonts w:ascii="Arial" w:hAnsi="Arial" w:cs="Arial"/>
          <w:i/>
        </w:rPr>
        <w:t>ibration</w:t>
      </w:r>
    </w:p>
    <w:p w14:paraId="0D459858" w14:textId="77777777" w:rsidR="00226490" w:rsidRPr="00197379" w:rsidRDefault="00226490" w:rsidP="00226490">
      <w:pPr>
        <w:jc w:val="center"/>
        <w:rPr>
          <w:rFonts w:ascii="Arial" w:hAnsi="Arial" w:cs="Arial"/>
        </w:rPr>
      </w:pPr>
    </w:p>
    <w:p w14:paraId="41F22184"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00FC8B9D" w14:textId="77777777" w:rsidR="00A4497D" w:rsidRDefault="00A4497D" w:rsidP="00226490">
      <w:pPr>
        <w:pStyle w:val="BodyText2"/>
        <w:rPr>
          <w:rFonts w:cs="Arial"/>
          <w:szCs w:val="24"/>
          <w:lang w:val="en-US"/>
        </w:rPr>
      </w:pPr>
    </w:p>
    <w:p w14:paraId="02F51DCD" w14:textId="1EB3F23C" w:rsidR="00B222CC" w:rsidRDefault="003901AF" w:rsidP="003901AF">
      <w:pPr>
        <w:jc w:val="both"/>
        <w:rPr>
          <w:rFonts w:ascii="Arial" w:hAnsi="Arial" w:cs="Arial"/>
        </w:rPr>
      </w:pPr>
      <w:r w:rsidRPr="003901AF">
        <w:rPr>
          <w:rFonts w:ascii="Arial" w:hAnsi="Arial" w:cs="Arial"/>
        </w:rPr>
        <w:t>Binary asteroids form a significant portion of near-Earth asteroids, comprising at least 15% of the population</w:t>
      </w:r>
      <w:r>
        <w:rPr>
          <w:rFonts w:ascii="Arial" w:hAnsi="Arial" w:cs="Arial"/>
        </w:rPr>
        <w:t>, and will be featured in upcoming planetary defense missions</w:t>
      </w:r>
      <w:r w:rsidRPr="003901AF">
        <w:rPr>
          <w:rFonts w:ascii="Arial" w:hAnsi="Arial" w:cs="Arial"/>
        </w:rPr>
        <w:t xml:space="preserve">. The method of formation for these systems is understood to be caused by YORP spin-up and fission, which can eventually lead the system into a stable state with the secondary rotating synchronously and in a near circular orbit. While many binary asteroids have been seen to lie in such a state, there are a significant number that exist at different levels of excitation for unclear reasons. Specifically, some binary secondaries are seen to be asynchronous and can exhibit chaotic orbital and rotational behavior. We investigate the role planetary flybys have on the excitation of binary asteroids, particularly the libration of the secondary. A major roadblock to accurately modeling binary asteroid evolution is accounting for the fully coupled rotational and translational motion of the binary components. The General Use Binary Asteroid Simulator </w:t>
      </w:r>
      <w:r w:rsidR="00BA5442">
        <w:rPr>
          <w:rFonts w:ascii="Arial" w:hAnsi="Arial" w:cs="Arial"/>
        </w:rPr>
        <w:t xml:space="preserve">(GUBAS) </w:t>
      </w:r>
      <w:r w:rsidRPr="003901AF">
        <w:rPr>
          <w:rFonts w:ascii="Arial" w:hAnsi="Arial" w:cs="Arial"/>
        </w:rPr>
        <w:t xml:space="preserve">code allows for relatively fast and accurate orbit propagation of this </w:t>
      </w:r>
      <w:r w:rsidR="00BA5442">
        <w:rPr>
          <w:rFonts w:ascii="Arial" w:hAnsi="Arial" w:cs="Arial"/>
        </w:rPr>
        <w:t xml:space="preserve">3D </w:t>
      </w:r>
      <w:r w:rsidRPr="003901AF">
        <w:rPr>
          <w:rFonts w:ascii="Arial" w:hAnsi="Arial" w:cs="Arial"/>
        </w:rPr>
        <w:t xml:space="preserve">fully coupled two body problem (Davis and Scheeres, Icarus 2020). We have </w:t>
      </w:r>
      <w:r w:rsidRPr="003901AF">
        <w:rPr>
          <w:rFonts w:ascii="Arial" w:hAnsi="Arial" w:cs="Arial"/>
        </w:rPr>
        <w:lastRenderedPageBreak/>
        <w:t xml:space="preserve">added the capability to the GUBAS code to track the effect a gravitational third body has on the binary asteroid, allowing for the modeling of either planetary flybys or solar perturbations. The model accurately accounts for the effect of the third body on the rotational </w:t>
      </w:r>
      <w:r w:rsidR="00303A41">
        <w:rPr>
          <w:rFonts w:ascii="Arial" w:hAnsi="Arial" w:cs="Arial"/>
        </w:rPr>
        <w:t xml:space="preserve">state </w:t>
      </w:r>
      <w:r w:rsidRPr="003901AF">
        <w:rPr>
          <w:rFonts w:ascii="Arial" w:hAnsi="Arial" w:cs="Arial"/>
        </w:rPr>
        <w:t>and relative orbit of the binary components. Using this program, we have shown that a single distant planetary flyby can excite the binary asteroid secondary’s libration state</w:t>
      </w:r>
      <w:r w:rsidR="008D759C">
        <w:rPr>
          <w:rFonts w:ascii="Arial" w:hAnsi="Arial" w:cs="Arial"/>
        </w:rPr>
        <w:t>, even causing it to break lock and circulate in closer encounters</w:t>
      </w:r>
      <w:r w:rsidRPr="003901AF">
        <w:rPr>
          <w:rFonts w:ascii="Arial" w:hAnsi="Arial" w:cs="Arial"/>
        </w:rPr>
        <w:t>.</w:t>
      </w:r>
      <w:r w:rsidR="00B222CC">
        <w:rPr>
          <w:rFonts w:ascii="Arial" w:hAnsi="Arial" w:cs="Arial"/>
        </w:rPr>
        <w:t xml:space="preserve"> </w:t>
      </w:r>
      <w:r w:rsidR="00B222CC" w:rsidRPr="003901AF">
        <w:rPr>
          <w:rFonts w:ascii="Arial" w:hAnsi="Arial" w:cs="Arial"/>
        </w:rPr>
        <w:t>Using these results, this talk will investigate the effect various planetary encounters have on the mutual binary orbit and libration of the secondary. A series of Monte-Carlo simulations provide a range of planetary flybys to perturb a stable, synchronous binary asteroid.</w:t>
      </w:r>
      <w:r w:rsidR="00B222CC">
        <w:rPr>
          <w:rFonts w:ascii="Arial" w:hAnsi="Arial" w:cs="Arial"/>
        </w:rPr>
        <w:t xml:space="preserve"> Figure 1 shows the average changes </w:t>
      </w:r>
      <w:r w:rsidR="00DE6E15">
        <w:rPr>
          <w:rFonts w:ascii="Arial" w:hAnsi="Arial" w:cs="Arial"/>
        </w:rPr>
        <w:t>from these simulations, detailing the</w:t>
      </w:r>
      <w:r w:rsidR="00B222CC">
        <w:rPr>
          <w:rFonts w:ascii="Arial" w:hAnsi="Arial" w:cs="Arial"/>
        </w:rPr>
        <w:t xml:space="preserve"> mutual orbit elements and the maximum secondary libration angle over a range of closest approach distances and flyby speeds.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B222CC" w14:paraId="4FC614F1" w14:textId="77777777" w:rsidTr="00B222CC">
        <w:tc>
          <w:tcPr>
            <w:tcW w:w="9243" w:type="dxa"/>
          </w:tcPr>
          <w:p w14:paraId="69E34B21" w14:textId="12B00498" w:rsidR="00B222CC" w:rsidRDefault="00B222CC" w:rsidP="003901AF">
            <w:pPr>
              <w:jc w:val="both"/>
              <w:rPr>
                <w:rFonts w:ascii="Arial" w:hAnsi="Arial" w:cs="Arial"/>
              </w:rPr>
            </w:pPr>
            <w:r>
              <w:rPr>
                <w:rFonts w:ascii="Arial" w:hAnsi="Arial" w:cs="Arial"/>
                <w:noProof/>
              </w:rPr>
              <w:drawing>
                <wp:inline distT="0" distB="0" distL="0" distR="0" wp14:anchorId="05ACF3A5" wp14:editId="371EA770">
                  <wp:extent cx="5732145" cy="4081780"/>
                  <wp:effectExtent l="0" t="0" r="0" b="0"/>
                  <wp:docPr id="1" name="Picture 1" descr="Graphical user interface, diagram, hist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 histogram&#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732145" cy="4081780"/>
                          </a:xfrm>
                          <a:prstGeom prst="rect">
                            <a:avLst/>
                          </a:prstGeom>
                        </pic:spPr>
                      </pic:pic>
                    </a:graphicData>
                  </a:graphic>
                </wp:inline>
              </w:drawing>
            </w:r>
          </w:p>
        </w:tc>
      </w:tr>
      <w:tr w:rsidR="00B222CC" w14:paraId="0D9F6892" w14:textId="77777777" w:rsidTr="00B222CC">
        <w:tc>
          <w:tcPr>
            <w:tcW w:w="9243" w:type="dxa"/>
          </w:tcPr>
          <w:p w14:paraId="7D1E473A" w14:textId="36329B5A" w:rsidR="00B222CC" w:rsidRPr="00B222CC" w:rsidRDefault="00B222CC" w:rsidP="003901AF">
            <w:pPr>
              <w:jc w:val="both"/>
              <w:rPr>
                <w:rFonts w:ascii="Arial" w:hAnsi="Arial" w:cs="Arial"/>
                <w:bCs/>
                <w:sz w:val="20"/>
                <w:szCs w:val="20"/>
              </w:rPr>
            </w:pPr>
            <w:r w:rsidRPr="00B222CC">
              <w:rPr>
                <w:rFonts w:ascii="Arial" w:hAnsi="Arial" w:cs="Arial"/>
                <w:b/>
                <w:sz w:val="20"/>
                <w:szCs w:val="20"/>
              </w:rPr>
              <w:t xml:space="preserve">Figure 1. </w:t>
            </w:r>
            <w:r w:rsidRPr="00B222CC">
              <w:rPr>
                <w:rFonts w:ascii="Arial" w:hAnsi="Arial" w:cs="Arial"/>
                <w:bCs/>
                <w:sz w:val="20"/>
                <w:szCs w:val="20"/>
              </w:rPr>
              <w:t>The average change in semimajor axis (top left), eccentricity (top right), inclination angle (bottom left), and libration angle (bottom right) at various closest approach distances for a variety of flyby speeds</w:t>
            </w:r>
            <w:r w:rsidR="00F5403F">
              <w:rPr>
                <w:rFonts w:ascii="Arial" w:hAnsi="Arial" w:cs="Arial"/>
                <w:bCs/>
                <w:sz w:val="20"/>
                <w:szCs w:val="20"/>
              </w:rPr>
              <w:t xml:space="preserve"> of an Earth encounter</w:t>
            </w:r>
            <w:r w:rsidRPr="00B222CC">
              <w:rPr>
                <w:rFonts w:ascii="Arial" w:hAnsi="Arial" w:cs="Arial"/>
                <w:bCs/>
                <w:sz w:val="20"/>
                <w:szCs w:val="20"/>
              </w:rPr>
              <w:t>.</w:t>
            </w:r>
          </w:p>
        </w:tc>
      </w:tr>
    </w:tbl>
    <w:p w14:paraId="0CBC18AA" w14:textId="77777777" w:rsidR="00B222CC" w:rsidRDefault="00B222CC" w:rsidP="003901AF">
      <w:pPr>
        <w:jc w:val="both"/>
        <w:rPr>
          <w:rFonts w:ascii="Arial" w:hAnsi="Arial" w:cs="Arial"/>
        </w:rPr>
      </w:pPr>
    </w:p>
    <w:p w14:paraId="3A3BCCEC" w14:textId="0FFADA1C" w:rsidR="00A4497D" w:rsidRDefault="008D759C" w:rsidP="00B222CC">
      <w:pPr>
        <w:jc w:val="both"/>
        <w:rPr>
          <w:rFonts w:ascii="Arial" w:hAnsi="Arial" w:cs="Arial"/>
        </w:rPr>
      </w:pPr>
      <w:r>
        <w:rPr>
          <w:rFonts w:ascii="Arial" w:hAnsi="Arial" w:cs="Arial"/>
        </w:rPr>
        <w:t>Longer simulations show the spin orbit coupling can take days</w:t>
      </w:r>
      <w:r w:rsidR="003F497F">
        <w:rPr>
          <w:rFonts w:ascii="Arial" w:hAnsi="Arial" w:cs="Arial"/>
        </w:rPr>
        <w:t xml:space="preserve"> </w:t>
      </w:r>
      <w:r>
        <w:rPr>
          <w:rFonts w:ascii="Arial" w:hAnsi="Arial" w:cs="Arial"/>
        </w:rPr>
        <w:t>to manifest after a flyby perturbation, causing the secondary to begin tumb</w:t>
      </w:r>
      <w:r w:rsidR="003F497F">
        <w:rPr>
          <w:rFonts w:ascii="Arial" w:hAnsi="Arial" w:cs="Arial"/>
        </w:rPr>
        <w:t>l</w:t>
      </w:r>
      <w:r>
        <w:rPr>
          <w:rFonts w:ascii="Arial" w:hAnsi="Arial" w:cs="Arial"/>
        </w:rPr>
        <w:t xml:space="preserve">ing well after closest approach. </w:t>
      </w:r>
      <w:r w:rsidR="003901AF" w:rsidRPr="003901AF">
        <w:rPr>
          <w:rFonts w:ascii="Arial" w:hAnsi="Arial" w:cs="Arial"/>
        </w:rPr>
        <w:t xml:space="preserve">Given past knowledge of a binary asteroid’s heliocentric orbit and planetary close approaches, the measurement of its current libration motion can be an important constraint on the rate of energy dissipation of the systems. This talk will present our current results in this topic. </w:t>
      </w:r>
    </w:p>
    <w:p w14:paraId="258E1B05" w14:textId="77777777" w:rsidR="001B6AE6" w:rsidRPr="00B222CC" w:rsidRDefault="001B6AE6" w:rsidP="00B222CC">
      <w:pPr>
        <w:jc w:val="both"/>
        <w:rPr>
          <w:rFonts w:ascii="Arial" w:hAnsi="Arial" w:cs="Arial"/>
        </w:rPr>
      </w:pPr>
    </w:p>
    <w:p w14:paraId="336EE1F5" w14:textId="57AF6728" w:rsidR="00A4497D" w:rsidRDefault="00A4497D" w:rsidP="001B6AE6">
      <w:pPr>
        <w:pStyle w:val="BodyText2"/>
        <w:jc w:val="center"/>
        <w:rPr>
          <w:rFonts w:cs="Arial"/>
          <w:szCs w:val="24"/>
          <w:lang w:val="en-US"/>
        </w:rPr>
      </w:pPr>
      <w:r>
        <w:rPr>
          <w:rFonts w:cs="Arial"/>
          <w:szCs w:val="24"/>
          <w:lang w:val="en-US"/>
        </w:rPr>
        <w:t>**************************************</w:t>
      </w:r>
    </w:p>
    <w:p w14:paraId="757DA058" w14:textId="4CFFE4D7" w:rsidR="00A4497D" w:rsidRPr="001B6AE6" w:rsidRDefault="00A4497D" w:rsidP="00226490">
      <w:pPr>
        <w:pStyle w:val="BodyText2"/>
        <w:rPr>
          <w:rFonts w:cs="Arial"/>
          <w:b/>
          <w:i/>
          <w:szCs w:val="24"/>
          <w:lang w:val="en-US"/>
        </w:rPr>
      </w:pPr>
      <w:r w:rsidRPr="00A4497D">
        <w:rPr>
          <w:rFonts w:cs="Arial"/>
          <w:b/>
          <w:i/>
          <w:szCs w:val="24"/>
          <w:lang w:val="en-US"/>
        </w:rPr>
        <w:t>Comments:</w:t>
      </w:r>
    </w:p>
    <w:p w14:paraId="6F7D4408" w14:textId="77777777" w:rsidR="00A4497D" w:rsidRPr="00A4497D" w:rsidRDefault="009E154F" w:rsidP="00226490">
      <w:pPr>
        <w:pStyle w:val="BodyText2"/>
        <w:rPr>
          <w:rFonts w:cs="Arial"/>
          <w:i/>
          <w:sz w:val="22"/>
          <w:szCs w:val="22"/>
          <w:lang w:val="en-US"/>
        </w:rPr>
      </w:pPr>
      <w:r>
        <w:rPr>
          <w:rFonts w:cs="Arial"/>
          <w:i/>
          <w:sz w:val="22"/>
          <w:szCs w:val="22"/>
          <w:lang w:val="en-US"/>
        </w:rPr>
        <w:t>Oral presentation</w:t>
      </w: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57A56"/>
    <w:rsid w:val="000E5467"/>
    <w:rsid w:val="000F1604"/>
    <w:rsid w:val="00104A75"/>
    <w:rsid w:val="00106C6B"/>
    <w:rsid w:val="001475EF"/>
    <w:rsid w:val="00160A3D"/>
    <w:rsid w:val="00164281"/>
    <w:rsid w:val="00197379"/>
    <w:rsid w:val="001B6AE6"/>
    <w:rsid w:val="00204890"/>
    <w:rsid w:val="00226490"/>
    <w:rsid w:val="002377E2"/>
    <w:rsid w:val="002744CC"/>
    <w:rsid w:val="002F36AD"/>
    <w:rsid w:val="00303A41"/>
    <w:rsid w:val="003318B3"/>
    <w:rsid w:val="0036388D"/>
    <w:rsid w:val="0036783F"/>
    <w:rsid w:val="003901AF"/>
    <w:rsid w:val="003A1126"/>
    <w:rsid w:val="003D0195"/>
    <w:rsid w:val="003F497F"/>
    <w:rsid w:val="003F672F"/>
    <w:rsid w:val="004A3B44"/>
    <w:rsid w:val="004A6993"/>
    <w:rsid w:val="004B0660"/>
    <w:rsid w:val="004F2A7A"/>
    <w:rsid w:val="0051486A"/>
    <w:rsid w:val="00590FC5"/>
    <w:rsid w:val="005A6312"/>
    <w:rsid w:val="00607FA5"/>
    <w:rsid w:val="0062144F"/>
    <w:rsid w:val="0067278B"/>
    <w:rsid w:val="00685024"/>
    <w:rsid w:val="006F430E"/>
    <w:rsid w:val="007149B1"/>
    <w:rsid w:val="0075464C"/>
    <w:rsid w:val="00822B08"/>
    <w:rsid w:val="0084373C"/>
    <w:rsid w:val="0085417A"/>
    <w:rsid w:val="008745AC"/>
    <w:rsid w:val="008A3D1D"/>
    <w:rsid w:val="008C3FF3"/>
    <w:rsid w:val="008D759C"/>
    <w:rsid w:val="009039A6"/>
    <w:rsid w:val="009378F2"/>
    <w:rsid w:val="009706AE"/>
    <w:rsid w:val="009E154F"/>
    <w:rsid w:val="00A02DFC"/>
    <w:rsid w:val="00A1269B"/>
    <w:rsid w:val="00A3205D"/>
    <w:rsid w:val="00A4497D"/>
    <w:rsid w:val="00AE240D"/>
    <w:rsid w:val="00B222CC"/>
    <w:rsid w:val="00BA5442"/>
    <w:rsid w:val="00BB6FA7"/>
    <w:rsid w:val="00BC672A"/>
    <w:rsid w:val="00BE5E24"/>
    <w:rsid w:val="00BF0705"/>
    <w:rsid w:val="00C16EA9"/>
    <w:rsid w:val="00C56F29"/>
    <w:rsid w:val="00C70068"/>
    <w:rsid w:val="00C96D70"/>
    <w:rsid w:val="00C96E1E"/>
    <w:rsid w:val="00CA40C6"/>
    <w:rsid w:val="00CA7DF4"/>
    <w:rsid w:val="00D00E1F"/>
    <w:rsid w:val="00D1040E"/>
    <w:rsid w:val="00D2586C"/>
    <w:rsid w:val="00D3096E"/>
    <w:rsid w:val="00DE6E15"/>
    <w:rsid w:val="00E5270B"/>
    <w:rsid w:val="00E57DA6"/>
    <w:rsid w:val="00E626AA"/>
    <w:rsid w:val="00E771F0"/>
    <w:rsid w:val="00EF7616"/>
    <w:rsid w:val="00F0465F"/>
    <w:rsid w:val="00F049D0"/>
    <w:rsid w:val="00F50BA6"/>
    <w:rsid w:val="00F5343A"/>
    <w:rsid w:val="00F5403F"/>
    <w:rsid w:val="00F62E22"/>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D914"/>
  <w14:defaultImageDpi w14:val="32767"/>
  <w15:chartTrackingRefBased/>
  <w15:docId w15:val="{BEA47CA1-5C49-7C4A-B349-B40B7416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table" w:styleId="TableGrid">
    <w:name w:val="Table Grid"/>
    <w:basedOn w:val="TableNormal"/>
    <w:uiPriority w:val="59"/>
    <w:rsid w:val="00B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3D97E-EEAA-4AB1-9FB7-BC3E7AD9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2850A4-622F-4474-A1FA-9CEEAD109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Alex Meyer</cp:lastModifiedBy>
  <cp:revision>5</cp:revision>
  <cp:lastPrinted>2014-09-05T18:15:00Z</cp:lastPrinted>
  <dcterms:created xsi:type="dcterms:W3CDTF">2021-01-14T21:14:00Z</dcterms:created>
  <dcterms:modified xsi:type="dcterms:W3CDTF">2021-01-14T21:15:00Z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