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left" w:pos="-720"/>
          <w:tab w:val="left" w:pos="851"/>
          <w:tab w:val="left" w:pos="3600"/>
        </w:tabs>
        <w:spacing w:line="240" w:lineRule="auto"/>
        <w:rPr>
          <w:b w:val="1"/>
          <w:i w:val="1"/>
          <w:sz w:val="24"/>
          <w:szCs w:val="24"/>
        </w:rPr>
      </w:pPr>
      <w:r w:rsidDel="00000000" w:rsidR="00000000" w:rsidRPr="00000000">
        <w:rPr>
          <w:b w:val="1"/>
          <w:i w:val="1"/>
          <w:sz w:val="20"/>
          <w:szCs w:val="20"/>
          <w:rtl w:val="0"/>
        </w:rPr>
        <w:t xml:space="preserve">SECESA 2020</w:t>
      </w:r>
      <w:r w:rsidDel="00000000" w:rsidR="00000000" w:rsidRPr="00000000">
        <w:rPr>
          <w:b w:val="1"/>
          <w:i w:val="1"/>
          <w:sz w:val="24"/>
          <w:szCs w:val="24"/>
          <w:rtl w:val="0"/>
        </w:rPr>
        <w:tab/>
        <w:tab/>
        <w:tab/>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Lessons learned from Concurrent Engineering Software implementation for the research and industrial purposes</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widowControl w:val="0"/>
        <w:tabs>
          <w:tab w:val="left" w:pos="-720"/>
          <w:tab w:val="left" w:pos="0"/>
          <w:tab w:val="left" w:pos="851"/>
          <w:tab w:val="left" w:pos="3600"/>
        </w:tabs>
        <w:spacing w:line="240" w:lineRule="auto"/>
        <w:rPr>
          <w:i w:val="1"/>
          <w:sz w:val="20"/>
          <w:szCs w:val="20"/>
          <w:vertAlign w:val="superscript"/>
        </w:rPr>
      </w:pPr>
      <w:r w:rsidDel="00000000" w:rsidR="00000000" w:rsidRPr="00000000">
        <w:rPr>
          <w:b w:val="1"/>
          <w:i w:val="1"/>
          <w:sz w:val="20"/>
          <w:szCs w:val="20"/>
          <w:rtl w:val="0"/>
        </w:rPr>
        <w:t xml:space="preserve">N. Veliev</w:t>
      </w:r>
      <w:r w:rsidDel="00000000" w:rsidR="00000000" w:rsidRPr="00000000">
        <w:rPr>
          <w:b w:val="1"/>
          <w:i w:val="1"/>
          <w:sz w:val="20"/>
          <w:szCs w:val="20"/>
          <w:vertAlign w:val="superscript"/>
          <w:rtl w:val="0"/>
        </w:rPr>
        <w:t xml:space="preserve">1</w:t>
      </w:r>
      <w:r w:rsidDel="00000000" w:rsidR="00000000" w:rsidRPr="00000000">
        <w:rPr>
          <w:i w:val="1"/>
          <w:sz w:val="20"/>
          <w:szCs w:val="20"/>
          <w:rtl w:val="0"/>
        </w:rPr>
        <w:t xml:space="preserve">, </w:t>
      </w:r>
      <w:r w:rsidDel="00000000" w:rsidR="00000000" w:rsidRPr="00000000">
        <w:rPr>
          <w:i w:val="1"/>
          <w:sz w:val="20"/>
          <w:szCs w:val="20"/>
          <w:rtl w:val="0"/>
        </w:rPr>
        <w:t xml:space="preserve">A. Ivanov</w:t>
      </w:r>
      <w:r w:rsidDel="00000000" w:rsidR="00000000" w:rsidRPr="00000000">
        <w:rPr>
          <w:i w:val="1"/>
          <w:sz w:val="20"/>
          <w:szCs w:val="20"/>
          <w:vertAlign w:val="superscript"/>
          <w:rtl w:val="0"/>
        </w:rPr>
        <w:t xml:space="preserve">1</w:t>
      </w:r>
      <w:r w:rsidDel="00000000" w:rsidR="00000000" w:rsidRPr="00000000">
        <w:rPr>
          <w:i w:val="1"/>
          <w:sz w:val="20"/>
          <w:szCs w:val="20"/>
          <w:rtl w:val="0"/>
        </w:rPr>
        <w:t xml:space="preserve">, K. Latserus</w:t>
      </w:r>
      <w:r w:rsidDel="00000000" w:rsidR="00000000" w:rsidRPr="00000000">
        <w:rPr>
          <w:i w:val="1"/>
          <w:sz w:val="20"/>
          <w:szCs w:val="20"/>
          <w:vertAlign w:val="superscript"/>
          <w:rtl w:val="0"/>
        </w:rPr>
        <w:t xml:space="preserve">1</w:t>
      </w:r>
    </w:p>
    <w:p w:rsidR="00000000" w:rsidDel="00000000" w:rsidP="00000000" w:rsidRDefault="00000000" w:rsidRPr="00000000" w14:paraId="00000006">
      <w:pPr>
        <w:widowControl w:val="0"/>
        <w:tabs>
          <w:tab w:val="left" w:pos="-720"/>
          <w:tab w:val="left" w:pos="0"/>
          <w:tab w:val="left" w:pos="851"/>
          <w:tab w:val="left" w:pos="3600"/>
        </w:tabs>
        <w:spacing w:line="240" w:lineRule="auto"/>
        <w:rPr>
          <w:i w:val="1"/>
          <w:sz w:val="20"/>
          <w:szCs w:val="20"/>
        </w:rPr>
      </w:pPr>
      <w:r w:rsidDel="00000000" w:rsidR="00000000" w:rsidRPr="00000000">
        <w:rPr>
          <w:i w:val="1"/>
          <w:sz w:val="20"/>
          <w:szCs w:val="20"/>
          <w:vertAlign w:val="superscript"/>
          <w:rtl w:val="0"/>
        </w:rPr>
        <w:t xml:space="preserve">1</w:t>
      </w:r>
      <w:r w:rsidDel="00000000" w:rsidR="00000000" w:rsidRPr="00000000">
        <w:rPr>
          <w:i w:val="1"/>
          <w:sz w:val="20"/>
          <w:szCs w:val="20"/>
          <w:rtl w:val="0"/>
        </w:rPr>
        <w:t xml:space="preserve">Skolkovo Institute of Science and Technology, Moscow, Russia, n.veliev</w:t>
      </w:r>
      <w:hyperlink r:id="rId6">
        <w:r w:rsidDel="00000000" w:rsidR="00000000" w:rsidRPr="00000000">
          <w:rPr>
            <w:i w:val="1"/>
            <w:color w:val="1155cc"/>
            <w:sz w:val="20"/>
            <w:szCs w:val="20"/>
            <w:u w:val="single"/>
            <w:rtl w:val="0"/>
          </w:rPr>
          <w:t xml:space="preserve">@skoltech.ru</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 this work we compare several software packages utilized in the process of Concurrent Design. In addition to well known packages, such as RHEA’s CDP4, we also investigated ValiSpace, 3DExperience suite and TFlex by TopSystems. We evaluate use for both academic environment (teaching) and research on industrial projects.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This article points to the specific collaborative software differences that could be crucial during the implementation to the different types of projects. Academic cases come from educational activities at Skoltech, where the concurrent engineering approach is used (such as Space Center Winter School, SMAD course on the university basis). We have also provided classes on Systems Engineering to the Russian industry and explored how this methodology can be used there.  with different scenarios and purposes and different software, which appeared to have pros and cons, that were identified and discussed in the paper.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study considered 4 different software types:</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The industrial software, based on its own standard and freely distributed (RHEA Group CDP4), Windows based, widely used for Concurrent Design;</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The commercial light-weight web-based software (such as Valispace);</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Product Lifecycle Management Systems (such as Business Modeller in the TopSystems DOCs package, or 3DExperience by Dassault Systèmes, TeamCenter in Siemens NX);</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Modeling products with collaborative parts (such as MagicDraw and Teamwork Cloud).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We will present a comparison of these products, based on its architecture, learning curve, scenarios of the implementation, types of the use cases, as well as answering questions like: does this software be easy to use? How many features does the software have? How important is it for software to have an IT infrastructure? Finally, we will provide recommendations on the software implementation and use for different concurrent engineering cases.</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arolina.latserus@skoltec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