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18B" w:rsidRDefault="00F50683">
      <w:pPr>
        <w:tabs>
          <w:tab w:val="left" w:pos="-720"/>
          <w:tab w:val="left" w:pos="0"/>
          <w:tab w:val="left" w:pos="851"/>
          <w:tab w:val="left" w:pos="3600"/>
        </w:tabs>
        <w:rPr>
          <w:rFonts w:ascii="Arial" w:eastAsia="Arial" w:hAnsi="Arial" w:cs="Arial"/>
          <w:b/>
          <w:color w:val="000000"/>
          <w:sz w:val="22"/>
          <w:szCs w:val="22"/>
          <w:highlight w:val="white"/>
        </w:rPr>
      </w:pPr>
      <w:r>
        <w:rPr>
          <w:rFonts w:ascii="Arial" w:eastAsia="Arial" w:hAnsi="Arial" w:cs="Arial"/>
          <w:b/>
          <w:color w:val="000000"/>
          <w:sz w:val="22"/>
          <w:szCs w:val="22"/>
          <w:highlight w:val="white"/>
        </w:rPr>
        <w:t>Artificial Intelligence for Early Design of Space Missions in support of Concurrent Engineering sessions</w:t>
      </w:r>
    </w:p>
    <w:p w:rsidR="002C518B" w:rsidRDefault="002C518B">
      <w:pPr>
        <w:tabs>
          <w:tab w:val="left" w:pos="-720"/>
          <w:tab w:val="left" w:pos="0"/>
          <w:tab w:val="left" w:pos="851"/>
          <w:tab w:val="left" w:pos="3600"/>
        </w:tabs>
        <w:rPr>
          <w:rFonts w:ascii="Arial" w:eastAsia="Arial" w:hAnsi="Arial" w:cs="Arial"/>
          <w:color w:val="000000"/>
          <w:sz w:val="20"/>
          <w:szCs w:val="20"/>
          <w:u w:val="single"/>
        </w:rPr>
      </w:pPr>
    </w:p>
    <w:p w:rsidR="002C518B" w:rsidRDefault="00F50683">
      <w:pPr>
        <w:widowControl/>
        <w:rPr>
          <w:rFonts w:ascii="Times New Roman" w:eastAsia="Times New Roman" w:hAnsi="Times New Roman" w:cs="Times New Roman"/>
        </w:rPr>
      </w:pPr>
      <w:r>
        <w:rPr>
          <w:rFonts w:ascii="Arial" w:eastAsia="Arial" w:hAnsi="Arial" w:cs="Arial"/>
          <w:sz w:val="20"/>
          <w:szCs w:val="20"/>
          <w:highlight w:val="white"/>
          <w:u w:val="single"/>
        </w:rPr>
        <w:t>F. Murdaca</w:t>
      </w:r>
      <w:r>
        <w:rPr>
          <w:rFonts w:ascii="Arial" w:eastAsia="Arial" w:hAnsi="Arial" w:cs="Arial"/>
          <w:i/>
          <w:color w:val="000000"/>
          <w:sz w:val="20"/>
          <w:szCs w:val="20"/>
          <w:u w:val="single"/>
          <w:vertAlign w:val="superscript"/>
        </w:rPr>
        <w:t>1*</w:t>
      </w:r>
      <w:r>
        <w:rPr>
          <w:rFonts w:ascii="Arial" w:eastAsia="Arial" w:hAnsi="Arial" w:cs="Arial"/>
          <w:sz w:val="20"/>
          <w:szCs w:val="20"/>
          <w:highlight w:val="white"/>
        </w:rPr>
        <w:t>, A. Berquand</w:t>
      </w:r>
      <w:r>
        <w:rPr>
          <w:rFonts w:ascii="Arial" w:eastAsia="Arial" w:hAnsi="Arial" w:cs="Arial"/>
          <w:i/>
          <w:color w:val="000000"/>
          <w:sz w:val="20"/>
          <w:szCs w:val="20"/>
          <w:vertAlign w:val="superscript"/>
        </w:rPr>
        <w:t>1</w:t>
      </w:r>
      <w:r>
        <w:rPr>
          <w:rFonts w:ascii="Arial" w:eastAsia="Arial" w:hAnsi="Arial" w:cs="Arial"/>
          <w:sz w:val="20"/>
          <w:szCs w:val="20"/>
          <w:highlight w:val="white"/>
        </w:rPr>
        <w:t>, A. Riccardi</w:t>
      </w:r>
      <w:r>
        <w:rPr>
          <w:rFonts w:ascii="Arial" w:eastAsia="Arial" w:hAnsi="Arial" w:cs="Arial"/>
          <w:i/>
          <w:color w:val="000000"/>
          <w:sz w:val="20"/>
          <w:szCs w:val="20"/>
          <w:vertAlign w:val="superscript"/>
        </w:rPr>
        <w:t>1</w:t>
      </w:r>
      <w:r>
        <w:rPr>
          <w:rFonts w:ascii="Arial" w:eastAsia="Arial" w:hAnsi="Arial" w:cs="Arial"/>
          <w:sz w:val="20"/>
          <w:szCs w:val="20"/>
          <w:highlight w:val="white"/>
        </w:rPr>
        <w:t>, T. Soares</w:t>
      </w:r>
      <w:r>
        <w:rPr>
          <w:rFonts w:ascii="Arial" w:eastAsia="Arial" w:hAnsi="Arial" w:cs="Arial"/>
          <w:i/>
          <w:color w:val="000000"/>
          <w:sz w:val="20"/>
          <w:szCs w:val="20"/>
          <w:vertAlign w:val="superscript"/>
        </w:rPr>
        <w:t>2</w:t>
      </w:r>
      <w:r>
        <w:rPr>
          <w:rFonts w:ascii="Arial" w:eastAsia="Arial" w:hAnsi="Arial" w:cs="Arial"/>
          <w:i/>
          <w:color w:val="000000"/>
          <w:sz w:val="20"/>
          <w:szCs w:val="20"/>
        </w:rPr>
        <w:t>,</w:t>
      </w:r>
      <w:r>
        <w:rPr>
          <w:rFonts w:ascii="Arial" w:eastAsia="Arial" w:hAnsi="Arial" w:cs="Arial"/>
          <w:i/>
          <w:color w:val="000000"/>
          <w:sz w:val="20"/>
          <w:szCs w:val="20"/>
          <w:vertAlign w:val="superscript"/>
        </w:rPr>
        <w:t xml:space="preserve"> </w:t>
      </w:r>
      <w:r>
        <w:rPr>
          <w:rFonts w:ascii="Times New Roman" w:eastAsia="Times New Roman" w:hAnsi="Times New Roman" w:cs="Times New Roman"/>
          <w:noProof/>
        </w:rPr>
        <w:drawing>
          <wp:inline distT="0" distB="0" distL="0" distR="0">
            <wp:extent cx="9525" cy="9525"/>
            <wp:effectExtent l="0" t="0" r="0" b="0"/>
            <wp:docPr id="2" name="image4.gif" descr="https://nemo.strath.ac.uk/owa/14.3.266.1/themes/resources/clear1x1.gif"/>
            <wp:cNvGraphicFramePr/>
            <a:graphic xmlns:a="http://schemas.openxmlformats.org/drawingml/2006/main">
              <a:graphicData uri="http://schemas.openxmlformats.org/drawingml/2006/picture">
                <pic:pic xmlns:pic="http://schemas.openxmlformats.org/drawingml/2006/picture">
                  <pic:nvPicPr>
                    <pic:cNvPr id="0" name="image4.gif" descr="https://nemo.strath.ac.uk/owa/14.3.266.1/themes/resources/clear1x1.gif"/>
                    <pic:cNvPicPr preferRelativeResize="0"/>
                  </pic:nvPicPr>
                  <pic:blipFill>
                    <a:blip r:embed="rId7"/>
                    <a:srcRect/>
                    <a:stretch>
                      <a:fillRect/>
                    </a:stretch>
                  </pic:blipFill>
                  <pic:spPr>
                    <a:xfrm>
                      <a:off x="0" y="0"/>
                      <a:ext cx="9525" cy="9525"/>
                    </a:xfrm>
                    <a:prstGeom prst="rect">
                      <a:avLst/>
                    </a:prstGeom>
                    <a:ln/>
                  </pic:spPr>
                </pic:pic>
              </a:graphicData>
            </a:graphic>
          </wp:inline>
        </w:drawing>
      </w:r>
      <w:r>
        <w:rPr>
          <w:rFonts w:ascii="Times New Roman" w:eastAsia="Times New Roman" w:hAnsi="Times New Roman" w:cs="Times New Roman"/>
          <w:noProof/>
        </w:rPr>
        <w:drawing>
          <wp:inline distT="0" distB="0" distL="0" distR="0">
            <wp:extent cx="9525" cy="9525"/>
            <wp:effectExtent l="0" t="0" r="0" b="0"/>
            <wp:docPr id="3" name="image5.gif" descr="https://nemo.strath.ac.uk/owa/14.3.266.1/themes/resources/clear1x1.gif"/>
            <wp:cNvGraphicFramePr/>
            <a:graphic xmlns:a="http://schemas.openxmlformats.org/drawingml/2006/main">
              <a:graphicData uri="http://schemas.openxmlformats.org/drawingml/2006/picture">
                <pic:pic xmlns:pic="http://schemas.openxmlformats.org/drawingml/2006/picture">
                  <pic:nvPicPr>
                    <pic:cNvPr id="0" name="image5.gif" descr="https://nemo.strath.ac.uk/owa/14.3.266.1/themes/resources/clear1x1.gif"/>
                    <pic:cNvPicPr preferRelativeResize="0"/>
                  </pic:nvPicPr>
                  <pic:blipFill>
                    <a:blip r:embed="rId7"/>
                    <a:srcRect/>
                    <a:stretch>
                      <a:fillRect/>
                    </a:stretch>
                  </pic:blipFill>
                  <pic:spPr>
                    <a:xfrm>
                      <a:off x="0" y="0"/>
                      <a:ext cx="9525" cy="9525"/>
                    </a:xfrm>
                    <a:prstGeom prst="rect">
                      <a:avLst/>
                    </a:prstGeom>
                    <a:ln/>
                  </pic:spPr>
                </pic:pic>
              </a:graphicData>
            </a:graphic>
          </wp:inline>
        </w:drawing>
      </w:r>
      <w:r>
        <w:rPr>
          <w:rFonts w:ascii="Arial" w:eastAsia="Arial" w:hAnsi="Arial" w:cs="Arial"/>
          <w:i/>
          <w:color w:val="000000"/>
          <w:sz w:val="20"/>
          <w:szCs w:val="20"/>
        </w:rPr>
        <w:t>S. Geren</w:t>
      </w:r>
      <w:r>
        <w:rPr>
          <w:rFonts w:ascii="Arial" w:eastAsia="Arial" w:hAnsi="Arial" w:cs="Arial"/>
          <w:i/>
          <w:sz w:val="20"/>
          <w:szCs w:val="20"/>
        </w:rPr>
        <w:t>é</w:t>
      </w:r>
      <w:r>
        <w:rPr>
          <w:rFonts w:ascii="Arial" w:eastAsia="Arial" w:hAnsi="Arial" w:cs="Arial"/>
          <w:i/>
          <w:color w:val="000000"/>
          <w:sz w:val="20"/>
          <w:szCs w:val="20"/>
          <w:vertAlign w:val="superscript"/>
        </w:rPr>
        <w:t>3</w:t>
      </w:r>
      <w:r>
        <w:rPr>
          <w:rFonts w:ascii="Arial" w:eastAsia="Arial" w:hAnsi="Arial" w:cs="Arial"/>
          <w:i/>
          <w:color w:val="000000"/>
          <w:sz w:val="20"/>
          <w:szCs w:val="20"/>
        </w:rPr>
        <w:t>, N. Brauer</w:t>
      </w:r>
      <w:r>
        <w:rPr>
          <w:rFonts w:ascii="Arial" w:eastAsia="Arial" w:hAnsi="Arial" w:cs="Arial"/>
          <w:i/>
          <w:color w:val="000000"/>
          <w:sz w:val="20"/>
          <w:szCs w:val="20"/>
          <w:vertAlign w:val="superscript"/>
        </w:rPr>
        <w:t>4</w:t>
      </w:r>
    </w:p>
    <w:p w:rsidR="002C518B" w:rsidRDefault="002C518B">
      <w:pPr>
        <w:tabs>
          <w:tab w:val="left" w:pos="-720"/>
          <w:tab w:val="left" w:pos="0"/>
          <w:tab w:val="left" w:pos="851"/>
          <w:tab w:val="left" w:pos="3600"/>
        </w:tabs>
        <w:rPr>
          <w:rFonts w:ascii="Arial" w:eastAsia="Arial" w:hAnsi="Arial" w:cs="Arial"/>
          <w:color w:val="000000"/>
          <w:sz w:val="20"/>
          <w:szCs w:val="20"/>
          <w:u w:val="single"/>
        </w:rPr>
      </w:pPr>
    </w:p>
    <w:p w:rsidR="002C518B" w:rsidRDefault="00F50683">
      <w:pPr>
        <w:tabs>
          <w:tab w:val="left" w:pos="-720"/>
          <w:tab w:val="left" w:pos="0"/>
          <w:tab w:val="left" w:pos="851"/>
          <w:tab w:val="left" w:pos="3600"/>
        </w:tabs>
        <w:rPr>
          <w:rFonts w:ascii="Arial" w:eastAsia="Arial" w:hAnsi="Arial" w:cs="Arial"/>
          <w:i/>
          <w:color w:val="000000"/>
          <w:sz w:val="20"/>
          <w:szCs w:val="20"/>
        </w:rPr>
      </w:pPr>
      <w:r>
        <w:rPr>
          <w:rFonts w:ascii="Arial" w:eastAsia="Arial" w:hAnsi="Arial" w:cs="Arial"/>
          <w:i/>
          <w:color w:val="000000"/>
          <w:sz w:val="20"/>
          <w:szCs w:val="20"/>
          <w:vertAlign w:val="superscript"/>
        </w:rPr>
        <w:t>1</w:t>
      </w:r>
      <w:r>
        <w:rPr>
          <w:rFonts w:ascii="Arial" w:eastAsia="Arial" w:hAnsi="Arial" w:cs="Arial"/>
          <w:i/>
          <w:color w:val="000000"/>
          <w:sz w:val="20"/>
          <w:szCs w:val="20"/>
        </w:rPr>
        <w:t xml:space="preserve">University of Strathclyde, Glasgow, UK, </w:t>
      </w:r>
    </w:p>
    <w:p w:rsidR="002C518B" w:rsidRDefault="00F50683">
      <w:pPr>
        <w:tabs>
          <w:tab w:val="left" w:pos="-720"/>
          <w:tab w:val="left" w:pos="0"/>
          <w:tab w:val="left" w:pos="851"/>
          <w:tab w:val="left" w:pos="3600"/>
        </w:tabs>
        <w:rPr>
          <w:rFonts w:ascii="Arial" w:eastAsia="Arial" w:hAnsi="Arial" w:cs="Arial"/>
          <w:i/>
          <w:color w:val="000000"/>
          <w:sz w:val="20"/>
          <w:szCs w:val="20"/>
        </w:rPr>
      </w:pPr>
      <w:r>
        <w:rPr>
          <w:rFonts w:ascii="Arial" w:eastAsia="Arial" w:hAnsi="Arial" w:cs="Arial"/>
          <w:i/>
          <w:color w:val="000000"/>
          <w:sz w:val="20"/>
          <w:szCs w:val="20"/>
          <w:vertAlign w:val="superscript"/>
        </w:rPr>
        <w:t>2</w:t>
      </w:r>
      <w:r>
        <w:rPr>
          <w:rFonts w:ascii="Arial" w:eastAsia="Arial" w:hAnsi="Arial" w:cs="Arial"/>
          <w:i/>
          <w:color w:val="000000"/>
          <w:sz w:val="20"/>
          <w:szCs w:val="20"/>
        </w:rPr>
        <w:t xml:space="preserve">ESA, </w:t>
      </w:r>
      <w:proofErr w:type="spellStart"/>
      <w:r>
        <w:rPr>
          <w:rFonts w:ascii="Arial" w:eastAsia="Arial" w:hAnsi="Arial" w:cs="Arial"/>
          <w:i/>
          <w:color w:val="000000"/>
          <w:sz w:val="20"/>
          <w:szCs w:val="20"/>
        </w:rPr>
        <w:t>Noordwijk</w:t>
      </w:r>
      <w:proofErr w:type="spellEnd"/>
      <w:r>
        <w:rPr>
          <w:rFonts w:ascii="Arial" w:eastAsia="Arial" w:hAnsi="Arial" w:cs="Arial"/>
          <w:i/>
          <w:color w:val="000000"/>
          <w:sz w:val="20"/>
          <w:szCs w:val="20"/>
        </w:rPr>
        <w:t>, Netherlands</w:t>
      </w:r>
    </w:p>
    <w:p w:rsidR="002C518B" w:rsidRDefault="00F50683">
      <w:pPr>
        <w:tabs>
          <w:tab w:val="left" w:pos="-720"/>
          <w:tab w:val="left" w:pos="0"/>
          <w:tab w:val="left" w:pos="851"/>
          <w:tab w:val="left" w:pos="3600"/>
        </w:tabs>
        <w:rPr>
          <w:rFonts w:ascii="Arial" w:eastAsia="Arial" w:hAnsi="Arial" w:cs="Arial"/>
          <w:i/>
          <w:color w:val="000000"/>
          <w:sz w:val="20"/>
          <w:szCs w:val="20"/>
        </w:rPr>
      </w:pPr>
      <w:r>
        <w:rPr>
          <w:rFonts w:ascii="Arial" w:eastAsia="Arial" w:hAnsi="Arial" w:cs="Arial"/>
          <w:i/>
          <w:color w:val="000000"/>
          <w:sz w:val="20"/>
          <w:szCs w:val="20"/>
          <w:vertAlign w:val="superscript"/>
        </w:rPr>
        <w:t>3</w:t>
      </w:r>
      <w:r>
        <w:rPr>
          <w:rFonts w:ascii="Arial" w:eastAsia="Arial" w:hAnsi="Arial" w:cs="Arial"/>
          <w:i/>
          <w:color w:val="000000"/>
          <w:sz w:val="20"/>
          <w:szCs w:val="20"/>
        </w:rPr>
        <w:t>RHEA group, Leiden, Netherlands</w:t>
      </w:r>
    </w:p>
    <w:p w:rsidR="002C518B" w:rsidRDefault="00F50683">
      <w:pPr>
        <w:tabs>
          <w:tab w:val="left" w:pos="-720"/>
          <w:tab w:val="left" w:pos="0"/>
          <w:tab w:val="left" w:pos="851"/>
          <w:tab w:val="left" w:pos="3600"/>
        </w:tabs>
        <w:rPr>
          <w:rFonts w:ascii="Arial" w:eastAsia="Arial" w:hAnsi="Arial" w:cs="Arial"/>
          <w:i/>
          <w:color w:val="000000"/>
          <w:sz w:val="20"/>
          <w:szCs w:val="20"/>
        </w:rPr>
      </w:pPr>
      <w:r>
        <w:rPr>
          <w:rFonts w:ascii="Arial" w:eastAsia="Arial" w:hAnsi="Arial" w:cs="Arial"/>
          <w:i/>
          <w:color w:val="000000"/>
          <w:sz w:val="20"/>
          <w:szCs w:val="20"/>
          <w:vertAlign w:val="superscript"/>
        </w:rPr>
        <w:t>4</w:t>
      </w:r>
      <w:r>
        <w:rPr>
          <w:rFonts w:ascii="Arial" w:eastAsia="Arial" w:hAnsi="Arial" w:cs="Arial"/>
          <w:i/>
          <w:color w:val="000000"/>
          <w:sz w:val="20"/>
          <w:szCs w:val="20"/>
        </w:rPr>
        <w:t>AIRBUS, Bremen,</w:t>
      </w:r>
      <w:r w:rsidR="00552704">
        <w:rPr>
          <w:rFonts w:ascii="Arial" w:eastAsia="Arial" w:hAnsi="Arial" w:cs="Arial"/>
          <w:i/>
          <w:color w:val="000000"/>
          <w:sz w:val="20"/>
          <w:szCs w:val="20"/>
        </w:rPr>
        <w:t xml:space="preserve"> </w:t>
      </w:r>
      <w:r>
        <w:rPr>
          <w:rFonts w:ascii="Arial" w:eastAsia="Arial" w:hAnsi="Arial" w:cs="Arial"/>
          <w:i/>
          <w:color w:val="000000"/>
          <w:sz w:val="20"/>
          <w:szCs w:val="20"/>
        </w:rPr>
        <w:t>Germany</w:t>
      </w:r>
    </w:p>
    <w:p w:rsidR="002C518B" w:rsidRDefault="00F50683">
      <w:pPr>
        <w:tabs>
          <w:tab w:val="left" w:pos="-720"/>
          <w:tab w:val="left" w:pos="0"/>
          <w:tab w:val="left" w:pos="851"/>
          <w:tab w:val="left" w:pos="3600"/>
        </w:tabs>
        <w:rPr>
          <w:rFonts w:ascii="Arial" w:eastAsia="Arial" w:hAnsi="Arial" w:cs="Arial"/>
          <w:i/>
          <w:color w:val="000000"/>
          <w:sz w:val="20"/>
          <w:szCs w:val="20"/>
        </w:rPr>
      </w:pPr>
      <w:r>
        <w:rPr>
          <w:rFonts w:ascii="Arial" w:eastAsia="Arial" w:hAnsi="Arial" w:cs="Arial"/>
          <w:i/>
          <w:color w:val="000000"/>
          <w:sz w:val="20"/>
          <w:szCs w:val="20"/>
        </w:rPr>
        <w:t xml:space="preserve">*Primary author contact details:  </w:t>
      </w:r>
      <w:r>
        <w:rPr>
          <w:rFonts w:ascii="Arial" w:eastAsia="Arial" w:hAnsi="Arial" w:cs="Arial"/>
          <w:i/>
          <w:sz w:val="20"/>
          <w:szCs w:val="20"/>
        </w:rPr>
        <w:t>francesco.murdaca@strath.ac.uk</w:t>
      </w:r>
      <w:r>
        <w:rPr>
          <w:rFonts w:ascii="Arial" w:eastAsia="Arial" w:hAnsi="Arial" w:cs="Arial"/>
          <w:i/>
          <w:color w:val="000000"/>
          <w:sz w:val="20"/>
          <w:szCs w:val="20"/>
        </w:rPr>
        <w:t xml:space="preserve"> </w:t>
      </w:r>
    </w:p>
    <w:p w:rsidR="002C518B" w:rsidRDefault="002C518B">
      <w:pPr>
        <w:tabs>
          <w:tab w:val="left" w:pos="-720"/>
          <w:tab w:val="left" w:pos="0"/>
          <w:tab w:val="left" w:pos="851"/>
          <w:tab w:val="left" w:pos="3600"/>
        </w:tabs>
        <w:rPr>
          <w:rFonts w:ascii="Arial" w:eastAsia="Arial" w:hAnsi="Arial" w:cs="Arial"/>
          <w:i/>
          <w:color w:val="000000"/>
          <w:sz w:val="20"/>
          <w:szCs w:val="20"/>
        </w:rPr>
      </w:pPr>
    </w:p>
    <w:p w:rsidR="002C518B" w:rsidRDefault="00F50683">
      <w:pPr>
        <w:numPr>
          <w:ilvl w:val="0"/>
          <w:numId w:val="1"/>
        </w:numPr>
        <w:pBdr>
          <w:top w:val="nil"/>
          <w:left w:val="nil"/>
          <w:bottom w:val="nil"/>
          <w:right w:val="nil"/>
          <w:between w:val="nil"/>
        </w:pBdr>
        <w:tabs>
          <w:tab w:val="left" w:pos="-720"/>
          <w:tab w:val="left" w:pos="0"/>
          <w:tab w:val="left" w:pos="3600"/>
        </w:tabs>
        <w:spacing w:after="120"/>
        <w:ind w:left="425" w:hanging="425"/>
        <w:contextualSpacing/>
        <w:jc w:val="both"/>
        <w:rPr>
          <w:rFonts w:ascii="Arial" w:eastAsia="Arial" w:hAnsi="Arial" w:cs="Arial"/>
          <w:b/>
          <w:color w:val="000000"/>
          <w:sz w:val="20"/>
          <w:szCs w:val="20"/>
        </w:rPr>
      </w:pPr>
      <w:r>
        <w:rPr>
          <w:rFonts w:ascii="Arial" w:eastAsia="Arial" w:hAnsi="Arial" w:cs="Arial"/>
          <w:b/>
          <w:color w:val="000000"/>
          <w:sz w:val="20"/>
          <w:szCs w:val="20"/>
        </w:rPr>
        <w:t>Introduction</w:t>
      </w:r>
    </w:p>
    <w:p w:rsidR="002C518B" w:rsidRDefault="00F50683">
      <w:pPr>
        <w:widowControl/>
        <w:jc w:val="both"/>
        <w:rPr>
          <w:rFonts w:ascii="Arial" w:eastAsia="Arial" w:hAnsi="Arial" w:cs="Arial"/>
        </w:rPr>
      </w:pPr>
      <w:r>
        <w:rPr>
          <w:rFonts w:ascii="Arial" w:eastAsia="Arial" w:hAnsi="Arial" w:cs="Arial"/>
          <w:color w:val="000000"/>
          <w:sz w:val="20"/>
          <w:szCs w:val="20"/>
        </w:rPr>
        <w:t xml:space="preserve">Pre-feasibility and feasibility studies outputs are the first steps of a space mission development. This is the step when experts are encouraged to consider several design options with a certain creativity margin, select input parameters, balance trade-offs and eventually take decisions that will impact the whole design of the mission. </w:t>
      </w:r>
      <w:r>
        <w:rPr>
          <w:rFonts w:ascii="Arial" w:eastAsia="Arial" w:hAnsi="Arial" w:cs="Arial"/>
          <w:color w:val="000000"/>
          <w:sz w:val="20"/>
          <w:szCs w:val="20"/>
          <w:highlight w:val="white"/>
        </w:rPr>
        <w:t xml:space="preserve"> At the era of Big Data analytics space mission design could benefit from computational intelligent methods to capitalise on previous, present and future studies and lessons learned to support experts in this design process. </w:t>
      </w:r>
    </w:p>
    <w:p w:rsidR="002C518B" w:rsidRDefault="002C518B">
      <w:pPr>
        <w:widowControl/>
        <w:jc w:val="both"/>
        <w:rPr>
          <w:rFonts w:ascii="Arial" w:eastAsia="Arial" w:hAnsi="Arial" w:cs="Arial"/>
        </w:rPr>
      </w:pPr>
    </w:p>
    <w:p w:rsidR="002C518B" w:rsidRDefault="00F50683">
      <w:pPr>
        <w:widowControl/>
        <w:jc w:val="both"/>
        <w:rPr>
          <w:rFonts w:ascii="Arial" w:eastAsia="Arial" w:hAnsi="Arial" w:cs="Arial"/>
        </w:rPr>
      </w:pPr>
      <w:r>
        <w:rPr>
          <w:rFonts w:ascii="Arial" w:eastAsia="Arial" w:hAnsi="Arial" w:cs="Arial"/>
          <w:color w:val="000000"/>
          <w:sz w:val="20"/>
          <w:szCs w:val="20"/>
          <w:highlight w:val="white"/>
        </w:rPr>
        <w:t>This paper describes the early stages of the development of an ontology based Cognitive Assistant (CA), also called Design Engineering Assistant (DEA) for the preliminary design of space missions in support of concurrent engineering sessions. Figure 1 displays th</w:t>
      </w:r>
      <w:r>
        <w:rPr>
          <w:rFonts w:ascii="Arial" w:eastAsia="Arial" w:hAnsi="Arial" w:cs="Arial"/>
          <w:sz w:val="20"/>
          <w:szCs w:val="20"/>
          <w:highlight w:val="white"/>
        </w:rPr>
        <w:t>e preliminary architecture of the tool.</w:t>
      </w:r>
      <w:r>
        <w:rPr>
          <w:rFonts w:ascii="Arial" w:eastAsia="Arial" w:hAnsi="Arial" w:cs="Arial"/>
          <w:color w:val="000000"/>
          <w:sz w:val="20"/>
          <w:szCs w:val="20"/>
          <w:highlight w:val="white"/>
        </w:rPr>
        <w:t xml:space="preserve"> CAs, decision support tools based on computational intelligence methods and extensive knowledge bases (i.e. formal ontologies), have the potential to enhance the productivity of human experts by providing new insights on large amount of data accumulated in their field. CAs are already successfully being used in the aeronautical, automobile, agricultural, legal and medical fields. </w:t>
      </w:r>
      <w:bookmarkStart w:id="0" w:name="_GoBack"/>
      <w:bookmarkEnd w:id="0"/>
      <w:r w:rsidR="00892D96">
        <w:rPr>
          <w:rFonts w:ascii="Arial" w:eastAsia="Arial" w:hAnsi="Arial" w:cs="Arial"/>
          <w:color w:val="000000"/>
          <w:sz w:val="20"/>
          <w:szCs w:val="20"/>
          <w:highlight w:val="white"/>
        </w:rPr>
        <w:t>However,</w:t>
      </w:r>
      <w:r>
        <w:rPr>
          <w:rFonts w:ascii="Arial" w:eastAsia="Arial" w:hAnsi="Arial" w:cs="Arial"/>
          <w:color w:val="000000"/>
          <w:sz w:val="20"/>
          <w:szCs w:val="20"/>
          <w:highlight w:val="white"/>
        </w:rPr>
        <w:t xml:space="preserve"> in the space field few or only incomplete ontologies have been manually developed so far. </w:t>
      </w:r>
    </w:p>
    <w:p w:rsidR="002C518B" w:rsidRDefault="002C518B">
      <w:pPr>
        <w:widowControl/>
        <w:jc w:val="both"/>
        <w:rPr>
          <w:rFonts w:ascii="Arial" w:eastAsia="Arial" w:hAnsi="Arial" w:cs="Arial"/>
        </w:rPr>
      </w:pPr>
    </w:p>
    <w:p w:rsidR="002C518B" w:rsidRDefault="00F50683">
      <w:pPr>
        <w:widowControl/>
        <w:jc w:val="both"/>
        <w:rPr>
          <w:rFonts w:ascii="Arial" w:eastAsia="Arial" w:hAnsi="Arial" w:cs="Arial"/>
        </w:rPr>
      </w:pPr>
      <w:r>
        <w:rPr>
          <w:rFonts w:ascii="Arial" w:eastAsia="Arial" w:hAnsi="Arial" w:cs="Arial"/>
          <w:color w:val="000000"/>
          <w:sz w:val="20"/>
          <w:szCs w:val="20"/>
          <w:highlight w:val="white"/>
        </w:rPr>
        <w:t xml:space="preserve">In the frame of this study automatic or semi-automatic ontology learning techniques are applied to build a complete space mission ontology taking advantage of accumulated unstructured and structured data from the space domain. The primary targeted users are space systems and subsystems experts taking part into concurrent engineering studies. The DEA will interact with the users via a natural language interface and use machine learning methods to improve its answers to the users’ queries. </w:t>
      </w:r>
    </w:p>
    <w:p w:rsidR="002C518B" w:rsidRDefault="00F50683">
      <w:pPr>
        <w:jc w:val="both"/>
        <w:rPr>
          <w:rFonts w:ascii="Arial" w:eastAsia="Arial" w:hAnsi="Arial" w:cs="Arial"/>
          <w:color w:val="000000"/>
          <w:sz w:val="20"/>
          <w:szCs w:val="20"/>
        </w:rPr>
      </w:pPr>
      <w:r>
        <w:rPr>
          <w:rFonts w:ascii="Arial" w:eastAsia="Arial" w:hAnsi="Arial" w:cs="Arial"/>
        </w:rPr>
        <w:br/>
      </w:r>
      <w:r>
        <w:rPr>
          <w:rFonts w:ascii="Arial" w:eastAsia="Arial" w:hAnsi="Arial" w:cs="Arial"/>
          <w:color w:val="000000"/>
          <w:sz w:val="20"/>
          <w:szCs w:val="20"/>
          <w:highlight w:val="white"/>
        </w:rPr>
        <w:t>This paper presents how a cognitive assistant could support space systems experts, whether by relieving their workload, by allowing them to capitalise on pasts designs and lessons learned or by providing hints of alternative design. T</w:t>
      </w:r>
      <w:r>
        <w:rPr>
          <w:rFonts w:ascii="Arial" w:eastAsia="Arial" w:hAnsi="Arial" w:cs="Arial"/>
          <w:color w:val="000000"/>
          <w:sz w:val="20"/>
          <w:szCs w:val="20"/>
        </w:rPr>
        <w:t>he DEA will help the experts to not only rely on their own knowledge but also beneficiate from all the accumulated expertise from the space mission design field. This intelligent agent is not intended to substitute the human but rather to enhance her/his perception of different design alternatives and past decisions outcomes. Beyond the technical challenges the DEA must also prove its reliability and trustworthiness to the experts. The intelligent agent has to find its place into the experts’ work habits.</w:t>
      </w:r>
    </w:p>
    <w:p w:rsidR="002C518B" w:rsidRDefault="002C518B">
      <w:pPr>
        <w:jc w:val="both"/>
        <w:rPr>
          <w:rFonts w:ascii="Arial" w:eastAsia="Arial" w:hAnsi="Arial" w:cs="Arial"/>
          <w:color w:val="000000"/>
          <w:sz w:val="20"/>
          <w:szCs w:val="20"/>
        </w:rPr>
      </w:pPr>
    </w:p>
    <w:p w:rsidR="002C518B" w:rsidRDefault="00F50683">
      <w:pPr>
        <w:numPr>
          <w:ilvl w:val="0"/>
          <w:numId w:val="1"/>
        </w:numPr>
        <w:pBdr>
          <w:top w:val="nil"/>
          <w:left w:val="nil"/>
          <w:bottom w:val="nil"/>
          <w:right w:val="nil"/>
          <w:between w:val="nil"/>
        </w:pBdr>
        <w:tabs>
          <w:tab w:val="left" w:pos="-720"/>
          <w:tab w:val="left" w:pos="284"/>
        </w:tabs>
        <w:spacing w:after="120"/>
        <w:ind w:left="0"/>
        <w:contextualSpacing/>
        <w:jc w:val="both"/>
        <w:rPr>
          <w:rFonts w:ascii="Arial" w:eastAsia="Arial" w:hAnsi="Arial" w:cs="Arial"/>
          <w:b/>
          <w:color w:val="000000"/>
          <w:sz w:val="20"/>
          <w:szCs w:val="20"/>
        </w:rPr>
      </w:pPr>
      <w:r>
        <w:rPr>
          <w:rFonts w:ascii="Arial" w:eastAsia="Arial" w:hAnsi="Arial" w:cs="Arial"/>
          <w:b/>
          <w:color w:val="000000"/>
          <w:sz w:val="20"/>
          <w:szCs w:val="20"/>
        </w:rPr>
        <w:t>Figure</w:t>
      </w:r>
    </w:p>
    <w:p w:rsidR="002C518B" w:rsidRDefault="00F50683">
      <w:pPr>
        <w:pBdr>
          <w:top w:val="nil"/>
          <w:left w:val="nil"/>
          <w:bottom w:val="nil"/>
          <w:right w:val="nil"/>
          <w:between w:val="nil"/>
        </w:pBdr>
        <w:tabs>
          <w:tab w:val="left" w:pos="-720"/>
          <w:tab w:val="left" w:pos="284"/>
        </w:tabs>
        <w:spacing w:after="120"/>
        <w:ind w:left="-141"/>
        <w:jc w:val="both"/>
      </w:pPr>
      <w:r>
        <w:rPr>
          <w:noProof/>
        </w:rPr>
        <w:drawing>
          <wp:inline distT="114300" distB="114300" distL="114300" distR="114300">
            <wp:extent cx="6162675" cy="1352867"/>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l="991" r="830"/>
                    <a:stretch>
                      <a:fillRect/>
                    </a:stretch>
                  </pic:blipFill>
                  <pic:spPr>
                    <a:xfrm>
                      <a:off x="0" y="0"/>
                      <a:ext cx="6162675" cy="1352867"/>
                    </a:xfrm>
                    <a:prstGeom prst="rect">
                      <a:avLst/>
                    </a:prstGeom>
                    <a:ln/>
                  </pic:spPr>
                </pic:pic>
              </a:graphicData>
            </a:graphic>
          </wp:inline>
        </w:drawing>
      </w:r>
    </w:p>
    <w:p w:rsidR="002C518B" w:rsidRDefault="00F50683">
      <w:pPr>
        <w:pBdr>
          <w:top w:val="nil"/>
          <w:left w:val="nil"/>
          <w:bottom w:val="nil"/>
          <w:right w:val="nil"/>
          <w:between w:val="nil"/>
        </w:pBdr>
        <w:tabs>
          <w:tab w:val="left" w:pos="-720"/>
          <w:tab w:val="left" w:pos="284"/>
        </w:tabs>
        <w:spacing w:after="120"/>
        <w:jc w:val="center"/>
      </w:pPr>
      <w:r>
        <w:rPr>
          <w:rFonts w:ascii="Arial" w:eastAsia="Arial" w:hAnsi="Arial" w:cs="Arial"/>
          <w:color w:val="000000"/>
          <w:sz w:val="20"/>
          <w:szCs w:val="20"/>
        </w:rPr>
        <w:t xml:space="preserve">Figure </w:t>
      </w:r>
      <w:r>
        <w:rPr>
          <w:rFonts w:ascii="Arial" w:eastAsia="Arial" w:hAnsi="Arial" w:cs="Arial"/>
          <w:sz w:val="20"/>
          <w:szCs w:val="20"/>
        </w:rPr>
        <w:t>1</w:t>
      </w:r>
      <w:r>
        <w:rPr>
          <w:rFonts w:ascii="Arial" w:eastAsia="Arial" w:hAnsi="Arial" w:cs="Arial"/>
          <w:color w:val="000000"/>
          <w:sz w:val="20"/>
          <w:szCs w:val="20"/>
        </w:rPr>
        <w:t>: DEA Preliminary Architecture</w:t>
      </w:r>
    </w:p>
    <w:sectPr w:rsidR="002C518B">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B4C" w:rsidRDefault="00314B4C">
      <w:r>
        <w:separator/>
      </w:r>
    </w:p>
  </w:endnote>
  <w:endnote w:type="continuationSeparator" w:id="0">
    <w:p w:rsidR="00314B4C" w:rsidRDefault="0031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B4C" w:rsidRDefault="00314B4C">
      <w:r>
        <w:separator/>
      </w:r>
    </w:p>
  </w:footnote>
  <w:footnote w:type="continuationSeparator" w:id="0">
    <w:p w:rsidR="00314B4C" w:rsidRDefault="00314B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18B" w:rsidRDefault="00552704">
    <w:pPr>
      <w:tabs>
        <w:tab w:val="left" w:pos="-720"/>
        <w:tab w:val="left" w:pos="851"/>
        <w:tab w:val="left" w:pos="3600"/>
      </w:tabs>
      <w:rPr>
        <w:rFonts w:ascii="Arial" w:eastAsia="Arial" w:hAnsi="Arial" w:cs="Arial"/>
        <w:b/>
        <w:i/>
        <w:color w:val="000000"/>
      </w:rPr>
    </w:pPr>
    <w:r>
      <w:rPr>
        <w:rFonts w:ascii="Arial" w:eastAsia="Arial" w:hAnsi="Arial" w:cs="Arial"/>
        <w:b/>
        <w:i/>
        <w:color w:val="000000"/>
        <w:sz w:val="20"/>
        <w:szCs w:val="20"/>
      </w:rPr>
      <w:t>SECESA 2018</w:t>
    </w:r>
    <w:r w:rsidR="00F50683">
      <w:rPr>
        <w:rFonts w:ascii="Arial" w:eastAsia="Arial" w:hAnsi="Arial" w:cs="Arial"/>
        <w:b/>
        <w:i/>
        <w:color w:val="000000"/>
      </w:rPr>
      <w:tab/>
    </w:r>
    <w:r w:rsidR="00F50683">
      <w:rPr>
        <w:rFonts w:ascii="Arial" w:eastAsia="Arial" w:hAnsi="Arial" w:cs="Arial"/>
        <w:b/>
        <w:i/>
        <w:color w:val="000000"/>
      </w:rPr>
      <w:tab/>
    </w:r>
    <w:r w:rsidR="00F50683">
      <w:rPr>
        <w:rFonts w:ascii="Arial" w:eastAsia="Arial" w:hAnsi="Arial" w:cs="Arial"/>
        <w:b/>
        <w:i/>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F462A"/>
    <w:multiLevelType w:val="multilevel"/>
    <w:tmpl w:val="149884BC"/>
    <w:lvl w:ilvl="0">
      <w:start w:val="1"/>
      <w:numFmt w:val="decimal"/>
      <w:lvlText w:val="%1."/>
      <w:lvlJc w:val="left"/>
      <w:pPr>
        <w:ind w:left="340" w:firstLine="0"/>
      </w:pPr>
    </w:lvl>
    <w:lvl w:ilvl="1">
      <w:start w:val="1"/>
      <w:numFmt w:val="decimal"/>
      <w:lvlText w:val="%1.%2."/>
      <w:lvlJc w:val="left"/>
      <w:pPr>
        <w:ind w:left="340" w:firstLine="0"/>
      </w:pPr>
    </w:lvl>
    <w:lvl w:ilvl="2">
      <w:start w:val="1"/>
      <w:numFmt w:val="decimal"/>
      <w:lvlText w:val="%1.%2.%3."/>
      <w:lvlJc w:val="left"/>
      <w:pPr>
        <w:ind w:left="340" w:firstLine="0"/>
      </w:pPr>
    </w:lvl>
    <w:lvl w:ilvl="3">
      <w:start w:val="1"/>
      <w:numFmt w:val="decimal"/>
      <w:lvlText w:val="%1.%2.%3.%4."/>
      <w:lvlJc w:val="left"/>
      <w:pPr>
        <w:ind w:left="340" w:firstLine="0"/>
      </w:pPr>
    </w:lvl>
    <w:lvl w:ilvl="4">
      <w:start w:val="1"/>
      <w:numFmt w:val="decimal"/>
      <w:lvlText w:val="%1.%2.%3.%4.%5."/>
      <w:lvlJc w:val="left"/>
      <w:pPr>
        <w:ind w:left="340" w:firstLine="0"/>
      </w:pPr>
    </w:lvl>
    <w:lvl w:ilvl="5">
      <w:start w:val="1"/>
      <w:numFmt w:val="decimal"/>
      <w:lvlText w:val="%1.%2.%3.%4.%5.%6."/>
      <w:lvlJc w:val="left"/>
      <w:pPr>
        <w:ind w:left="340" w:firstLine="0"/>
      </w:pPr>
    </w:lvl>
    <w:lvl w:ilvl="6">
      <w:start w:val="1"/>
      <w:numFmt w:val="decimal"/>
      <w:lvlText w:val="%1.%2.%3.%4.%5.%6.%7."/>
      <w:lvlJc w:val="left"/>
      <w:pPr>
        <w:ind w:left="340" w:firstLine="0"/>
      </w:pPr>
    </w:lvl>
    <w:lvl w:ilvl="7">
      <w:start w:val="1"/>
      <w:numFmt w:val="decimal"/>
      <w:lvlText w:val="%1.%2.%3.%4.%5.%6.%7.%8."/>
      <w:lvlJc w:val="left"/>
      <w:pPr>
        <w:ind w:left="340" w:firstLine="0"/>
      </w:pPr>
    </w:lvl>
    <w:lvl w:ilvl="8">
      <w:start w:val="1"/>
      <w:numFmt w:val="decimal"/>
      <w:lvlText w:val="%1.%2.%3.%4.%5.%6.%7.%8.%9."/>
      <w:lvlJc w:val="left"/>
      <w:pPr>
        <w:ind w:left="3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C518B"/>
    <w:rsid w:val="002C518B"/>
    <w:rsid w:val="00314B4C"/>
    <w:rsid w:val="00552704"/>
    <w:rsid w:val="00892D96"/>
    <w:rsid w:val="00F50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7A7CD-824A-40B0-9EDA-637FB934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52704"/>
    <w:pPr>
      <w:tabs>
        <w:tab w:val="center" w:pos="4513"/>
        <w:tab w:val="right" w:pos="9026"/>
      </w:tabs>
    </w:pPr>
  </w:style>
  <w:style w:type="character" w:customStyle="1" w:styleId="HeaderChar">
    <w:name w:val="Header Char"/>
    <w:basedOn w:val="DefaultParagraphFont"/>
    <w:link w:val="Header"/>
    <w:uiPriority w:val="99"/>
    <w:rsid w:val="00552704"/>
  </w:style>
  <w:style w:type="paragraph" w:styleId="Footer">
    <w:name w:val="footer"/>
    <w:basedOn w:val="Normal"/>
    <w:link w:val="FooterChar"/>
    <w:uiPriority w:val="99"/>
    <w:unhideWhenUsed/>
    <w:rsid w:val="00552704"/>
    <w:pPr>
      <w:tabs>
        <w:tab w:val="center" w:pos="4513"/>
        <w:tab w:val="right" w:pos="9026"/>
      </w:tabs>
    </w:pPr>
  </w:style>
  <w:style w:type="character" w:customStyle="1" w:styleId="FooterChar">
    <w:name w:val="Footer Char"/>
    <w:basedOn w:val="DefaultParagraphFont"/>
    <w:link w:val="Footer"/>
    <w:uiPriority w:val="99"/>
    <w:rsid w:val="00552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Francesco Murdaa</cp:lastModifiedBy>
  <cp:revision>4</cp:revision>
  <dcterms:created xsi:type="dcterms:W3CDTF">2018-05-02T15:41:00Z</dcterms:created>
  <dcterms:modified xsi:type="dcterms:W3CDTF">2018-05-02T16:00:00Z</dcterms:modified>
</cp:coreProperties>
</file>