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72CBB" w14:textId="3C473BEA" w:rsidR="00E272EB" w:rsidRPr="00614BDE" w:rsidRDefault="00EE14C8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INFANTE: Technology demonstration of small missions using time space partitioning to manage multiple payloads</w:t>
      </w:r>
    </w:p>
    <w:p w14:paraId="58FD9A57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79D1FF3D" w14:textId="549E0732" w:rsidR="00EE14C8" w:rsidRPr="002F3AC2" w:rsidRDefault="00EE14C8" w:rsidP="00EE14C8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pt-PT"/>
        </w:rPr>
      </w:pPr>
      <w:r w:rsidRPr="002F3AC2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pt-PT"/>
        </w:rPr>
        <w:t>D</w:t>
      </w:r>
      <w:r w:rsidR="008C7162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pt-PT"/>
        </w:rPr>
        <w:t>.</w:t>
      </w:r>
      <w:r w:rsidRPr="002F3AC2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pt-PT"/>
        </w:rPr>
        <w:t xml:space="preserve"> Silveira</w:t>
      </w:r>
      <w:r w:rsidRPr="002F3AC2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pt-PT"/>
        </w:rPr>
        <w:t>1*</w:t>
      </w:r>
      <w:r w:rsidRPr="002F3AC2">
        <w:rPr>
          <w:rFonts w:ascii="Arial" w:eastAsia="Arial Unicode MS" w:hAnsi="Arial" w:cs="Arial"/>
          <w:i/>
          <w:color w:val="000000" w:themeColor="text1"/>
          <w:spacing w:val="-2"/>
          <w:sz w:val="20"/>
          <w:lang w:val="pt-PT"/>
        </w:rPr>
        <w:t xml:space="preserve">; </w:t>
      </w:r>
      <w:r w:rsidR="008C7162">
        <w:rPr>
          <w:rFonts w:ascii="Arial" w:eastAsia="Arial Unicode MS" w:hAnsi="Arial" w:cs="Arial"/>
          <w:i/>
          <w:color w:val="000000" w:themeColor="text1"/>
          <w:spacing w:val="-2"/>
          <w:sz w:val="20"/>
          <w:lang w:val="pt-PT"/>
        </w:rPr>
        <w:t>L.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pt-PT"/>
        </w:rPr>
        <w:t xml:space="preserve"> </w:t>
      </w:r>
      <w:r w:rsidR="008C7162">
        <w:rPr>
          <w:rFonts w:ascii="Arial" w:eastAsia="Arial Unicode MS" w:hAnsi="Arial" w:cs="Arial"/>
          <w:i/>
          <w:color w:val="000000" w:themeColor="text1"/>
          <w:spacing w:val="-2"/>
          <w:sz w:val="20"/>
          <w:lang w:val="pt-PT"/>
        </w:rPr>
        <w:t>Murta</w:t>
      </w:r>
      <w:r w:rsidRPr="002F3AC2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pt-PT"/>
        </w:rPr>
        <w:t>2</w:t>
      </w:r>
      <w:r w:rsidRPr="002F3AC2">
        <w:rPr>
          <w:rFonts w:ascii="Arial" w:eastAsia="Arial Unicode MS" w:hAnsi="Arial" w:cs="Arial"/>
          <w:i/>
          <w:color w:val="000000" w:themeColor="text1"/>
          <w:spacing w:val="-2"/>
          <w:sz w:val="20"/>
          <w:lang w:val="pt-PT"/>
        </w:rPr>
        <w:t xml:space="preserve">, </w:t>
      </w:r>
      <w:r w:rsidR="008C7162">
        <w:rPr>
          <w:rFonts w:ascii="Arial" w:eastAsia="Arial Unicode MS" w:hAnsi="Arial" w:cs="Arial"/>
          <w:i/>
          <w:color w:val="000000" w:themeColor="text1"/>
          <w:spacing w:val="-2"/>
          <w:sz w:val="20"/>
          <w:lang w:val="pt-PT"/>
        </w:rPr>
        <w:t>J. Ferreira</w:t>
      </w:r>
      <w:r w:rsidR="008C7162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pt-PT"/>
        </w:rPr>
        <w:t>3</w:t>
      </w:r>
    </w:p>
    <w:p w14:paraId="0839CF75" w14:textId="77777777" w:rsidR="00EE14C8" w:rsidRPr="002F3AC2" w:rsidRDefault="00EE14C8" w:rsidP="00EE14C8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pt-PT"/>
        </w:rPr>
      </w:pPr>
    </w:p>
    <w:p w14:paraId="2CD87E91" w14:textId="77777777" w:rsidR="00EE14C8" w:rsidRPr="00614BDE" w:rsidRDefault="00EE14C8" w:rsidP="00EE14C8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GMV, Lisbon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Portugal, *Primary author contact details: </w:t>
      </w:r>
      <w:hyperlink r:id="rId10" w:history="1">
        <w:r w:rsidRPr="00AC472F">
          <w:rPr>
            <w:rStyle w:val="Hyperlink"/>
            <w:rFonts w:ascii="Arial" w:eastAsia="Arial Unicode MS" w:hAnsi="Arial" w:cs="Arial"/>
            <w:i/>
            <w:spacing w:val="-2"/>
            <w:sz w:val="20"/>
            <w:lang w:val="en-GB"/>
          </w:rPr>
          <w:t>dtms@gmv.com</w:t>
        </w:r>
      </w:hyperlink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</w:p>
    <w:p w14:paraId="4094E2BA" w14:textId="48A6EB56" w:rsidR="008C7162" w:rsidRPr="0078284A" w:rsidRDefault="00EE14C8" w:rsidP="008C7162">
      <w:pPr>
        <w:tabs>
          <w:tab w:val="left" w:pos="-720"/>
          <w:tab w:val="left" w:pos="0"/>
          <w:tab w:val="left" w:pos="851"/>
          <w:tab w:val="left" w:pos="3600"/>
        </w:tabs>
        <w:rPr>
          <w:rStyle w:val="Hyperlink"/>
          <w:rFonts w:eastAsia="Arial Unicode MS"/>
          <w:lang w:val="pt-PT"/>
        </w:rPr>
      </w:pPr>
      <w:r w:rsidRPr="008C7162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pt-PT"/>
        </w:rPr>
        <w:t>2</w:t>
      </w:r>
      <w:r w:rsidR="008C7162" w:rsidRPr="002F3AC2">
        <w:rPr>
          <w:rFonts w:ascii="Arial" w:eastAsia="Arial Unicode MS" w:hAnsi="Arial" w:cs="Arial"/>
          <w:i/>
          <w:color w:val="000000" w:themeColor="text1"/>
          <w:spacing w:val="-2"/>
          <w:sz w:val="20"/>
          <w:lang w:val="pt-PT"/>
        </w:rPr>
        <w:t>GMV, Lisbon, Portugal,</w:t>
      </w:r>
      <w:r w:rsidR="008C7162">
        <w:rPr>
          <w:rFonts w:ascii="Arial" w:eastAsia="Arial Unicode MS" w:hAnsi="Arial" w:cs="Arial"/>
          <w:i/>
          <w:color w:val="000000" w:themeColor="text1"/>
          <w:spacing w:val="-2"/>
          <w:sz w:val="20"/>
          <w:lang w:val="pt-PT"/>
        </w:rPr>
        <w:t xml:space="preserve"> </w:t>
      </w:r>
      <w:r w:rsidR="008C7162" w:rsidRPr="0078284A">
        <w:rPr>
          <w:rStyle w:val="Hyperlink"/>
          <w:rFonts w:ascii="Arial" w:eastAsia="Arial Unicode MS" w:hAnsi="Arial" w:cs="Arial"/>
          <w:i/>
          <w:spacing w:val="-2"/>
          <w:sz w:val="20"/>
          <w:lang w:val="pt-PT"/>
        </w:rPr>
        <w:t>l</w:t>
      </w:r>
      <w:r w:rsidR="008C7162">
        <w:rPr>
          <w:rStyle w:val="Hyperlink"/>
          <w:rFonts w:ascii="Arial" w:eastAsia="Arial Unicode MS" w:hAnsi="Arial" w:cs="Arial"/>
          <w:i/>
          <w:spacing w:val="-2"/>
          <w:sz w:val="20"/>
          <w:lang w:val="pt-PT"/>
        </w:rPr>
        <w:t>uis.murta</w:t>
      </w:r>
      <w:r w:rsidR="008C7162" w:rsidRPr="0078284A">
        <w:rPr>
          <w:rStyle w:val="Hyperlink"/>
          <w:rFonts w:ascii="Arial" w:eastAsia="Arial Unicode MS" w:hAnsi="Arial" w:cs="Arial"/>
          <w:i/>
          <w:spacing w:val="-2"/>
          <w:sz w:val="20"/>
          <w:lang w:val="pt-PT"/>
        </w:rPr>
        <w:t>@gmv.com</w:t>
      </w:r>
    </w:p>
    <w:p w14:paraId="232E0835" w14:textId="49C926CD" w:rsidR="00EE14C8" w:rsidRPr="008C7162" w:rsidRDefault="00EE14C8" w:rsidP="00EE14C8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pt-PT"/>
        </w:rPr>
      </w:pPr>
      <w:r w:rsidRPr="008C7162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pt-PT"/>
        </w:rPr>
        <w:t>3</w:t>
      </w:r>
      <w:r w:rsidR="008C7162" w:rsidRPr="008C7162">
        <w:rPr>
          <w:rFonts w:ascii="Arial" w:eastAsia="Arial Unicode MS" w:hAnsi="Arial" w:cs="Arial"/>
          <w:i/>
          <w:color w:val="000000" w:themeColor="text1"/>
          <w:spacing w:val="-2"/>
          <w:sz w:val="20"/>
          <w:lang w:val="pt-PT"/>
        </w:rPr>
        <w:t>TEKEVER</w:t>
      </w:r>
      <w:r w:rsidRPr="008C7162">
        <w:rPr>
          <w:rFonts w:ascii="Arial" w:eastAsia="Arial Unicode MS" w:hAnsi="Arial" w:cs="Arial"/>
          <w:i/>
          <w:color w:val="000000" w:themeColor="text1"/>
          <w:spacing w:val="-2"/>
          <w:sz w:val="20"/>
          <w:lang w:val="pt-PT"/>
        </w:rPr>
        <w:t xml:space="preserve">, </w:t>
      </w:r>
      <w:r w:rsidR="008C7162" w:rsidRPr="008C7162">
        <w:rPr>
          <w:rFonts w:ascii="Arial" w:eastAsia="Arial Unicode MS" w:hAnsi="Arial" w:cs="Arial"/>
          <w:i/>
          <w:color w:val="000000" w:themeColor="text1"/>
          <w:spacing w:val="-2"/>
          <w:sz w:val="20"/>
          <w:lang w:val="pt-PT"/>
        </w:rPr>
        <w:t>Lisbon</w:t>
      </w:r>
      <w:r w:rsidRPr="008C7162">
        <w:rPr>
          <w:rFonts w:ascii="Arial" w:eastAsia="Arial Unicode MS" w:hAnsi="Arial" w:cs="Arial"/>
          <w:i/>
          <w:color w:val="000000" w:themeColor="text1"/>
          <w:spacing w:val="-2"/>
          <w:sz w:val="20"/>
          <w:lang w:val="pt-PT"/>
        </w:rPr>
        <w:t xml:space="preserve">, </w:t>
      </w:r>
      <w:r w:rsidR="008C7162" w:rsidRPr="008C7162">
        <w:rPr>
          <w:rFonts w:ascii="Arial" w:eastAsia="Arial Unicode MS" w:hAnsi="Arial" w:cs="Arial"/>
          <w:i/>
          <w:color w:val="000000" w:themeColor="text1"/>
          <w:spacing w:val="-2"/>
          <w:sz w:val="20"/>
          <w:lang w:val="pt-PT"/>
        </w:rPr>
        <w:t>P</w:t>
      </w:r>
      <w:r w:rsidR="008C7162">
        <w:rPr>
          <w:rFonts w:ascii="Arial" w:eastAsia="Arial Unicode MS" w:hAnsi="Arial" w:cs="Arial"/>
          <w:i/>
          <w:color w:val="000000" w:themeColor="text1"/>
          <w:spacing w:val="-2"/>
          <w:sz w:val="20"/>
          <w:lang w:val="pt-PT"/>
        </w:rPr>
        <w:t>ortugal</w:t>
      </w:r>
      <w:r w:rsidRPr="008C7162">
        <w:rPr>
          <w:rFonts w:ascii="Arial" w:eastAsia="Arial Unicode MS" w:hAnsi="Arial" w:cs="Arial"/>
          <w:i/>
          <w:color w:val="000000" w:themeColor="text1"/>
          <w:spacing w:val="-2"/>
          <w:sz w:val="20"/>
          <w:lang w:val="pt-PT"/>
        </w:rPr>
        <w:t xml:space="preserve">, </w:t>
      </w:r>
      <w:hyperlink r:id="rId11" w:history="1">
        <w:r w:rsidR="008C7162" w:rsidRPr="00CB5CEC">
          <w:rPr>
            <w:rStyle w:val="Hyperlink"/>
            <w:rFonts w:ascii="Arial" w:eastAsia="Arial Unicode MS" w:hAnsi="Arial" w:cs="Arial"/>
            <w:i/>
            <w:spacing w:val="-2"/>
            <w:sz w:val="20"/>
            <w:lang w:val="pt-PT"/>
          </w:rPr>
          <w:t>jose.ferreira@tekever.com</w:t>
        </w:r>
      </w:hyperlink>
    </w:p>
    <w:p w14:paraId="103CA336" w14:textId="77777777" w:rsidR="00E272EB" w:rsidRPr="008C7162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pt-PT"/>
        </w:rPr>
      </w:pPr>
    </w:p>
    <w:p w14:paraId="379E9E21" w14:textId="0EB3EFB0" w:rsidR="00910260" w:rsidRPr="004719BC" w:rsidRDefault="00E272EB" w:rsidP="00910260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4719BC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Introduction</w:t>
      </w:r>
    </w:p>
    <w:p w14:paraId="7104B14E" w14:textId="1552BDE8" w:rsidR="008C7162" w:rsidRPr="008C7162" w:rsidRDefault="008C7162" w:rsidP="008C7162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INFANTE satellite i</w:t>
      </w:r>
      <w:r w:rsidR="0010799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 a R&amp;D project for the develop</w:t>
      </w: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ment of a technology demonstrator, precurs</w:t>
      </w:r>
      <w:r w:rsidR="0010799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or of a NewSpace micro-</w:t>
      </w: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satellite constellation for Earth Observation. In addition to its main purpose of demonstrating the </w:t>
      </w:r>
      <w:r w:rsidR="00A3231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capability </w:t>
      </w: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 detect fast-developing events in a small platform, it also features a </w:t>
      </w:r>
      <w:r w:rsidR="00A3231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</w:t>
      </w: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ayload </w:t>
      </w:r>
      <w:r w:rsidR="00A3231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B</w:t>
      </w: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ay that holds </w:t>
      </w:r>
      <w:r w:rsidR="0010799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experiments</w:t>
      </w: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from various companies</w:t>
      </w:r>
      <w:r w:rsidR="00171FF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research institutes</w:t>
      </w: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Due to the experimental and varied nature of the different applications running </w:t>
      </w:r>
      <w:r w:rsidR="0010799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at the satellite</w:t>
      </w: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a Time and Space Partitioning (TSP) hypervisor is a valuable asset to run as a secure layer between the Payload Computer and the experiments.</w:t>
      </w:r>
      <w:r w:rsidR="00DF62E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AIR</w:t>
      </w:r>
      <w:r w:rsidR="00AA09C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[1]</w:t>
      </w: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is a</w:t>
      </w:r>
      <w:r w:rsidR="0010799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n open source</w:t>
      </w: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TSP hypervisor</w:t>
      </w:r>
      <w:r w:rsidR="0010799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funded by ESA and GMV</w:t>
      </w: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</w:t>
      </w:r>
      <w:r w:rsidR="0010799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is </w:t>
      </w: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responsible for ensuring the correct execution and fault-handling of the </w:t>
      </w:r>
      <w:r w:rsidR="00171FF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</w:t>
      </w: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ayload </w:t>
      </w:r>
      <w:r w:rsidR="00171FF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B</w:t>
      </w: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ay </w:t>
      </w:r>
      <w:r w:rsidR="00171FF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sub</w:t>
      </w: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system. It will also manage the </w:t>
      </w:r>
      <w:r w:rsidR="0010799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communication to </w:t>
      </w: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each experiment and </w:t>
      </w:r>
      <w:r w:rsidR="0010799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main Platform Computer, including the handling of</w:t>
      </w: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TM/TC.</w:t>
      </w:r>
    </w:p>
    <w:p w14:paraId="2828F732" w14:textId="26E00CC1" w:rsidR="00EB4338" w:rsidRDefault="008C7162" w:rsidP="008C7162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This work </w:t>
      </w:r>
      <w:r w:rsidR="00A3231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presents</w:t>
      </w:r>
      <w:r w:rsidR="00AF5F0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A3231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how</w:t>
      </w:r>
      <w:r w:rsidR="00AA09C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distributed teams</w:t>
      </w: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of the INF</w:t>
      </w:r>
      <w:r w:rsidR="00AA09C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ANTE consortiu</w:t>
      </w:r>
      <w:r w:rsidR="00A3231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 ensure the</w:t>
      </w:r>
      <w:r w:rsidR="00AA09C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correct interoperability between </w:t>
      </w:r>
      <w:r w:rsidR="00A3231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all elements required by the </w:t>
      </w:r>
      <w:r w:rsidR="00AA09C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payloads</w:t>
      </w:r>
      <w:r w:rsidR="00A3231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through IO and schedulability analysis</w:t>
      </w:r>
      <w:r w:rsidR="00AA09C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  It</w:t>
      </w:r>
      <w:r w:rsidRPr="008C716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also presents the </w:t>
      </w:r>
      <w:r w:rsidR="00AA09C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capability of </w:t>
      </w:r>
      <w:r w:rsidR="004F34B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migrating </w:t>
      </w:r>
      <w:r w:rsidR="00AA09C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AIR</w:t>
      </w:r>
      <w:r w:rsidR="004F34B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from ESA mission requirements</w:t>
      </w:r>
      <w:r w:rsidR="00AA09C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4F34B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to</w:t>
      </w:r>
      <w:r w:rsidR="00AA09C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low-cost design re-use in small missions.</w:t>
      </w:r>
    </w:p>
    <w:p w14:paraId="3C7639AC" w14:textId="5A880676" w:rsidR="00AA09C8" w:rsidRPr="004719BC" w:rsidRDefault="0007158B" w:rsidP="00AA09C8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 xml:space="preserve">INFANTE </w:t>
      </w:r>
    </w:p>
    <w:p w14:paraId="206F163E" w14:textId="51CEB133" w:rsidR="00AA09C8" w:rsidRDefault="00AA09C8" w:rsidP="00AA09C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AA09C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INFANTE project arises from the emergence of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commercial</w:t>
      </w:r>
      <w:r w:rsidRPr="00AA09C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opportunities in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NewSpace</w:t>
      </w:r>
      <w:r w:rsidRPr="00AA09C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exploiting the know-how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of established Portuguese com</w:t>
      </w:r>
      <w:r w:rsidRPr="00AA09C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panies and R&amp;D institutes </w:t>
      </w:r>
      <w:r w:rsidR="007C20A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with the goal of deploying a microsatellite for Earth Ob</w:t>
      </w:r>
      <w:r w:rsidRPr="00AA09C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servation (EO) with innovative solutions. INFANTE will </w:t>
      </w:r>
      <w:r w:rsidR="00171FF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demonstrate technologies </w:t>
      </w:r>
      <w:r w:rsidR="00DF62E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for</w:t>
      </w:r>
      <w:r w:rsidR="007C20A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small missions such as </w:t>
      </w:r>
      <w:r w:rsidRPr="00AA09C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increase the situational awareness on forest fires, agricultural management, mari</w:t>
      </w:r>
      <w:r w:rsidR="007C20A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time surveillance</w:t>
      </w:r>
      <w:r w:rsidRPr="00AA09C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meteorological events monitoring [</w:t>
      </w:r>
      <w:r w:rsidR="007C20A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2</w:t>
      </w:r>
      <w:r w:rsidRPr="00AA09C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].</w:t>
      </w:r>
      <w:r w:rsidR="007C20A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Pr="00AA09C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To do so, INFANTE will deploy an innovative suite of both optical and radar sen</w:t>
      </w:r>
      <w:r w:rsidR="007C20A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sors, exploring different imag</w:t>
      </w:r>
      <w:r w:rsidRPr="00AA09C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ing possibilities across sev</w:t>
      </w:r>
      <w:r w:rsidR="007C20A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eral bandwidths using satellite </w:t>
      </w:r>
      <w:r w:rsidR="007C20AB" w:rsidRPr="007C20A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borne cameras and a Synthetic Aperture Radar (SAR).</w:t>
      </w:r>
    </w:p>
    <w:p w14:paraId="1B35924E" w14:textId="580242D1" w:rsidR="0007158B" w:rsidRPr="00AA09C8" w:rsidRDefault="0007158B" w:rsidP="00AA09C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Payload Bay Analysis</w:t>
      </w:r>
    </w:p>
    <w:p w14:paraId="4E3E58DA" w14:textId="69963503" w:rsidR="00E75277" w:rsidRDefault="007C20AB" w:rsidP="00E75277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7C20A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In tandem, INFANTE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includes an adaptive payload b</w:t>
      </w:r>
      <w:r w:rsidRPr="007C20A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ay with dedicated control electronics capable of hosting differe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nt experimental payloads. These payloads impose a </w:t>
      </w:r>
      <w:r w:rsidR="004F34B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wide and varying range of re</w:t>
      </w:r>
      <w:r w:rsidRPr="007C20A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quirements </w:t>
      </w:r>
      <w:r w:rsidR="00E7527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handled by a </w:t>
      </w:r>
      <w:r w:rsidRPr="007C20A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Payload Computer and associated data buses. These requirements can be summarized into:</w:t>
      </w:r>
      <w:r w:rsidR="00E7527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Timing requirements; </w:t>
      </w:r>
      <w:r w:rsidR="00E75277" w:rsidRPr="00E7527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Computation requirements</w:t>
      </w:r>
      <w:r w:rsidR="00E7527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; </w:t>
      </w:r>
      <w:r w:rsidR="00E75277" w:rsidRPr="00E7527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Memory requirements</w:t>
      </w:r>
      <w:r w:rsidR="00E7527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Communication requirements. Leading to a study analysis in terms of IO and schedulability.</w:t>
      </w:r>
    </w:p>
    <w:p w14:paraId="76D57CEC" w14:textId="4CCC10E8" w:rsidR="0007158B" w:rsidRPr="00631B8C" w:rsidRDefault="00A3231A" w:rsidP="004F34B9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s</w:t>
      </w:r>
      <w:r w:rsidR="004F34B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chedulability </w:t>
      </w:r>
      <w:r w:rsidR="009B353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analysis</w:t>
      </w:r>
      <w:r w:rsidR="004F34B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resulted </w:t>
      </w:r>
      <w:r w:rsidR="004C22D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in </w:t>
      </w:r>
      <w:r w:rsidR="004F34B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scenarios per </w:t>
      </w:r>
      <w:r w:rsidR="004C22D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payload </w:t>
      </w:r>
      <w:r w:rsidR="004F34B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taking in consideration each experiment </w:t>
      </w:r>
      <w:r w:rsidR="004F34B9" w:rsidRPr="004F34B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required timing constraints, such as duration and minimum inter-arrival time between messages</w:t>
      </w:r>
      <w:r w:rsidR="004F34B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as well as power avail</w:t>
      </w:r>
      <w:r w:rsidR="004F34B9" w:rsidRPr="004F34B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ability</w:t>
      </w:r>
      <w:r w:rsidR="004F34B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The IO analysis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defined the IO behaviour considering </w:t>
      </w:r>
      <w:r w:rsidR="009B353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bandwidth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requirements, handling data bursts of experiments, memory constraints, synchronization and latency.</w:t>
      </w:r>
    </w:p>
    <w:p w14:paraId="2D352240" w14:textId="5A4184D5" w:rsidR="00E75277" w:rsidRDefault="00631B8C" w:rsidP="00E75277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noProof/>
          <w:lang w:val="pt-PT" w:eastAsia="pt-PT"/>
        </w:rPr>
        <w:drawing>
          <wp:inline distT="0" distB="0" distL="0" distR="0" wp14:anchorId="48C7CE7C" wp14:editId="7A2367D4">
            <wp:extent cx="2065020" cy="1130275"/>
            <wp:effectExtent l="0" t="0" r="0" b="0"/>
            <wp:docPr id="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121" cy="1135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 Unicode MS" w:hAnsi="Arial" w:cs="Arial"/>
          <w:noProof/>
          <w:color w:val="000000" w:themeColor="text1"/>
          <w:spacing w:val="-2"/>
          <w:sz w:val="20"/>
          <w:lang w:val="pt-PT" w:eastAsia="pt-PT"/>
        </w:rPr>
        <w:drawing>
          <wp:inline distT="0" distB="0" distL="0" distR="0" wp14:anchorId="67F9EC74" wp14:editId="05BA61AB">
            <wp:extent cx="3621405" cy="10426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0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925B6" w14:textId="24F948CD" w:rsidR="004F34B9" w:rsidRPr="00D816B4" w:rsidRDefault="004F34B9" w:rsidP="004F34B9">
      <w:pPr>
        <w:pStyle w:val="Sectiontext"/>
        <w:tabs>
          <w:tab w:val="left" w:pos="0"/>
        </w:tabs>
        <w:jc w:val="center"/>
        <w:rPr>
          <w:rFonts w:ascii="Arial" w:hAnsi="Arial" w:cs="Arial"/>
          <w:lang w:val="en-GB"/>
        </w:rPr>
      </w:pPr>
      <w:r w:rsidRPr="004719BC">
        <w:rPr>
          <w:rFonts w:ascii="Arial" w:hAnsi="Arial" w:cs="Arial"/>
          <w:lang w:val="en-GB"/>
        </w:rPr>
        <w:t>Figu</w:t>
      </w:r>
      <w:r>
        <w:rPr>
          <w:rFonts w:ascii="Arial" w:hAnsi="Arial" w:cs="Arial"/>
          <w:lang w:val="en-GB"/>
        </w:rPr>
        <w:t>re 1: Illustration of IO (left) and Schedulability (right) results</w:t>
      </w:r>
    </w:p>
    <w:p w14:paraId="076CBFD5" w14:textId="72080406" w:rsidR="00D816B4" w:rsidRPr="004719BC" w:rsidRDefault="00D816B4" w:rsidP="001E5A02">
      <w:pPr>
        <w:pStyle w:val="ListParagraph"/>
        <w:numPr>
          <w:ilvl w:val="0"/>
          <w:numId w:val="2"/>
        </w:numPr>
        <w:tabs>
          <w:tab w:val="clear" w:pos="340"/>
          <w:tab w:val="left" w:pos="-720"/>
          <w:tab w:val="num" w:pos="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References</w:t>
      </w:r>
    </w:p>
    <w:p w14:paraId="3EE4C9FB" w14:textId="42C8D943" w:rsidR="003F0AF8" w:rsidRPr="004719BC" w:rsidRDefault="003F0AF8" w:rsidP="006D31EF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4719BC">
        <w:rPr>
          <w:rFonts w:ascii="Arial" w:hAnsi="Arial" w:cs="Arial"/>
          <w:color w:val="000000" w:themeColor="text1"/>
          <w:sz w:val="20"/>
          <w:lang w:val="en-GB"/>
        </w:rPr>
        <w:t xml:space="preserve">[1] </w:t>
      </w:r>
      <w:r w:rsidR="00AA09C8" w:rsidRPr="00AA09C8">
        <w:rPr>
          <w:rFonts w:ascii="Arial" w:hAnsi="Arial" w:cs="Arial"/>
          <w:color w:val="000000" w:themeColor="text1"/>
          <w:sz w:val="20"/>
          <w:lang w:val="en-GB"/>
        </w:rPr>
        <w:t>Rufino, J., Craveiro, J., Schoofs, T., Tatibana, C., Windsor, J.: AIR technology: a step towards ARINC 653 in space. In Proceedings of Aerospace Conference DASIA (2009).</w:t>
      </w:r>
    </w:p>
    <w:p w14:paraId="5AFACA3E" w14:textId="42B48E48" w:rsidR="006E2678" w:rsidRDefault="003F0AF8" w:rsidP="0045005F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4719BC">
        <w:rPr>
          <w:rFonts w:ascii="Arial" w:hAnsi="Arial" w:cs="Arial"/>
          <w:color w:val="000000" w:themeColor="text1"/>
          <w:sz w:val="20"/>
          <w:lang w:val="en-GB"/>
        </w:rPr>
        <w:t xml:space="preserve">[2] </w:t>
      </w:r>
      <w:r w:rsidR="007C20AB" w:rsidRPr="007C20AB">
        <w:rPr>
          <w:rFonts w:ascii="Arial" w:hAnsi="Arial" w:cs="Arial"/>
          <w:color w:val="000000" w:themeColor="text1"/>
          <w:sz w:val="20"/>
          <w:lang w:val="en-GB"/>
        </w:rPr>
        <w:t>F. V.  Cunha  et  al.,  “Towards  an  Early  Warning Service for Fast-Developing  Events based on  a SAR-enabled Microsatellite Constellation”, in Proc. 68th Int</w:t>
      </w:r>
      <w:r w:rsidR="004F34B9">
        <w:rPr>
          <w:rFonts w:ascii="Arial" w:hAnsi="Arial" w:cs="Arial"/>
          <w:color w:val="000000" w:themeColor="text1"/>
          <w:sz w:val="20"/>
          <w:lang w:val="en-GB"/>
        </w:rPr>
        <w:t>.</w:t>
      </w:r>
      <w:r w:rsidR="007C20AB" w:rsidRPr="007C20AB">
        <w:rPr>
          <w:rFonts w:ascii="Arial" w:hAnsi="Arial" w:cs="Arial"/>
          <w:color w:val="000000" w:themeColor="text1"/>
          <w:sz w:val="20"/>
          <w:lang w:val="en-GB"/>
        </w:rPr>
        <w:t xml:space="preserve"> Astronautical Congress,  Australia, 2017.</w:t>
      </w:r>
      <w:bookmarkStart w:id="0" w:name="_GoBack"/>
      <w:bookmarkEnd w:id="0"/>
    </w:p>
    <w:sectPr w:rsidR="006E2678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2ADB8" w16cex:dateUtc="2020-04-28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671F01" w16cid:durableId="2252AD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DF190" w14:textId="77777777" w:rsidR="00DE2FD2" w:rsidRDefault="00DE2FD2" w:rsidP="002B3D2E">
      <w:r>
        <w:separator/>
      </w:r>
    </w:p>
  </w:endnote>
  <w:endnote w:type="continuationSeparator" w:id="0">
    <w:p w14:paraId="45ABB79F" w14:textId="77777777" w:rsidR="00DE2FD2" w:rsidRDefault="00DE2FD2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C4165" w14:textId="77777777" w:rsidR="00DE2FD2" w:rsidRDefault="00DE2FD2" w:rsidP="002B3D2E">
      <w:r>
        <w:separator/>
      </w:r>
    </w:p>
  </w:footnote>
  <w:footnote w:type="continuationSeparator" w:id="0">
    <w:p w14:paraId="3B1BF9DA" w14:textId="77777777" w:rsidR="00DE2FD2" w:rsidRDefault="00DE2FD2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31393" w14:textId="5D615271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</w:t>
    </w:r>
    <w:r w:rsidR="00FA17A0"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20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 w15:restartNumberingAfterBreak="0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 w15:restartNumberingAfterBreak="0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5" w15:restartNumberingAfterBreak="0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EB"/>
    <w:rsid w:val="00013214"/>
    <w:rsid w:val="00036632"/>
    <w:rsid w:val="00067049"/>
    <w:rsid w:val="0007158B"/>
    <w:rsid w:val="001062A3"/>
    <w:rsid w:val="00107991"/>
    <w:rsid w:val="0016733A"/>
    <w:rsid w:val="00171FFB"/>
    <w:rsid w:val="001A2217"/>
    <w:rsid w:val="001B0137"/>
    <w:rsid w:val="001B7EB8"/>
    <w:rsid w:val="001C07E6"/>
    <w:rsid w:val="001C53CE"/>
    <w:rsid w:val="001E23F0"/>
    <w:rsid w:val="001E5A02"/>
    <w:rsid w:val="0021043A"/>
    <w:rsid w:val="002551C5"/>
    <w:rsid w:val="0027138A"/>
    <w:rsid w:val="002B0E94"/>
    <w:rsid w:val="002B3D2E"/>
    <w:rsid w:val="00346EF7"/>
    <w:rsid w:val="003621EB"/>
    <w:rsid w:val="003F0AF8"/>
    <w:rsid w:val="0045005F"/>
    <w:rsid w:val="004719BC"/>
    <w:rsid w:val="00476DF7"/>
    <w:rsid w:val="004B01B5"/>
    <w:rsid w:val="004C22DE"/>
    <w:rsid w:val="004F34B9"/>
    <w:rsid w:val="0050245D"/>
    <w:rsid w:val="005028D7"/>
    <w:rsid w:val="00525F95"/>
    <w:rsid w:val="00530AD7"/>
    <w:rsid w:val="005B7FFA"/>
    <w:rsid w:val="00614BDE"/>
    <w:rsid w:val="00631B8C"/>
    <w:rsid w:val="00635748"/>
    <w:rsid w:val="0065601E"/>
    <w:rsid w:val="00676A0D"/>
    <w:rsid w:val="006809E1"/>
    <w:rsid w:val="006A5F3C"/>
    <w:rsid w:val="006D31EF"/>
    <w:rsid w:val="006E2678"/>
    <w:rsid w:val="006E289D"/>
    <w:rsid w:val="007060A0"/>
    <w:rsid w:val="007208A1"/>
    <w:rsid w:val="00732EF5"/>
    <w:rsid w:val="007728AF"/>
    <w:rsid w:val="00781FA5"/>
    <w:rsid w:val="007C20AB"/>
    <w:rsid w:val="007F2301"/>
    <w:rsid w:val="008220AB"/>
    <w:rsid w:val="008C7162"/>
    <w:rsid w:val="008D25F1"/>
    <w:rsid w:val="00910260"/>
    <w:rsid w:val="00920BF2"/>
    <w:rsid w:val="00935206"/>
    <w:rsid w:val="00955D18"/>
    <w:rsid w:val="00963135"/>
    <w:rsid w:val="00970F68"/>
    <w:rsid w:val="009913FF"/>
    <w:rsid w:val="009B09EE"/>
    <w:rsid w:val="009B3533"/>
    <w:rsid w:val="009E1360"/>
    <w:rsid w:val="00A04231"/>
    <w:rsid w:val="00A3231A"/>
    <w:rsid w:val="00A81977"/>
    <w:rsid w:val="00A86753"/>
    <w:rsid w:val="00AA09C8"/>
    <w:rsid w:val="00AA2605"/>
    <w:rsid w:val="00AB3DF0"/>
    <w:rsid w:val="00AC5B81"/>
    <w:rsid w:val="00AD0253"/>
    <w:rsid w:val="00AE29AC"/>
    <w:rsid w:val="00AF5F00"/>
    <w:rsid w:val="00B3099F"/>
    <w:rsid w:val="00B325B2"/>
    <w:rsid w:val="00B82299"/>
    <w:rsid w:val="00B91303"/>
    <w:rsid w:val="00BC0956"/>
    <w:rsid w:val="00C26E50"/>
    <w:rsid w:val="00C45485"/>
    <w:rsid w:val="00C90B17"/>
    <w:rsid w:val="00C913D5"/>
    <w:rsid w:val="00CA2574"/>
    <w:rsid w:val="00CB6CA7"/>
    <w:rsid w:val="00CD0286"/>
    <w:rsid w:val="00D816B4"/>
    <w:rsid w:val="00D82FE6"/>
    <w:rsid w:val="00DB37B6"/>
    <w:rsid w:val="00DC44CA"/>
    <w:rsid w:val="00DE2FD2"/>
    <w:rsid w:val="00DF62E5"/>
    <w:rsid w:val="00E06F9E"/>
    <w:rsid w:val="00E234EF"/>
    <w:rsid w:val="00E272EB"/>
    <w:rsid w:val="00E70430"/>
    <w:rsid w:val="00E713CC"/>
    <w:rsid w:val="00E75277"/>
    <w:rsid w:val="00EA719C"/>
    <w:rsid w:val="00EB4338"/>
    <w:rsid w:val="00ED24A9"/>
    <w:rsid w:val="00EE14C8"/>
    <w:rsid w:val="00F156E0"/>
    <w:rsid w:val="00F352AE"/>
    <w:rsid w:val="00F9318A"/>
    <w:rsid w:val="00FA17A0"/>
    <w:rsid w:val="00FD14FE"/>
    <w:rsid w:val="00FD731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E7BF5"/>
  <w15:docId w15:val="{BA0DB01D-32DF-4CAA-90B4-37138381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oSpacing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A86753"/>
    <w:rPr>
      <w:color w:val="808080"/>
    </w:rPr>
  </w:style>
  <w:style w:type="paragraph" w:styleId="ListParagraph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1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FF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FFB"/>
    <w:rPr>
      <w:rFonts w:ascii="Courier New" w:eastAsia="Times New Roman" w:hAnsi="Courier New" w:cs="Times New Roman"/>
      <w:snapToGrid w:val="0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FFB"/>
    <w:rPr>
      <w:rFonts w:ascii="Courier New" w:eastAsia="Times New Roman" w:hAnsi="Courier New" w:cs="Times New Roman"/>
      <w:b/>
      <w:bCs/>
      <w:snapToGrid w:val="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se.ferreira@tekever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tms@gmv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ATPi</Company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Daniel Silveira</cp:lastModifiedBy>
  <cp:revision>4</cp:revision>
  <dcterms:created xsi:type="dcterms:W3CDTF">2020-04-28T12:44:00Z</dcterms:created>
  <dcterms:modified xsi:type="dcterms:W3CDTF">2020-04-30T10:04:00Z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