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F98CF" w14:textId="29396D3E" w:rsidR="00BC6BE6" w:rsidRDefault="00572244" w:rsidP="00917BAC">
      <w:pPr>
        <w:pStyle w:val="SPIEpapertitle"/>
      </w:pPr>
      <w:r w:rsidRPr="00572244">
        <w:t>The Infrared Sounder (IRS) delivers its first hyperspectral infrared observations from geostationary orbit</w:t>
      </w:r>
      <w:r w:rsidR="00917BAC">
        <w:rPr>
          <w:i/>
        </w:rPr>
        <w:t xml:space="preserve"> </w:t>
      </w:r>
    </w:p>
    <w:p w14:paraId="30BC0C5C" w14:textId="77777777" w:rsidR="00FD7A28" w:rsidRDefault="00572244" w:rsidP="004830EA">
      <w:pPr>
        <w:pStyle w:val="SPIEAuthors-Affils"/>
        <w:outlineLvl w:val="0"/>
        <w:rPr>
          <w:lang w:val="fr-FR"/>
        </w:rPr>
      </w:pPr>
      <w:r w:rsidRPr="00572244">
        <w:rPr>
          <w:lang w:val="fr-FR"/>
        </w:rPr>
        <w:t>Pierre Dussarrat</w:t>
      </w:r>
      <w:r w:rsidR="00BC6BE6" w:rsidRPr="00572244">
        <w:rPr>
          <w:lang w:val="fr-FR"/>
        </w:rPr>
        <w:t xml:space="preserve">*, </w:t>
      </w:r>
      <w:r w:rsidRPr="00572244">
        <w:rPr>
          <w:lang w:val="fr-FR"/>
        </w:rPr>
        <w:t>Guillaume Deschamps</w:t>
      </w:r>
      <w:r w:rsidR="00BC6BE6" w:rsidRPr="00572244">
        <w:rPr>
          <w:lang w:val="fr-FR"/>
        </w:rPr>
        <w:t>,</w:t>
      </w:r>
      <w:r w:rsidR="00BC6BE6" w:rsidRPr="00572244">
        <w:rPr>
          <w:rStyle w:val="SPIEauthoraffilsChar"/>
          <w:lang w:val="fr-FR"/>
        </w:rPr>
        <w:t xml:space="preserve"> </w:t>
      </w:r>
      <w:r w:rsidRPr="00572244">
        <w:rPr>
          <w:rStyle w:val="SPIEauthoraffilsChar"/>
          <w:lang w:val="fr-FR"/>
        </w:rPr>
        <w:t>Dorothee Coppens</w:t>
      </w:r>
      <w:r w:rsidR="004830EA" w:rsidRPr="00572244">
        <w:rPr>
          <w:vertAlign w:val="superscript"/>
          <w:lang w:val="fr-FR"/>
        </w:rPr>
        <w:br/>
      </w:r>
      <w:r w:rsidRPr="00572244">
        <w:rPr>
          <w:lang w:val="fr-FR"/>
        </w:rPr>
        <w:t>EUMETSAT</w:t>
      </w:r>
      <w:r w:rsidR="00BC6BE6" w:rsidRPr="00572244">
        <w:rPr>
          <w:lang w:val="fr-FR"/>
        </w:rPr>
        <w:t xml:space="preserve">, </w:t>
      </w:r>
      <w:proofErr w:type="spellStart"/>
      <w:r w:rsidRPr="00572244">
        <w:rPr>
          <w:lang w:val="fr-FR"/>
        </w:rPr>
        <w:t>Eumetsat</w:t>
      </w:r>
      <w:proofErr w:type="spellEnd"/>
      <w:r w:rsidRPr="00572244">
        <w:rPr>
          <w:lang w:val="fr-FR"/>
        </w:rPr>
        <w:t xml:space="preserve"> All</w:t>
      </w:r>
      <w:r>
        <w:rPr>
          <w:lang w:val="fr-FR"/>
        </w:rPr>
        <w:t>e</w:t>
      </w:r>
      <w:r w:rsidRPr="00572244">
        <w:rPr>
          <w:lang w:val="fr-FR"/>
        </w:rPr>
        <w:t>e 1, 642</w:t>
      </w:r>
      <w:r>
        <w:rPr>
          <w:lang w:val="fr-FR"/>
        </w:rPr>
        <w:t>9</w:t>
      </w:r>
      <w:r w:rsidRPr="00572244">
        <w:rPr>
          <w:lang w:val="fr-FR"/>
        </w:rPr>
        <w:t>5 Darmstadt, Germany</w:t>
      </w:r>
    </w:p>
    <w:p w14:paraId="08761625" w14:textId="37CC3939" w:rsidR="002C6D9B" w:rsidRPr="00576B43" w:rsidRDefault="00FD7A28" w:rsidP="004830EA">
      <w:pPr>
        <w:pStyle w:val="SPIEAuthors-Affils"/>
        <w:outlineLvl w:val="0"/>
        <w:rPr>
          <w:lang w:val="en-IE"/>
        </w:rPr>
      </w:pPr>
      <w:r w:rsidRPr="00576B43">
        <w:rPr>
          <w:lang w:val="en-IE"/>
        </w:rPr>
        <w:t>*pierre.dussarrat@eumetsat.int</w:t>
      </w:r>
    </w:p>
    <w:p w14:paraId="353C2DDC" w14:textId="77777777" w:rsidR="00BC6BE6" w:rsidRPr="002C6D9B" w:rsidRDefault="00BC6BE6" w:rsidP="004F1B51">
      <w:pPr>
        <w:pStyle w:val="SPIEabstracttitle"/>
        <w:rPr>
          <w:i/>
        </w:rPr>
      </w:pPr>
      <w:r>
        <w:t>Abstract</w:t>
      </w:r>
      <w:r w:rsidR="004830EA">
        <w:t xml:space="preserve"> </w:t>
      </w:r>
    </w:p>
    <w:p w14:paraId="6050565A" w14:textId="53ADE696" w:rsidR="00572244" w:rsidRDefault="00572244" w:rsidP="00572244">
      <w:pPr>
        <w:pStyle w:val="SPIEabstractbodytext"/>
      </w:pPr>
      <w:r>
        <w:t xml:space="preserve">The Infrared Sounder (IRS) onboard the </w:t>
      </w:r>
      <w:proofErr w:type="spellStart"/>
      <w:r>
        <w:t>Meteosat</w:t>
      </w:r>
      <w:proofErr w:type="spellEnd"/>
      <w:r>
        <w:t xml:space="preserve"> Third Generation Sounding satellite (MTG-S) is the first European hyperspectral infrared sounder operating from geostationary orbit (GEO). Following a successful launch in July 2025 and a one-year commissioning phase, the first IRS instrument is now delivering operational data, processed by EUMETSAT and disseminated to weather </w:t>
      </w:r>
      <w:proofErr w:type="spellStart"/>
      <w:r>
        <w:t>centres</w:t>
      </w:r>
      <w:proofErr w:type="spellEnd"/>
      <w:r>
        <w:t xml:space="preserve"> and the scientific community. This new European asset is expected to significantly enhance weather forecasting capabilities by enabling the early detection of conditions </w:t>
      </w:r>
      <w:proofErr w:type="spellStart"/>
      <w:r>
        <w:t>favourable</w:t>
      </w:r>
      <w:proofErr w:type="spellEnd"/>
      <w:r>
        <w:t xml:space="preserve"> to extreme events  development, thereby increasing lead times for warnings. The novel capabilities of IRS also hold transformative potential for medium-term numerical weather prediction, air quality monitoring, and climate research.</w:t>
      </w:r>
    </w:p>
    <w:p w14:paraId="76B18A4C" w14:textId="1E7A7F2A" w:rsidR="00572244" w:rsidRDefault="00572244" w:rsidP="00572244">
      <w:pPr>
        <w:pStyle w:val="SPIEabstractbodytext"/>
      </w:pPr>
      <w:r>
        <w:t>IRS is an imaging Fourier Transform Spectrometer (</w:t>
      </w:r>
      <w:proofErr w:type="spellStart"/>
      <w:r>
        <w:t>iFTS</w:t>
      </w:r>
      <w:proofErr w:type="spellEnd"/>
      <w:r>
        <w:t>) based on a Michelson interferometer, providing thermal infrared measurements with unprecedented spatial and temporal sampling. The instrument scans the full Earth dis</w:t>
      </w:r>
      <w:r w:rsidR="00E44CD3">
        <w:t>c</w:t>
      </w:r>
      <w:r>
        <w:t xml:space="preserve"> with a spatial resolution of 4 km at nadir and a revisit time of 30 minutes over Europe. It records nearly 2000 channels in the long-wave and mid-wave infrared, enabling the retrieval of temperature, humidity, and ozone profiles at temporal and spatial scales not previously achieved.</w:t>
      </w:r>
    </w:p>
    <w:p w14:paraId="39CD1407" w14:textId="53DEA6D1" w:rsidR="00572244" w:rsidRDefault="00572244" w:rsidP="00572244">
      <w:pPr>
        <w:pStyle w:val="SPIEabstractbodytext"/>
      </w:pPr>
      <w:r>
        <w:t xml:space="preserve">This </w:t>
      </w:r>
      <w:r w:rsidR="00FD7A28">
        <w:t xml:space="preserve">paper </w:t>
      </w:r>
      <w:r>
        <w:t>describe</w:t>
      </w:r>
      <w:r w:rsidR="00FD7A28">
        <w:t>s</w:t>
      </w:r>
      <w:r>
        <w:t xml:space="preserve"> the functioning of IRS and </w:t>
      </w:r>
      <w:r w:rsidR="00FD7A28">
        <w:t>showcases</w:t>
      </w:r>
      <w:r>
        <w:t xml:space="preserve"> new imagery highlighting the instrument’s outstanding technological performance from EUMETSAT’s perspective.</w:t>
      </w:r>
    </w:p>
    <w:p w14:paraId="121F28CE" w14:textId="171E1ED3" w:rsidR="002F37E1" w:rsidRDefault="002F37E1" w:rsidP="002F37E1">
      <w:pPr>
        <w:pStyle w:val="SPIEbodytext"/>
      </w:pPr>
      <w:r w:rsidRPr="00103674">
        <w:t>OHB leads the consortium developing the MTG-S satellites, and Thales Alenia Space has supplied the IRS instrument. The project is coordinated by ESA and EUMETSAT, with EUMETSAT responsible for the in-flight operations, ground processing and monitoring of IRS throughout its mission lifetime.</w:t>
      </w:r>
    </w:p>
    <w:p w14:paraId="1025BC5E" w14:textId="1F462EC7" w:rsidR="00BC6BE6" w:rsidRPr="002C6D9B" w:rsidRDefault="00BC6BE6" w:rsidP="00797858">
      <w:pPr>
        <w:pStyle w:val="Keywords"/>
        <w:ind w:left="0" w:firstLine="0"/>
        <w:outlineLvl w:val="0"/>
        <w:rPr>
          <w:i/>
        </w:rPr>
      </w:pPr>
      <w:r>
        <w:rPr>
          <w:b/>
        </w:rPr>
        <w:t>Keywords:</w:t>
      </w:r>
      <w:r>
        <w:t xml:space="preserve"> </w:t>
      </w:r>
      <w:r w:rsidR="00572244">
        <w:t>Hyperspectral infrared, Fourier transform spectrometry, geostationary orbit, infrared sounder.</w:t>
      </w:r>
    </w:p>
    <w:p w14:paraId="12B80B70" w14:textId="77777777" w:rsidR="005A5261" w:rsidRPr="005A5261" w:rsidRDefault="005A5261" w:rsidP="005A5261">
      <w:pPr>
        <w:pStyle w:val="BodyofPaper"/>
      </w:pPr>
    </w:p>
    <w:p w14:paraId="399B7E63" w14:textId="77777777" w:rsidR="00BC6BE6" w:rsidRPr="00312E78" w:rsidRDefault="00BC6BE6" w:rsidP="007F5099">
      <w:pPr>
        <w:pStyle w:val="Heading1"/>
      </w:pPr>
      <w:r w:rsidRPr="00312E78">
        <w:t>INTRODUCTION</w:t>
      </w:r>
      <w:r w:rsidR="00AB7AC2">
        <w:t xml:space="preserve"> </w:t>
      </w:r>
    </w:p>
    <w:p w14:paraId="2A868639" w14:textId="01E3A4D4" w:rsidR="005173D9" w:rsidRDefault="005173D9" w:rsidP="005173D9">
      <w:pPr>
        <w:spacing w:after="120"/>
        <w:jc w:val="both"/>
        <w:rPr>
          <w:szCs w:val="20"/>
          <w:lang w:eastAsia="en-IE"/>
        </w:rPr>
      </w:pPr>
      <w:r>
        <w:rPr>
          <w:color w:val="000000"/>
        </w:rPr>
        <w:t xml:space="preserve">The Infrared Sounder (IRS) on board the </w:t>
      </w:r>
      <w:proofErr w:type="spellStart"/>
      <w:r>
        <w:rPr>
          <w:color w:val="000000"/>
        </w:rPr>
        <w:t>Meteosat</w:t>
      </w:r>
      <w:proofErr w:type="spellEnd"/>
      <w:r>
        <w:rPr>
          <w:color w:val="000000"/>
        </w:rPr>
        <w:t xml:space="preserve"> Third Generation Sounding satellite (MTG-S) is the first European hyperspectral infrared sounder to operate from geostationary orbit (GEO). MTG-S1 was launched on </w:t>
      </w:r>
      <w:r w:rsidR="00E44CD3">
        <w:rPr>
          <w:color w:val="000000"/>
        </w:rPr>
        <w:t xml:space="preserve">the </w:t>
      </w:r>
      <w:r w:rsidR="00946359">
        <w:rPr>
          <w:color w:val="000000"/>
        </w:rPr>
        <w:t>1</w:t>
      </w:r>
      <w:r>
        <w:rPr>
          <w:color w:val="000000"/>
        </w:rPr>
        <w:t xml:space="preserve"> July 2025; its in-orbit commissioning phase was formally closed on 2 July 2026, and </w:t>
      </w:r>
      <w:r w:rsidR="00946359">
        <w:rPr>
          <w:color w:val="000000"/>
        </w:rPr>
        <w:t>EUMETSAT</w:t>
      </w:r>
      <w:r>
        <w:rPr>
          <w:color w:val="000000"/>
        </w:rPr>
        <w:t xml:space="preserve"> started delivering pre-operational </w:t>
      </w:r>
      <w:r w:rsidR="00946359">
        <w:rPr>
          <w:color w:val="000000"/>
        </w:rPr>
        <w:t xml:space="preserve">IRS </w:t>
      </w:r>
      <w:r>
        <w:rPr>
          <w:color w:val="000000"/>
        </w:rPr>
        <w:t xml:space="preserve">Level 1 data to all users on </w:t>
      </w:r>
      <w:r w:rsidR="00E44CD3">
        <w:rPr>
          <w:color w:val="000000"/>
        </w:rPr>
        <w:t xml:space="preserve">the </w:t>
      </w:r>
      <w:r>
        <w:rPr>
          <w:color w:val="000000"/>
        </w:rPr>
        <w:t>30 July 2026.</w:t>
      </w:r>
    </w:p>
    <w:p w14:paraId="05D81493" w14:textId="77777777" w:rsidR="005173D9" w:rsidRDefault="005173D9" w:rsidP="005173D9">
      <w:pPr>
        <w:spacing w:after="120"/>
        <w:jc w:val="both"/>
      </w:pPr>
      <w:r>
        <w:rPr>
          <w:color w:val="000000"/>
        </w:rPr>
        <w:t xml:space="preserve">The MTG system is built on three-axis </w:t>
      </w:r>
      <w:proofErr w:type="spellStart"/>
      <w:r>
        <w:rPr>
          <w:color w:val="000000"/>
        </w:rPr>
        <w:t>stabilised</w:t>
      </w:r>
      <w:proofErr w:type="spellEnd"/>
      <w:r>
        <w:rPr>
          <w:color w:val="000000"/>
        </w:rPr>
        <w:t xml:space="preserve"> platforms operated close to the 0° longitude orbital position, and the nominal operational constellation consists of two imaging satellites (MTG-I) and one sounding satellite (MTG-S) flying simultaneously [1]. At the time of writing, one MTG-I satellite is operational and has been renamed Meteosat-12; MTG-S1 will likewise be renamed Meteosat-13 upon entering operational service.</w:t>
      </w:r>
    </w:p>
    <w:p w14:paraId="4D99F30A" w14:textId="77777777" w:rsidR="005173D9" w:rsidRDefault="005173D9" w:rsidP="005173D9">
      <w:pPr>
        <w:spacing w:after="120"/>
        <w:jc w:val="both"/>
      </w:pPr>
      <w:r>
        <w:rPr>
          <w:color w:val="000000"/>
        </w:rPr>
        <w:t xml:space="preserve">IRS provides information on the water </w:t>
      </w:r>
      <w:proofErr w:type="spellStart"/>
      <w:r>
        <w:rPr>
          <w:color w:val="000000"/>
        </w:rPr>
        <w:t>vapour</w:t>
      </w:r>
      <w:proofErr w:type="spellEnd"/>
      <w:r>
        <w:rPr>
          <w:color w:val="000000"/>
        </w:rPr>
        <w:t xml:space="preserve"> and temperature structure of the atmosphere, as well as on several atmospheric trace gases. Infrared sounding from geostationary orbit at 0° longitude is a genuinely new operational capability for EUMETSAT: it has no predecessor in the </w:t>
      </w:r>
      <w:proofErr w:type="spellStart"/>
      <w:r>
        <w:rPr>
          <w:color w:val="000000"/>
        </w:rPr>
        <w:t>Meteosat</w:t>
      </w:r>
      <w:proofErr w:type="spellEnd"/>
      <w:r>
        <w:rPr>
          <w:color w:val="000000"/>
        </w:rPr>
        <w:t xml:space="preserve"> Second Generation era. The instrument is an imaging Fourier transform spectrometer (</w:t>
      </w:r>
      <w:proofErr w:type="spellStart"/>
      <w:r>
        <w:rPr>
          <w:color w:val="000000"/>
        </w:rPr>
        <w:t>iFTS</w:t>
      </w:r>
      <w:proofErr w:type="spellEnd"/>
      <w:r>
        <w:rPr>
          <w:color w:val="000000"/>
        </w:rPr>
        <w:t>) built around a Michelson interferometer [2], and it delivers thermal infrared measurements with an unprecedented combination of spatial and temporal sampling. The full Earth disc is scanned with a spatial sampling of 4 km at nadir, the European region is revisited every 30 minutes, and close to 2000 spectral channels are recorded in the long-wave and mid-wave infrared.</w:t>
      </w:r>
    </w:p>
    <w:p w14:paraId="260DA3D8" w14:textId="77777777" w:rsidR="005173D9" w:rsidRDefault="005173D9" w:rsidP="005173D9">
      <w:pPr>
        <w:spacing w:after="120"/>
        <w:jc w:val="both"/>
      </w:pPr>
      <w:r>
        <w:rPr>
          <w:color w:val="000000"/>
        </w:rPr>
        <w:t xml:space="preserve">IRS is also a new contributor to the sounding capability of the GEO ring. It complements the Chinese GIIRS instruments flown on the Fengyun-4 series [3] and anticipates the hyperspectral sounders planned for the American </w:t>
      </w:r>
      <w:proofErr w:type="spellStart"/>
      <w:r>
        <w:rPr>
          <w:color w:val="000000"/>
        </w:rPr>
        <w:t>GeoXO</w:t>
      </w:r>
      <w:proofErr w:type="spellEnd"/>
      <w:r>
        <w:rPr>
          <w:color w:val="000000"/>
        </w:rPr>
        <w:t xml:space="preserve"> </w:t>
      </w:r>
      <w:proofErr w:type="spellStart"/>
      <w:r>
        <w:rPr>
          <w:color w:val="000000"/>
        </w:rPr>
        <w:t>programme</w:t>
      </w:r>
      <w:proofErr w:type="spellEnd"/>
      <w:r>
        <w:rPr>
          <w:color w:val="000000"/>
        </w:rPr>
        <w:t xml:space="preserve"> </w:t>
      </w:r>
      <w:r>
        <w:rPr>
          <w:color w:val="000000"/>
        </w:rPr>
        <w:lastRenderedPageBreak/>
        <w:t xml:space="preserve">[4] and for the Japanese Himawari-10 mission [5]. Together with the polar-orbiting sounders IASI [6], HIRAS [7] and </w:t>
      </w:r>
      <w:proofErr w:type="spellStart"/>
      <w:r>
        <w:rPr>
          <w:color w:val="000000"/>
        </w:rPr>
        <w:t>CrIS</w:t>
      </w:r>
      <w:proofErr w:type="spellEnd"/>
      <w:r>
        <w:rPr>
          <w:color w:val="000000"/>
        </w:rPr>
        <w:t xml:space="preserve"> [8], these instruments will progressively provide a near-continuous, global hyperspectral infrared coverage of the atmosphere.</w:t>
      </w:r>
    </w:p>
    <w:p w14:paraId="74536DCE" w14:textId="77777777" w:rsidR="005173D9" w:rsidRDefault="005173D9" w:rsidP="005173D9">
      <w:pPr>
        <w:spacing w:after="120"/>
        <w:jc w:val="both"/>
      </w:pPr>
      <w:r>
        <w:rPr>
          <w:color w:val="000000"/>
        </w:rPr>
        <w:t>The four-dimensional information on humidity, temperature and wind provided by IRS — the so-called ‘4D weather cube’ — is expected to support nowcasting applications first and foremost [9]. The detection of pre-convective situations and of convective initiation should give rise to improved warnings on the location and intensity of convective storms, while vertically resolved atmospheric motion vectors with improved height assignment are of particular benefit over tropical areas. A better depiction of the hydrological cycle in models is also anticipated, through the observation of tropospheric moisture structures and of their variation in time. Beyond nowcasting, the rapid repeat cycle of soundings in the temperature- and humidity-sensitive parts of the infrared spectrum is expected to have a significant impact on numerical weather prediction.</w:t>
      </w:r>
    </w:p>
    <w:p w14:paraId="3FA87DF5" w14:textId="0F6C01EE" w:rsidR="005173D9" w:rsidRDefault="005173D9" w:rsidP="005173D9">
      <w:pPr>
        <w:spacing w:after="120"/>
        <w:jc w:val="both"/>
      </w:pPr>
      <w:r>
        <w:rPr>
          <w:color w:val="000000"/>
        </w:rPr>
        <w:t>Atmospheric composition applications will benefit as well. Estimates of the diurnal variation of the tropospheric contribution of trace gases such as O₃</w:t>
      </w:r>
      <w:r w:rsidR="00C0166E">
        <w:rPr>
          <w:color w:val="000000"/>
        </w:rPr>
        <w:t>, NH</w:t>
      </w:r>
      <w:r w:rsidR="00C0166E" w:rsidRPr="00C0166E">
        <w:rPr>
          <w:color w:val="000000"/>
          <w:vertAlign w:val="subscript"/>
        </w:rPr>
        <w:t>3</w:t>
      </w:r>
      <w:r>
        <w:rPr>
          <w:color w:val="000000"/>
        </w:rPr>
        <w:t xml:space="preserve"> and CO will support pollution forecasting and information on the composition and density of ash clouds will improve volcanic ash prediction.</w:t>
      </w:r>
    </w:p>
    <w:p w14:paraId="3DF4FF3D" w14:textId="74195DCF" w:rsidR="005173D9" w:rsidRDefault="005173D9" w:rsidP="005173D9">
      <w:pPr>
        <w:spacing w:after="120"/>
        <w:jc w:val="both"/>
      </w:pPr>
      <w:r>
        <w:rPr>
          <w:color w:val="000000"/>
        </w:rPr>
        <w:t>Finally, IRS fills spatial and temporal gaps in the current observing system. Its 30-minute repeat cycle over Europe fills the large voids left by the twelve-hourly standard radiosonde network, and it provides a natural interpolation, in both space and time, of the moisture and temperature observations acquired by polar-orbiting sounders.</w:t>
      </w:r>
    </w:p>
    <w:p w14:paraId="04B72BCE" w14:textId="66D9BD4F" w:rsidR="00A4115C" w:rsidRDefault="005173D9" w:rsidP="005173D9">
      <w:pPr>
        <w:pStyle w:val="SPIEbodytext"/>
        <w:rPr>
          <w:szCs w:val="20"/>
        </w:rPr>
      </w:pPr>
      <w:r>
        <w:rPr>
          <w:color w:val="000000"/>
        </w:rPr>
        <w:t xml:space="preserve">The remainder of this paper is organized as follows. Section 2 describes the instrument, the measurement principle and the content of the </w:t>
      </w:r>
      <w:r w:rsidR="007338BD">
        <w:rPr>
          <w:color w:val="000000"/>
        </w:rPr>
        <w:t>l</w:t>
      </w:r>
      <w:r>
        <w:rPr>
          <w:color w:val="000000"/>
        </w:rPr>
        <w:t>evel 1 products. Section 3 reports the in-flight radiometric, spectral and noise performance. Section 4 summarizes the main outcomes and outlines the next steps</w:t>
      </w:r>
      <w:r w:rsidR="008C72B1">
        <w:rPr>
          <w:szCs w:val="20"/>
        </w:rPr>
        <w:t>.</w:t>
      </w:r>
    </w:p>
    <w:p w14:paraId="27B3B106" w14:textId="77777777" w:rsidR="002A3BA2" w:rsidRPr="00164505" w:rsidRDefault="002A3BA2" w:rsidP="008C72B1">
      <w:pPr>
        <w:pStyle w:val="SPIEbodytext"/>
        <w:rPr>
          <w:lang w:val="en-IE"/>
        </w:rPr>
      </w:pPr>
    </w:p>
    <w:p w14:paraId="35B24BEB" w14:textId="351243D9" w:rsidR="00FD7A28" w:rsidRDefault="008C72B1" w:rsidP="007F5099">
      <w:pPr>
        <w:pStyle w:val="Heading1"/>
      </w:pPr>
      <w:r>
        <w:t>Instrument description and level 1 products</w:t>
      </w:r>
    </w:p>
    <w:p w14:paraId="2182711D" w14:textId="1EB87E8C" w:rsidR="008A2E98" w:rsidRPr="005173D9" w:rsidRDefault="008C72B1" w:rsidP="005173D9">
      <w:pPr>
        <w:pStyle w:val="ListParagraph"/>
        <w:numPr>
          <w:ilvl w:val="1"/>
          <w:numId w:val="3"/>
        </w:numPr>
        <w:spacing w:after="240"/>
        <w:rPr>
          <w:lang w:val="en-IE"/>
        </w:rPr>
      </w:pPr>
      <w:r>
        <w:rPr>
          <w:b/>
          <w:bCs/>
          <w:szCs w:val="20"/>
        </w:rPr>
        <w:t>Optical layout and viewing directions</w:t>
      </w:r>
    </w:p>
    <w:p w14:paraId="51102B9F" w14:textId="74664F85" w:rsidR="007F5099" w:rsidRPr="005173D9" w:rsidRDefault="005173D9" w:rsidP="007F5099">
      <w:pPr>
        <w:pStyle w:val="SPIEbodytext"/>
        <w:spacing w:before="240"/>
      </w:pPr>
      <w:r w:rsidRPr="005173D9">
        <w:rPr>
          <w:szCs w:val="20"/>
        </w:rPr>
        <w:t>As pictured in Figure 1, the light path through IRS starts at the scan mirror, which feeds the front telescope towards the Michelson interferometer. The interferometer comprises a beam splitter and two arms with corner cubes, one fixed and one mobile. The back telescope then guides the light into the cryostat, through the focusing optics and a dichroic that splits the LWIR and MWIR bands. The interferograms are finally recorded at the focal plane by a 160 × 160-pixel detector array in each band [11</w:t>
      </w:r>
      <w:r w:rsidR="006F25C4">
        <w:t>].</w:t>
      </w:r>
    </w:p>
    <w:p w14:paraId="6988AE1F" w14:textId="77777777" w:rsidR="006F25C4" w:rsidRDefault="006F25C4" w:rsidP="006F25C4">
      <w:pPr>
        <w:pStyle w:val="SPIEbodytext"/>
        <w:jc w:val="center"/>
      </w:pPr>
      <w:r w:rsidRPr="00DD13A0">
        <w:rPr>
          <w:noProof/>
        </w:rPr>
        <w:drawing>
          <wp:inline distT="0" distB="0" distL="0" distR="0" wp14:anchorId="2530FCE3" wp14:editId="65F21576">
            <wp:extent cx="5002906" cy="2573080"/>
            <wp:effectExtent l="0" t="0" r="7620" b="0"/>
            <wp:docPr id="19246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6024" name=""/>
                    <pic:cNvPicPr/>
                  </pic:nvPicPr>
                  <pic:blipFill rotWithShape="1">
                    <a:blip r:embed="rId8"/>
                    <a:srcRect t="889" b="1288"/>
                    <a:stretch>
                      <a:fillRect/>
                    </a:stretch>
                  </pic:blipFill>
                  <pic:spPr bwMode="auto">
                    <a:xfrm>
                      <a:off x="0" y="0"/>
                      <a:ext cx="5148353" cy="2647886"/>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p w14:paraId="3B8CD76B" w14:textId="0C0A52F8" w:rsidR="006F25C4" w:rsidRDefault="006F25C4" w:rsidP="006F25C4">
      <w:pPr>
        <w:pStyle w:val="SPIEfigurecaption"/>
        <w:jc w:val="center"/>
      </w:pPr>
      <w:r w:rsidRPr="00006F57">
        <w:t xml:space="preserve">Figure </w:t>
      </w:r>
      <w:fldSimple w:instr=" SEQ figure \* MERGEFORMAT ">
        <w:r w:rsidR="00C0166E">
          <w:rPr>
            <w:noProof/>
          </w:rPr>
          <w:t>1</w:t>
        </w:r>
      </w:fldSimple>
      <w:r w:rsidRPr="00006F57">
        <w:t>. MTG-S</w:t>
      </w:r>
      <w:r>
        <w:t xml:space="preserve"> IRS instrument optical design </w:t>
      </w:r>
      <w:r w:rsidR="005173D9" w:rsidRPr="005173D9">
        <w:t>(adapted from [11]).</w:t>
      </w:r>
    </w:p>
    <w:p w14:paraId="3D6CA1C2" w14:textId="77777777" w:rsidR="0077713E" w:rsidRPr="008A2E98" w:rsidRDefault="0077713E" w:rsidP="005173D9">
      <w:pPr>
        <w:pStyle w:val="ListParagraph"/>
        <w:numPr>
          <w:ilvl w:val="1"/>
          <w:numId w:val="3"/>
        </w:numPr>
        <w:spacing w:after="240"/>
        <w:rPr>
          <w:b/>
          <w:bCs/>
        </w:rPr>
      </w:pPr>
      <w:r w:rsidRPr="008A2E98">
        <w:rPr>
          <w:b/>
          <w:bCs/>
        </w:rPr>
        <w:lastRenderedPageBreak/>
        <w:t>Interferograms</w:t>
      </w:r>
    </w:p>
    <w:p w14:paraId="3F189360" w14:textId="5C59C1DD" w:rsidR="0077713E" w:rsidRDefault="005173D9" w:rsidP="0077713E">
      <w:pPr>
        <w:spacing w:after="120"/>
        <w:jc w:val="both"/>
      </w:pPr>
      <w:r w:rsidRPr="005173D9">
        <w:rPr>
          <w:szCs w:val="20"/>
        </w:rPr>
        <w:t xml:space="preserve">The primary acquisitions of IRS are interferograms, an example of which is shown in Figure 2. Optical interferences are generated as a function of the displacement of the mobile corner cube, which changes the relative </w:t>
      </w:r>
      <w:proofErr w:type="gramStart"/>
      <w:r w:rsidRPr="005173D9">
        <w:rPr>
          <w:szCs w:val="20"/>
        </w:rPr>
        <w:t>optical path</w:t>
      </w:r>
      <w:proofErr w:type="gramEnd"/>
      <w:r w:rsidRPr="005173D9">
        <w:rPr>
          <w:szCs w:val="20"/>
        </w:rPr>
        <w:t xml:space="preserve"> difference (OPD) between the two arms of the interferometer. During one acquisition, the mobile corner cube covers a total stroke of approximately 8.25 mm in 9.7 s; owing to the double pass on the retroreflector, this generates a symmetric OPD range of ±8.25 mm. The 160 × 160 interferograms of the array are recorded simultaneously, one per pixel</w:t>
      </w:r>
      <w:r w:rsidR="0077713E">
        <w:rPr>
          <w:szCs w:val="20"/>
        </w:rPr>
        <w:t>.</w:t>
      </w:r>
    </w:p>
    <w:p w14:paraId="2DDED8EB" w14:textId="77777777" w:rsidR="0089068B" w:rsidRDefault="0089068B" w:rsidP="0007466D"/>
    <w:p w14:paraId="286DD6D2" w14:textId="68F27027" w:rsidR="0007466D" w:rsidRDefault="0007466D" w:rsidP="0007466D">
      <w:pPr>
        <w:jc w:val="center"/>
      </w:pPr>
      <w:r w:rsidRPr="00DA4782">
        <w:rPr>
          <w:noProof/>
        </w:rPr>
        <w:drawing>
          <wp:inline distT="0" distB="0" distL="0" distR="0" wp14:anchorId="37C56B00" wp14:editId="1786C9F9">
            <wp:extent cx="5140960" cy="2575560"/>
            <wp:effectExtent l="0" t="0" r="2540" b="0"/>
            <wp:docPr id="572618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
                      <a:extLst>
                        <a:ext uri="{28A0092B-C50C-407E-A947-70E740481C1C}">
                          <a14:useLocalDpi xmlns:a14="http://schemas.microsoft.com/office/drawing/2010/main" val="0"/>
                        </a:ext>
                      </a:extLst>
                    </a:blip>
                    <a:srcRect l="7240" r="7696" b="-2435"/>
                    <a:stretch>
                      <a:fillRect/>
                    </a:stretch>
                  </pic:blipFill>
                  <pic:spPr bwMode="auto">
                    <a:xfrm>
                      <a:off x="0" y="0"/>
                      <a:ext cx="5155533" cy="2582861"/>
                    </a:xfrm>
                    <a:prstGeom prst="rect">
                      <a:avLst/>
                    </a:prstGeom>
                    <a:noFill/>
                    <a:ln>
                      <a:noFill/>
                    </a:ln>
                    <a:extLst>
                      <a:ext uri="{53640926-AAD7-44D8-BBD7-CCE9431645EC}">
                        <a14:shadowObscured xmlns:a14="http://schemas.microsoft.com/office/drawing/2010/main"/>
                      </a:ext>
                    </a:extLst>
                  </pic:spPr>
                </pic:pic>
              </a:graphicData>
            </a:graphic>
          </wp:inline>
        </w:drawing>
      </w:r>
    </w:p>
    <w:p w14:paraId="6675E850" w14:textId="239B5EBF" w:rsidR="0007466D" w:rsidRDefault="0007466D" w:rsidP="006F25C4">
      <w:pPr>
        <w:pStyle w:val="SPIEfigurecaption"/>
        <w:jc w:val="center"/>
      </w:pPr>
      <w:r>
        <w:t xml:space="preserve">Figure </w:t>
      </w:r>
      <w:fldSimple w:instr=" SEQ figure \* MERGEFORMAT ">
        <w:r w:rsidR="00C0166E">
          <w:rPr>
            <w:noProof/>
          </w:rPr>
          <w:t>2</w:t>
        </w:r>
      </w:fldSimple>
      <w:r>
        <w:t xml:space="preserve">. </w:t>
      </w:r>
      <w:r w:rsidR="005173D9" w:rsidRPr="005173D9">
        <w:rPr>
          <w:szCs w:val="18"/>
        </w:rPr>
        <w:t>Example of LWIR and MWIR interferograms acquired on the blackbody calibration target (adapted from [12</w:t>
      </w:r>
      <w:r w:rsidR="0089068B">
        <w:rPr>
          <w:szCs w:val="18"/>
        </w:rPr>
        <w:t>]).</w:t>
      </w:r>
    </w:p>
    <w:p w14:paraId="0D5DD900" w14:textId="77777777" w:rsidR="0089068B" w:rsidRDefault="0089068B" w:rsidP="0007466D"/>
    <w:p w14:paraId="41743E16" w14:textId="77777777" w:rsidR="006F25C4" w:rsidRDefault="006F25C4" w:rsidP="005173D9">
      <w:pPr>
        <w:pStyle w:val="ListParagraph"/>
        <w:numPr>
          <w:ilvl w:val="1"/>
          <w:numId w:val="3"/>
        </w:numPr>
        <w:spacing w:after="240"/>
        <w:rPr>
          <w:b/>
          <w:bCs/>
        </w:rPr>
      </w:pPr>
      <w:r>
        <w:rPr>
          <w:b/>
          <w:bCs/>
        </w:rPr>
        <w:t>Spectral r</w:t>
      </w:r>
      <w:r w:rsidRPr="008A2E98">
        <w:rPr>
          <w:b/>
          <w:bCs/>
        </w:rPr>
        <w:t>adiances</w:t>
      </w:r>
    </w:p>
    <w:p w14:paraId="71F3987A" w14:textId="356D8C7C" w:rsidR="0077713E" w:rsidRDefault="005173D9" w:rsidP="006F25C4">
      <w:pPr>
        <w:spacing w:after="120"/>
        <w:jc w:val="both"/>
        <w:rPr>
          <w:szCs w:val="20"/>
        </w:rPr>
      </w:pPr>
      <w:r w:rsidRPr="005173D9">
        <w:rPr>
          <w:szCs w:val="20"/>
        </w:rPr>
        <w:t>The radiances</w:t>
      </w:r>
      <w:r w:rsidR="000D2EDD">
        <w:rPr>
          <w:szCs w:val="20"/>
        </w:rPr>
        <w:t xml:space="preserve">, so called </w:t>
      </w:r>
      <w:r w:rsidR="007338BD">
        <w:rPr>
          <w:szCs w:val="20"/>
        </w:rPr>
        <w:t>l</w:t>
      </w:r>
      <w:r w:rsidR="000D2EDD">
        <w:rPr>
          <w:szCs w:val="20"/>
        </w:rPr>
        <w:t>evel</w:t>
      </w:r>
      <w:r w:rsidR="00946359">
        <w:rPr>
          <w:szCs w:val="20"/>
        </w:rPr>
        <w:t xml:space="preserve"> </w:t>
      </w:r>
      <w:r w:rsidR="000D2EDD">
        <w:rPr>
          <w:szCs w:val="20"/>
        </w:rPr>
        <w:t>1 products,</w:t>
      </w:r>
      <w:r w:rsidRPr="005173D9">
        <w:rPr>
          <w:szCs w:val="20"/>
        </w:rPr>
        <w:t xml:space="preserve"> are retrieved by Fourier </w:t>
      </w:r>
      <w:proofErr w:type="gramStart"/>
      <w:r w:rsidRPr="005173D9">
        <w:rPr>
          <w:szCs w:val="20"/>
        </w:rPr>
        <w:t>transform</w:t>
      </w:r>
      <w:proofErr w:type="gramEnd"/>
      <w:r w:rsidRPr="005173D9">
        <w:rPr>
          <w:szCs w:val="20"/>
        </w:rPr>
        <w:t xml:space="preserve"> of the interferograms. They are provided on 877 spectral samples in the LWIR band and 1076 in the MWIR band, as illustrated in Figure 3, and are delivered in SI units, W m⁻² sr⁻¹ (m⁻¹)⁻¹. One dwell therefore represents a data cube of 160 × 160 × (877 + 1076) values. The main spectral and spatial characteristics are summarized in Table 1</w:t>
      </w:r>
      <w:r>
        <w:rPr>
          <w:szCs w:val="20"/>
        </w:rPr>
        <w:t>.</w:t>
      </w:r>
    </w:p>
    <w:p w14:paraId="7B6FE34D" w14:textId="77777777" w:rsidR="005173D9" w:rsidRPr="008C72B1" w:rsidRDefault="005173D9" w:rsidP="006F25C4">
      <w:pPr>
        <w:spacing w:after="120"/>
        <w:jc w:val="both"/>
        <w:rPr>
          <w:szCs w:val="20"/>
        </w:rPr>
      </w:pPr>
    </w:p>
    <w:p w14:paraId="5E459A7C" w14:textId="07690759" w:rsidR="008C72B1" w:rsidRDefault="008C72B1" w:rsidP="008C72B1">
      <w:pPr>
        <w:pStyle w:val="SPIEbodytext"/>
        <w:jc w:val="center"/>
      </w:pPr>
      <w:r>
        <w:rPr>
          <w:noProof/>
        </w:rPr>
        <w:drawing>
          <wp:inline distT="0" distB="0" distL="0" distR="0" wp14:anchorId="6F11A171" wp14:editId="76E1766F">
            <wp:extent cx="5422068" cy="2257425"/>
            <wp:effectExtent l="0" t="0" r="7620" b="0"/>
            <wp:docPr id="11533309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7855" cy="2284815"/>
                    </a:xfrm>
                    <a:prstGeom prst="rect">
                      <a:avLst/>
                    </a:prstGeom>
                    <a:noFill/>
                    <a:ln>
                      <a:noFill/>
                    </a:ln>
                  </pic:spPr>
                </pic:pic>
              </a:graphicData>
            </a:graphic>
          </wp:inline>
        </w:drawing>
      </w:r>
    </w:p>
    <w:p w14:paraId="738C0917" w14:textId="6B9F26D5" w:rsidR="008C72B1" w:rsidRDefault="005173D9" w:rsidP="008C72B1">
      <w:pPr>
        <w:spacing w:before="100" w:after="220"/>
        <w:jc w:val="center"/>
        <w:rPr>
          <w:sz w:val="18"/>
          <w:szCs w:val="18"/>
        </w:rPr>
      </w:pPr>
      <w:r>
        <w:t xml:space="preserve">Figure </w:t>
      </w:r>
      <w:fldSimple w:instr=" SEQ figure \* MERGEFORMAT ">
        <w:r w:rsidR="00C0166E">
          <w:rPr>
            <w:noProof/>
          </w:rPr>
          <w:t>3</w:t>
        </w:r>
      </w:fldSimple>
      <w:r w:rsidR="008C72B1">
        <w:rPr>
          <w:sz w:val="18"/>
          <w:szCs w:val="18"/>
        </w:rPr>
        <w:t xml:space="preserve">. Example of calibrated LWIR and MWIR </w:t>
      </w:r>
      <w:r w:rsidR="00946359">
        <w:rPr>
          <w:sz w:val="18"/>
          <w:szCs w:val="18"/>
        </w:rPr>
        <w:t>radiances</w:t>
      </w:r>
      <w:r w:rsidR="0089068B">
        <w:rPr>
          <w:sz w:val="18"/>
          <w:szCs w:val="18"/>
        </w:rPr>
        <w:t>, with different visible atmospheric components (</w:t>
      </w:r>
      <w:r w:rsidR="00A84C37">
        <w:rPr>
          <w:sz w:val="18"/>
          <w:szCs w:val="18"/>
        </w:rPr>
        <w:t>adapted</w:t>
      </w:r>
      <w:r w:rsidR="0089068B">
        <w:rPr>
          <w:sz w:val="18"/>
          <w:szCs w:val="18"/>
        </w:rPr>
        <w:t xml:space="preserve"> from [1</w:t>
      </w:r>
      <w:r w:rsidR="00520211">
        <w:rPr>
          <w:sz w:val="18"/>
          <w:szCs w:val="18"/>
        </w:rPr>
        <w:t>2</w:t>
      </w:r>
      <w:r w:rsidR="0089068B">
        <w:rPr>
          <w:sz w:val="18"/>
          <w:szCs w:val="18"/>
        </w:rPr>
        <w:t>]).</w:t>
      </w:r>
    </w:p>
    <w:p w14:paraId="742BF9FF" w14:textId="4F0F4BA8" w:rsidR="0077713E" w:rsidRDefault="005173D9" w:rsidP="0077713E">
      <w:pPr>
        <w:spacing w:after="120"/>
        <w:jc w:val="both"/>
      </w:pPr>
      <w:r w:rsidRPr="005173D9">
        <w:rPr>
          <w:szCs w:val="20"/>
        </w:rPr>
        <w:lastRenderedPageBreak/>
        <w:t>The spectral sampling of IRS is coarser than that of IASI (0.25 cm⁻¹) or IASI-NG (0.125 cm⁻¹) [13], which limits its application in atmospheric chemistry; it has, however, been optimized for weather forecasting. The exact definition of the spectral grids is given in the IRS Level 1 data guide [14</w:t>
      </w:r>
      <w:r w:rsidR="0077713E">
        <w:rPr>
          <w:szCs w:val="20"/>
        </w:rPr>
        <w:t>].</w:t>
      </w:r>
    </w:p>
    <w:p w14:paraId="590AF061" w14:textId="77777777" w:rsidR="0077713E" w:rsidRDefault="0077713E" w:rsidP="008C72B1">
      <w:pPr>
        <w:spacing w:before="60" w:after="100"/>
        <w:jc w:val="center"/>
        <w:rPr>
          <w:sz w:val="18"/>
          <w:szCs w:val="18"/>
        </w:rPr>
      </w:pPr>
    </w:p>
    <w:p w14:paraId="64FA855E" w14:textId="666558C2" w:rsidR="008C72B1" w:rsidRDefault="008C72B1" w:rsidP="008C72B1">
      <w:pPr>
        <w:spacing w:before="60" w:after="100"/>
        <w:jc w:val="center"/>
      </w:pPr>
      <w:r>
        <w:rPr>
          <w:sz w:val="18"/>
          <w:szCs w:val="18"/>
        </w:rPr>
        <w:t>Table 1. Main spectral and spatial characteristics of the IRS Level 1 radiances.</w:t>
      </w:r>
    </w:p>
    <w:tbl>
      <w:tblPr>
        <w:tblW w:w="9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3163"/>
        <w:gridCol w:w="3163"/>
      </w:tblGrid>
      <w:tr w:rsidR="008C72B1" w14:paraId="31A26B2A" w14:textId="77777777" w:rsidTr="0077713E">
        <w:trPr>
          <w:tblHeader/>
          <w:jc w:val="center"/>
        </w:trPr>
        <w:tc>
          <w:tcPr>
            <w:tcW w:w="2700" w:type="dxa"/>
            <w:shd w:val="clear" w:color="auto" w:fill="EFEFEF"/>
            <w:tcMar>
              <w:top w:w="60" w:type="dxa"/>
              <w:left w:w="100" w:type="dxa"/>
              <w:bottom w:w="60" w:type="dxa"/>
              <w:right w:w="100" w:type="dxa"/>
            </w:tcMar>
          </w:tcPr>
          <w:p w14:paraId="79DB6566" w14:textId="77777777" w:rsidR="008C72B1" w:rsidRDefault="008C72B1" w:rsidP="006E1257">
            <w:pPr>
              <w:jc w:val="center"/>
            </w:pPr>
            <w:r>
              <w:rPr>
                <w:b/>
                <w:bCs/>
                <w:sz w:val="18"/>
                <w:szCs w:val="18"/>
              </w:rPr>
              <w:t>Parameter</w:t>
            </w:r>
          </w:p>
        </w:tc>
        <w:tc>
          <w:tcPr>
            <w:tcW w:w="3163" w:type="dxa"/>
            <w:shd w:val="clear" w:color="auto" w:fill="EFEFEF"/>
            <w:tcMar>
              <w:top w:w="60" w:type="dxa"/>
              <w:left w:w="100" w:type="dxa"/>
              <w:bottom w:w="60" w:type="dxa"/>
              <w:right w:w="100" w:type="dxa"/>
            </w:tcMar>
          </w:tcPr>
          <w:p w14:paraId="70CDFCBA" w14:textId="77777777" w:rsidR="008C72B1" w:rsidRDefault="008C72B1" w:rsidP="006E1257">
            <w:pPr>
              <w:jc w:val="center"/>
            </w:pPr>
            <w:r>
              <w:rPr>
                <w:b/>
                <w:bCs/>
                <w:sz w:val="18"/>
                <w:szCs w:val="18"/>
              </w:rPr>
              <w:t>LWIR band</w:t>
            </w:r>
          </w:p>
        </w:tc>
        <w:tc>
          <w:tcPr>
            <w:tcW w:w="3163" w:type="dxa"/>
            <w:shd w:val="clear" w:color="auto" w:fill="EFEFEF"/>
            <w:tcMar>
              <w:top w:w="60" w:type="dxa"/>
              <w:left w:w="100" w:type="dxa"/>
              <w:bottom w:w="60" w:type="dxa"/>
              <w:right w:w="100" w:type="dxa"/>
            </w:tcMar>
          </w:tcPr>
          <w:p w14:paraId="29656362" w14:textId="77777777" w:rsidR="008C72B1" w:rsidRDefault="008C72B1" w:rsidP="006E1257">
            <w:pPr>
              <w:jc w:val="center"/>
            </w:pPr>
            <w:r>
              <w:rPr>
                <w:b/>
                <w:bCs/>
                <w:sz w:val="18"/>
                <w:szCs w:val="18"/>
              </w:rPr>
              <w:t>MWIR band</w:t>
            </w:r>
          </w:p>
        </w:tc>
      </w:tr>
      <w:tr w:rsidR="008C72B1" w14:paraId="0BDDB529" w14:textId="77777777" w:rsidTr="0077713E">
        <w:trPr>
          <w:jc w:val="center"/>
        </w:trPr>
        <w:tc>
          <w:tcPr>
            <w:tcW w:w="2700" w:type="dxa"/>
            <w:tcMar>
              <w:top w:w="60" w:type="dxa"/>
              <w:left w:w="100" w:type="dxa"/>
              <w:bottom w:w="60" w:type="dxa"/>
              <w:right w:w="100" w:type="dxa"/>
            </w:tcMar>
          </w:tcPr>
          <w:p w14:paraId="3EF5E574" w14:textId="77777777" w:rsidR="008C72B1" w:rsidRDefault="008C72B1" w:rsidP="006E1257">
            <w:r>
              <w:rPr>
                <w:sz w:val="18"/>
                <w:szCs w:val="18"/>
              </w:rPr>
              <w:t>Spectral coverage</w:t>
            </w:r>
          </w:p>
        </w:tc>
        <w:tc>
          <w:tcPr>
            <w:tcW w:w="3163" w:type="dxa"/>
            <w:tcMar>
              <w:top w:w="60" w:type="dxa"/>
              <w:left w:w="100" w:type="dxa"/>
              <w:bottom w:w="60" w:type="dxa"/>
              <w:right w:w="100" w:type="dxa"/>
            </w:tcMar>
          </w:tcPr>
          <w:p w14:paraId="7A7059A5" w14:textId="77777777" w:rsidR="008C72B1" w:rsidRDefault="008C72B1" w:rsidP="006E1257">
            <w:pPr>
              <w:jc w:val="center"/>
            </w:pPr>
            <w:r>
              <w:rPr>
                <w:sz w:val="18"/>
                <w:szCs w:val="18"/>
              </w:rPr>
              <w:t>680 – 1210 cm⁻¹</w:t>
            </w:r>
          </w:p>
        </w:tc>
        <w:tc>
          <w:tcPr>
            <w:tcW w:w="3163" w:type="dxa"/>
            <w:tcMar>
              <w:top w:w="60" w:type="dxa"/>
              <w:left w:w="100" w:type="dxa"/>
              <w:bottom w:w="60" w:type="dxa"/>
              <w:right w:w="100" w:type="dxa"/>
            </w:tcMar>
          </w:tcPr>
          <w:p w14:paraId="432C0C39" w14:textId="77777777" w:rsidR="008C72B1" w:rsidRDefault="008C72B1" w:rsidP="006E1257">
            <w:pPr>
              <w:jc w:val="center"/>
            </w:pPr>
            <w:r>
              <w:rPr>
                <w:sz w:val="18"/>
                <w:szCs w:val="18"/>
              </w:rPr>
              <w:t>1600 – 2250 cm⁻¹</w:t>
            </w:r>
          </w:p>
        </w:tc>
      </w:tr>
      <w:tr w:rsidR="008C72B1" w14:paraId="10D6F4E9" w14:textId="77777777" w:rsidTr="0077713E">
        <w:trPr>
          <w:jc w:val="center"/>
        </w:trPr>
        <w:tc>
          <w:tcPr>
            <w:tcW w:w="2700" w:type="dxa"/>
            <w:tcMar>
              <w:top w:w="60" w:type="dxa"/>
              <w:left w:w="100" w:type="dxa"/>
              <w:bottom w:w="60" w:type="dxa"/>
              <w:right w:w="100" w:type="dxa"/>
            </w:tcMar>
          </w:tcPr>
          <w:p w14:paraId="537BA030" w14:textId="77777777" w:rsidR="008C72B1" w:rsidRDefault="008C72B1" w:rsidP="006E1257">
            <w:r>
              <w:rPr>
                <w:sz w:val="18"/>
                <w:szCs w:val="18"/>
              </w:rPr>
              <w:t>Number of spectral samples</w:t>
            </w:r>
          </w:p>
        </w:tc>
        <w:tc>
          <w:tcPr>
            <w:tcW w:w="3163" w:type="dxa"/>
            <w:tcMar>
              <w:top w:w="60" w:type="dxa"/>
              <w:left w:w="100" w:type="dxa"/>
              <w:bottom w:w="60" w:type="dxa"/>
              <w:right w:w="100" w:type="dxa"/>
            </w:tcMar>
          </w:tcPr>
          <w:p w14:paraId="48BD376A" w14:textId="77777777" w:rsidR="008C72B1" w:rsidRDefault="008C72B1" w:rsidP="006E1257">
            <w:pPr>
              <w:jc w:val="center"/>
            </w:pPr>
            <w:r>
              <w:rPr>
                <w:sz w:val="18"/>
                <w:szCs w:val="18"/>
              </w:rPr>
              <w:t>877</w:t>
            </w:r>
          </w:p>
        </w:tc>
        <w:tc>
          <w:tcPr>
            <w:tcW w:w="3163" w:type="dxa"/>
            <w:tcMar>
              <w:top w:w="60" w:type="dxa"/>
              <w:left w:w="100" w:type="dxa"/>
              <w:bottom w:w="60" w:type="dxa"/>
              <w:right w:w="100" w:type="dxa"/>
            </w:tcMar>
          </w:tcPr>
          <w:p w14:paraId="1E03BF84" w14:textId="77777777" w:rsidR="008C72B1" w:rsidRDefault="008C72B1" w:rsidP="006E1257">
            <w:pPr>
              <w:jc w:val="center"/>
            </w:pPr>
            <w:r>
              <w:rPr>
                <w:sz w:val="18"/>
                <w:szCs w:val="18"/>
              </w:rPr>
              <w:t>1076</w:t>
            </w:r>
          </w:p>
        </w:tc>
      </w:tr>
      <w:tr w:rsidR="008C72B1" w14:paraId="6C7A8B33" w14:textId="77777777" w:rsidTr="0077713E">
        <w:trPr>
          <w:jc w:val="center"/>
        </w:trPr>
        <w:tc>
          <w:tcPr>
            <w:tcW w:w="2700" w:type="dxa"/>
            <w:tcMar>
              <w:top w:w="60" w:type="dxa"/>
              <w:left w:w="100" w:type="dxa"/>
              <w:bottom w:w="60" w:type="dxa"/>
              <w:right w:w="100" w:type="dxa"/>
            </w:tcMar>
          </w:tcPr>
          <w:p w14:paraId="217E4CD6" w14:textId="77777777" w:rsidR="008C72B1" w:rsidRDefault="008C72B1" w:rsidP="006E1257">
            <w:r>
              <w:rPr>
                <w:sz w:val="18"/>
                <w:szCs w:val="18"/>
              </w:rPr>
              <w:t xml:space="preserve">Spectral sampling </w:t>
            </w:r>
            <w:proofErr w:type="spellStart"/>
            <w:r>
              <w:rPr>
                <w:sz w:val="18"/>
                <w:szCs w:val="18"/>
              </w:rPr>
              <w:t>δν</w:t>
            </w:r>
            <w:proofErr w:type="spellEnd"/>
          </w:p>
        </w:tc>
        <w:tc>
          <w:tcPr>
            <w:tcW w:w="3163" w:type="dxa"/>
            <w:tcMar>
              <w:top w:w="60" w:type="dxa"/>
              <w:left w:w="100" w:type="dxa"/>
              <w:bottom w:w="60" w:type="dxa"/>
              <w:right w:w="100" w:type="dxa"/>
            </w:tcMar>
          </w:tcPr>
          <w:p w14:paraId="05567E72" w14:textId="77777777" w:rsidR="008C72B1" w:rsidRDefault="008C72B1" w:rsidP="006E1257">
            <w:pPr>
              <w:jc w:val="center"/>
            </w:pPr>
            <w:r>
              <w:rPr>
                <w:sz w:val="18"/>
                <w:szCs w:val="18"/>
              </w:rPr>
              <w:t>0.6056 cm⁻¹</w:t>
            </w:r>
          </w:p>
        </w:tc>
        <w:tc>
          <w:tcPr>
            <w:tcW w:w="3163" w:type="dxa"/>
            <w:tcMar>
              <w:top w:w="60" w:type="dxa"/>
              <w:left w:w="100" w:type="dxa"/>
              <w:bottom w:w="60" w:type="dxa"/>
              <w:right w:w="100" w:type="dxa"/>
            </w:tcMar>
          </w:tcPr>
          <w:p w14:paraId="623D8094" w14:textId="77777777" w:rsidR="008C72B1" w:rsidRDefault="008C72B1" w:rsidP="006E1257">
            <w:pPr>
              <w:jc w:val="center"/>
            </w:pPr>
            <w:r>
              <w:rPr>
                <w:sz w:val="18"/>
                <w:szCs w:val="18"/>
              </w:rPr>
              <w:t>0.6051 cm⁻¹</w:t>
            </w:r>
          </w:p>
        </w:tc>
      </w:tr>
      <w:tr w:rsidR="008C72B1" w14:paraId="608196BB" w14:textId="77777777" w:rsidTr="0077713E">
        <w:trPr>
          <w:jc w:val="center"/>
        </w:trPr>
        <w:tc>
          <w:tcPr>
            <w:tcW w:w="2700" w:type="dxa"/>
            <w:tcMar>
              <w:top w:w="60" w:type="dxa"/>
              <w:left w:w="100" w:type="dxa"/>
              <w:bottom w:w="60" w:type="dxa"/>
              <w:right w:w="100" w:type="dxa"/>
            </w:tcMar>
          </w:tcPr>
          <w:p w14:paraId="343B10C6" w14:textId="77777777" w:rsidR="008C72B1" w:rsidRDefault="008C72B1" w:rsidP="006E1257">
            <w:r>
              <w:rPr>
                <w:sz w:val="18"/>
                <w:szCs w:val="18"/>
              </w:rPr>
              <w:t>Detector array</w:t>
            </w:r>
          </w:p>
        </w:tc>
        <w:tc>
          <w:tcPr>
            <w:tcW w:w="3163" w:type="dxa"/>
            <w:tcMar>
              <w:top w:w="60" w:type="dxa"/>
              <w:left w:w="100" w:type="dxa"/>
              <w:bottom w:w="60" w:type="dxa"/>
              <w:right w:w="100" w:type="dxa"/>
            </w:tcMar>
          </w:tcPr>
          <w:p w14:paraId="58FF4F79" w14:textId="77777777" w:rsidR="008C72B1" w:rsidRDefault="008C72B1" w:rsidP="006E1257">
            <w:pPr>
              <w:jc w:val="center"/>
            </w:pPr>
            <w:r>
              <w:rPr>
                <w:sz w:val="18"/>
                <w:szCs w:val="18"/>
              </w:rPr>
              <w:t>160 × 160 pixels</w:t>
            </w:r>
          </w:p>
        </w:tc>
        <w:tc>
          <w:tcPr>
            <w:tcW w:w="3163" w:type="dxa"/>
            <w:tcMar>
              <w:top w:w="60" w:type="dxa"/>
              <w:left w:w="100" w:type="dxa"/>
              <w:bottom w:w="60" w:type="dxa"/>
              <w:right w:w="100" w:type="dxa"/>
            </w:tcMar>
          </w:tcPr>
          <w:p w14:paraId="5598C31A" w14:textId="77777777" w:rsidR="008C72B1" w:rsidRDefault="008C72B1" w:rsidP="006E1257">
            <w:pPr>
              <w:jc w:val="center"/>
            </w:pPr>
            <w:r>
              <w:rPr>
                <w:sz w:val="18"/>
                <w:szCs w:val="18"/>
              </w:rPr>
              <w:t>160 × 160 pixels</w:t>
            </w:r>
          </w:p>
        </w:tc>
      </w:tr>
      <w:tr w:rsidR="008C72B1" w14:paraId="7AFC6B82" w14:textId="77777777" w:rsidTr="0077713E">
        <w:trPr>
          <w:jc w:val="center"/>
        </w:trPr>
        <w:tc>
          <w:tcPr>
            <w:tcW w:w="2700" w:type="dxa"/>
            <w:tcMar>
              <w:top w:w="60" w:type="dxa"/>
              <w:left w:w="100" w:type="dxa"/>
              <w:bottom w:w="60" w:type="dxa"/>
              <w:right w:w="100" w:type="dxa"/>
            </w:tcMar>
          </w:tcPr>
          <w:p w14:paraId="66807F6A" w14:textId="77777777" w:rsidR="008C72B1" w:rsidRDefault="008C72B1" w:rsidP="006E1257">
            <w:r>
              <w:rPr>
                <w:sz w:val="18"/>
                <w:szCs w:val="18"/>
              </w:rPr>
              <w:t>Spatial sampling at nadir</w:t>
            </w:r>
          </w:p>
        </w:tc>
        <w:tc>
          <w:tcPr>
            <w:tcW w:w="3163" w:type="dxa"/>
            <w:tcMar>
              <w:top w:w="60" w:type="dxa"/>
              <w:left w:w="100" w:type="dxa"/>
              <w:bottom w:w="60" w:type="dxa"/>
              <w:right w:w="100" w:type="dxa"/>
            </w:tcMar>
          </w:tcPr>
          <w:p w14:paraId="6AA4EC88" w14:textId="77777777" w:rsidR="008C72B1" w:rsidRDefault="008C72B1" w:rsidP="006E1257">
            <w:pPr>
              <w:jc w:val="center"/>
            </w:pPr>
            <w:r>
              <w:rPr>
                <w:sz w:val="18"/>
                <w:szCs w:val="18"/>
              </w:rPr>
              <w:t>4 km</w:t>
            </w:r>
          </w:p>
        </w:tc>
        <w:tc>
          <w:tcPr>
            <w:tcW w:w="3163" w:type="dxa"/>
            <w:tcMar>
              <w:top w:w="60" w:type="dxa"/>
              <w:left w:w="100" w:type="dxa"/>
              <w:bottom w:w="60" w:type="dxa"/>
              <w:right w:w="100" w:type="dxa"/>
            </w:tcMar>
          </w:tcPr>
          <w:p w14:paraId="5413143E" w14:textId="77777777" w:rsidR="008C72B1" w:rsidRDefault="008C72B1" w:rsidP="006E1257">
            <w:pPr>
              <w:jc w:val="center"/>
            </w:pPr>
            <w:r>
              <w:rPr>
                <w:sz w:val="18"/>
                <w:szCs w:val="18"/>
              </w:rPr>
              <w:t>4 km</w:t>
            </w:r>
          </w:p>
        </w:tc>
      </w:tr>
    </w:tbl>
    <w:p w14:paraId="541DC1BC" w14:textId="77777777" w:rsidR="008C72B1" w:rsidRDefault="008C72B1" w:rsidP="00946359">
      <w:pPr>
        <w:pStyle w:val="SPIEbodytext"/>
        <w:spacing w:before="240"/>
      </w:pPr>
    </w:p>
    <w:p w14:paraId="6A7F558D" w14:textId="25EE13C8" w:rsidR="00171ABE" w:rsidRPr="008A2E98" w:rsidRDefault="00171ABE" w:rsidP="005173D9">
      <w:pPr>
        <w:pStyle w:val="ListParagraph"/>
        <w:numPr>
          <w:ilvl w:val="1"/>
          <w:numId w:val="3"/>
        </w:numPr>
        <w:spacing w:after="240"/>
        <w:rPr>
          <w:b/>
          <w:bCs/>
        </w:rPr>
      </w:pPr>
      <w:r w:rsidRPr="008A2E98">
        <w:rPr>
          <w:b/>
          <w:bCs/>
        </w:rPr>
        <w:t>Scanning</w:t>
      </w:r>
      <w:r w:rsidR="008C72B1">
        <w:rPr>
          <w:b/>
          <w:bCs/>
        </w:rPr>
        <w:t xml:space="preserve"> strategy</w:t>
      </w:r>
      <w:r w:rsidRPr="008A2E98">
        <w:rPr>
          <w:b/>
          <w:bCs/>
        </w:rPr>
        <w:t xml:space="preserve"> </w:t>
      </w:r>
    </w:p>
    <w:p w14:paraId="5B57E184" w14:textId="056224EA" w:rsidR="005173D9" w:rsidRPr="005173D9" w:rsidRDefault="005173D9" w:rsidP="005173D9">
      <w:pPr>
        <w:spacing w:after="120"/>
        <w:jc w:val="both"/>
        <w:rPr>
          <w:szCs w:val="20"/>
          <w:lang w:val="en-IE"/>
        </w:rPr>
      </w:pPr>
      <w:r w:rsidRPr="005173D9">
        <w:rPr>
          <w:szCs w:val="20"/>
          <w:lang w:val="en-IE"/>
        </w:rPr>
        <w:t>The instrument scans the Earth in a ‘stop and stare’ mode. IRS images an area of the Earth covered by its field of view</w:t>
      </w:r>
      <w:r w:rsidR="00CF7C14">
        <w:rPr>
          <w:szCs w:val="20"/>
          <w:lang w:val="en-IE"/>
        </w:rPr>
        <w:t>, called a d</w:t>
      </w:r>
      <w:r w:rsidRPr="005173D9">
        <w:rPr>
          <w:szCs w:val="20"/>
          <w:lang w:val="en-IE"/>
        </w:rPr>
        <w:t>well</w:t>
      </w:r>
      <w:r w:rsidR="00CF7C14">
        <w:rPr>
          <w:szCs w:val="20"/>
          <w:lang w:val="en-IE"/>
        </w:rPr>
        <w:t>,</w:t>
      </w:r>
      <w:r w:rsidRPr="005173D9">
        <w:rPr>
          <w:szCs w:val="20"/>
          <w:lang w:val="en-IE"/>
        </w:rPr>
        <w:t xml:space="preserve"> collecting in 9.7 s</w:t>
      </w:r>
      <w:r w:rsidR="002D3ADD">
        <w:rPr>
          <w:szCs w:val="20"/>
          <w:lang w:val="en-IE"/>
        </w:rPr>
        <w:t>econds</w:t>
      </w:r>
      <w:r w:rsidRPr="005173D9">
        <w:rPr>
          <w:szCs w:val="20"/>
          <w:lang w:val="en-IE"/>
        </w:rPr>
        <w:t xml:space="preserve"> </w:t>
      </w:r>
      <w:r w:rsidR="00CF7C14">
        <w:rPr>
          <w:szCs w:val="20"/>
          <w:lang w:val="en-IE"/>
        </w:rPr>
        <w:t xml:space="preserve">the </w:t>
      </w:r>
      <w:r w:rsidRPr="005173D9">
        <w:rPr>
          <w:szCs w:val="20"/>
          <w:lang w:val="en-IE"/>
        </w:rPr>
        <w:t>160 × 160 interferograms</w:t>
      </w:r>
      <w:r w:rsidR="00CF7C14">
        <w:rPr>
          <w:szCs w:val="20"/>
          <w:lang w:val="en-IE"/>
        </w:rPr>
        <w:t xml:space="preserve">. Moreover, </w:t>
      </w:r>
      <w:r w:rsidRPr="005173D9">
        <w:rPr>
          <w:szCs w:val="20"/>
          <w:lang w:val="en-IE"/>
        </w:rPr>
        <w:t>broadband image</w:t>
      </w:r>
      <w:r w:rsidR="00CF7C14">
        <w:rPr>
          <w:szCs w:val="20"/>
          <w:lang w:val="en-IE"/>
        </w:rPr>
        <w:t xml:space="preserve">s in </w:t>
      </w:r>
      <w:r w:rsidR="00CF7C14">
        <w:rPr>
          <w:sz w:val="18"/>
          <w:szCs w:val="18"/>
          <w:lang w:val="en-IE"/>
        </w:rPr>
        <w:t>480</w:t>
      </w:r>
      <w:r w:rsidR="00CF7C14">
        <w:rPr>
          <w:sz w:val="18"/>
          <w:szCs w:val="18"/>
        </w:rPr>
        <w:t xml:space="preserve"> × 480</w:t>
      </w:r>
      <w:r w:rsidRPr="005173D9">
        <w:rPr>
          <w:szCs w:val="20"/>
          <w:lang w:val="en-IE"/>
        </w:rPr>
        <w:t xml:space="preserve"> </w:t>
      </w:r>
      <w:r w:rsidR="00CF7C14">
        <w:rPr>
          <w:szCs w:val="20"/>
          <w:lang w:val="en-IE"/>
        </w:rPr>
        <w:t>are acquired for each spectral band</w:t>
      </w:r>
      <w:r w:rsidRPr="005173D9">
        <w:rPr>
          <w:szCs w:val="20"/>
          <w:lang w:val="en-IE"/>
        </w:rPr>
        <w:t>, before moving to the next adjacent area. The sequence is illustrated in Figure 4.</w:t>
      </w:r>
    </w:p>
    <w:p w14:paraId="55735A85" w14:textId="77777777" w:rsidR="005173D9" w:rsidRPr="005173D9" w:rsidRDefault="005173D9" w:rsidP="005173D9">
      <w:pPr>
        <w:spacing w:after="120"/>
        <w:jc w:val="both"/>
        <w:rPr>
          <w:szCs w:val="20"/>
          <w:lang w:val="en-IE"/>
        </w:rPr>
      </w:pPr>
      <w:r w:rsidRPr="005173D9">
        <w:rPr>
          <w:szCs w:val="20"/>
          <w:lang w:val="en-IE"/>
        </w:rPr>
        <w:t>The Earth disc is divided into four regions of interest called Local Area Coverages (LACs), numbered 1 to 4 from south to north. LAC 4, the northernmost one, covers Europe and is scanned every 30 minutes; LACs 1, 2 and 3 are imaged in between, successively. A full-disc view reconstructed from the individual dwells is shown in Figure 5.</w:t>
      </w:r>
    </w:p>
    <w:p w14:paraId="7876AAF4" w14:textId="45648ACA" w:rsidR="00B97907" w:rsidRPr="008C72B1" w:rsidRDefault="00B97907" w:rsidP="005173D9">
      <w:pPr>
        <w:spacing w:after="120"/>
        <w:jc w:val="both"/>
      </w:pPr>
    </w:p>
    <w:p w14:paraId="27261788" w14:textId="0D101182" w:rsidR="00B97907" w:rsidRDefault="00B97907" w:rsidP="00B97907">
      <w:pPr>
        <w:pStyle w:val="SPIEbodytext"/>
        <w:jc w:val="center"/>
      </w:pPr>
      <w:r>
        <w:rPr>
          <w:noProof/>
        </w:rPr>
        <w:drawing>
          <wp:inline distT="0" distB="0" distL="0" distR="0" wp14:anchorId="78DC17E2" wp14:editId="37DE9E79">
            <wp:extent cx="2810869" cy="2748605"/>
            <wp:effectExtent l="0" t="0" r="8890" b="0"/>
            <wp:docPr id="18781899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1863" cy="2759356"/>
                    </a:xfrm>
                    <a:prstGeom prst="rect">
                      <a:avLst/>
                    </a:prstGeom>
                    <a:noFill/>
                    <a:ln>
                      <a:noFill/>
                    </a:ln>
                  </pic:spPr>
                </pic:pic>
              </a:graphicData>
            </a:graphic>
          </wp:inline>
        </w:drawing>
      </w:r>
      <w:r w:rsidRPr="00B97907">
        <w:t xml:space="preserve"> </w:t>
      </w:r>
      <w:r>
        <w:rPr>
          <w:noProof/>
        </w:rPr>
        <w:drawing>
          <wp:inline distT="0" distB="0" distL="0" distR="0" wp14:anchorId="153CC17F" wp14:editId="09384A2F">
            <wp:extent cx="3274828" cy="2682012"/>
            <wp:effectExtent l="0" t="0" r="1905" b="4445"/>
            <wp:docPr id="4490729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92933" cy="2696839"/>
                    </a:xfrm>
                    <a:prstGeom prst="rect">
                      <a:avLst/>
                    </a:prstGeom>
                    <a:noFill/>
                    <a:ln>
                      <a:noFill/>
                    </a:ln>
                  </pic:spPr>
                </pic:pic>
              </a:graphicData>
            </a:graphic>
          </wp:inline>
        </w:drawing>
      </w:r>
    </w:p>
    <w:p w14:paraId="187CFE79" w14:textId="795A347F" w:rsidR="008C72B1" w:rsidRDefault="002D3ADD" w:rsidP="008C72B1">
      <w:pPr>
        <w:spacing w:before="100" w:after="220"/>
        <w:jc w:val="center"/>
      </w:pPr>
      <w:r>
        <w:t xml:space="preserve">Figure </w:t>
      </w:r>
      <w:fldSimple w:instr=" SEQ figure \* MERGEFORMAT ">
        <w:r w:rsidR="00C0166E">
          <w:rPr>
            <w:noProof/>
          </w:rPr>
          <w:t>4</w:t>
        </w:r>
      </w:fldSimple>
      <w:r>
        <w:rPr>
          <w:sz w:val="18"/>
          <w:szCs w:val="18"/>
        </w:rPr>
        <w:t xml:space="preserve">. </w:t>
      </w:r>
      <w:r w:rsidR="008C72B1">
        <w:rPr>
          <w:sz w:val="18"/>
          <w:szCs w:val="18"/>
        </w:rPr>
        <w:t xml:space="preserve">Illustration of the </w:t>
      </w:r>
      <w:r w:rsidR="002A3BA2">
        <w:rPr>
          <w:sz w:val="18"/>
          <w:szCs w:val="18"/>
        </w:rPr>
        <w:t>“</w:t>
      </w:r>
      <w:r w:rsidR="008C72B1">
        <w:rPr>
          <w:sz w:val="18"/>
          <w:szCs w:val="18"/>
        </w:rPr>
        <w:t>stop and stare</w:t>
      </w:r>
      <w:r w:rsidR="002A3BA2">
        <w:rPr>
          <w:sz w:val="18"/>
          <w:szCs w:val="18"/>
        </w:rPr>
        <w:t>”</w:t>
      </w:r>
      <w:r w:rsidR="008C72B1">
        <w:rPr>
          <w:sz w:val="18"/>
          <w:szCs w:val="18"/>
        </w:rPr>
        <w:t xml:space="preserve"> acquisition sequence and of the four LACs covering the Earth disc.</w:t>
      </w:r>
    </w:p>
    <w:p w14:paraId="6EC09B01" w14:textId="77777777" w:rsidR="004D471C" w:rsidRDefault="004D471C" w:rsidP="008057FB"/>
    <w:p w14:paraId="119D9C2A" w14:textId="32075714" w:rsidR="008C72B1" w:rsidRPr="002D3ADD" w:rsidRDefault="002D3ADD" w:rsidP="00105725">
      <w:pPr>
        <w:spacing w:after="120"/>
        <w:jc w:val="both"/>
        <w:rPr>
          <w:szCs w:val="20"/>
          <w:lang w:val="en-IE"/>
        </w:rPr>
      </w:pPr>
      <w:r w:rsidRPr="002D3ADD">
        <w:rPr>
          <w:szCs w:val="20"/>
          <w:lang w:val="en-IE"/>
        </w:rPr>
        <w:t>IRS provides unprecedented spatial coverage, with contiguous spatial sampling at 4 km at nadir. Figure 6 compares the sampling obtained from a single IRS full-disc scan with that of a single IASI overpass acquired at the same time. Such contiguous and fine sampling is expected to be extremely powerful for the detection of point sources of NH₃, SO₂ and CO, in the spirit of the analyses already performed with polar-orbiting sounders [15].</w:t>
      </w:r>
    </w:p>
    <w:p w14:paraId="1C56C145" w14:textId="113ABFA4" w:rsidR="00576B43" w:rsidRDefault="00576B43" w:rsidP="004D471C">
      <w:pPr>
        <w:jc w:val="center"/>
      </w:pPr>
      <w:r>
        <w:rPr>
          <w:noProof/>
        </w:rPr>
        <w:lastRenderedPageBreak/>
        <w:drawing>
          <wp:inline distT="0" distB="0" distL="0" distR="0" wp14:anchorId="3CB2E417" wp14:editId="4BE6C3FF">
            <wp:extent cx="2996126" cy="2996126"/>
            <wp:effectExtent l="0" t="0" r="0" b="0"/>
            <wp:docPr id="373256784" name="Picture 7" descr="high resolution lw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igh resolution lwi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22296" cy="3022296"/>
                    </a:xfrm>
                    <a:prstGeom prst="rect">
                      <a:avLst/>
                    </a:prstGeom>
                    <a:noFill/>
                    <a:ln>
                      <a:noFill/>
                    </a:ln>
                  </pic:spPr>
                </pic:pic>
              </a:graphicData>
            </a:graphic>
          </wp:inline>
        </w:drawing>
      </w:r>
      <w:r w:rsidR="004D471C">
        <w:t xml:space="preserve">    </w:t>
      </w:r>
      <w:r>
        <w:rPr>
          <w:noProof/>
        </w:rPr>
        <w:drawing>
          <wp:inline distT="0" distB="0" distL="0" distR="0" wp14:anchorId="4D0DBE41" wp14:editId="125116DC">
            <wp:extent cx="2995393" cy="2995393"/>
            <wp:effectExtent l="0" t="0" r="0" b="0"/>
            <wp:docPr id="8980281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13027" cy="3013027"/>
                    </a:xfrm>
                    <a:prstGeom prst="rect">
                      <a:avLst/>
                    </a:prstGeom>
                    <a:noFill/>
                    <a:ln>
                      <a:noFill/>
                    </a:ln>
                  </pic:spPr>
                </pic:pic>
              </a:graphicData>
            </a:graphic>
          </wp:inline>
        </w:drawing>
      </w:r>
    </w:p>
    <w:p w14:paraId="6189A638" w14:textId="6406AD35" w:rsidR="008C72B1" w:rsidRDefault="002D3ADD" w:rsidP="008C72B1">
      <w:pPr>
        <w:spacing w:before="100" w:after="220"/>
        <w:jc w:val="center"/>
      </w:pPr>
      <w:r>
        <w:t xml:space="preserve">Figure </w:t>
      </w:r>
      <w:fldSimple w:instr=" SEQ figure \* MERGEFORMAT ">
        <w:r w:rsidR="00C0166E">
          <w:rPr>
            <w:noProof/>
          </w:rPr>
          <w:t>5</w:t>
        </w:r>
      </w:fldSimple>
      <w:r w:rsidR="008C72B1">
        <w:rPr>
          <w:sz w:val="18"/>
          <w:szCs w:val="18"/>
        </w:rPr>
        <w:t>. Example of full-disc imagery</w:t>
      </w:r>
      <w:r w:rsidR="00753189">
        <w:rPr>
          <w:sz w:val="18"/>
          <w:szCs w:val="18"/>
        </w:rPr>
        <w:t xml:space="preserve"> at 1200 and 1600cm</w:t>
      </w:r>
      <w:r w:rsidR="00753189" w:rsidRPr="00753189">
        <w:rPr>
          <w:sz w:val="18"/>
          <w:szCs w:val="18"/>
          <w:vertAlign w:val="superscript"/>
        </w:rPr>
        <w:t>-1</w:t>
      </w:r>
      <w:r w:rsidR="008C72B1">
        <w:rPr>
          <w:sz w:val="18"/>
          <w:szCs w:val="18"/>
        </w:rPr>
        <w:t xml:space="preserve"> reconstructed from </w:t>
      </w:r>
      <w:r w:rsidR="00753189">
        <w:rPr>
          <w:sz w:val="18"/>
          <w:szCs w:val="18"/>
        </w:rPr>
        <w:t xml:space="preserve">280 </w:t>
      </w:r>
      <w:r w:rsidR="008C72B1">
        <w:rPr>
          <w:sz w:val="18"/>
          <w:szCs w:val="18"/>
        </w:rPr>
        <w:t>IRS dwells in the LWIR and MWIR bands</w:t>
      </w:r>
      <w:r w:rsidR="0089068B">
        <w:rPr>
          <w:sz w:val="18"/>
          <w:szCs w:val="18"/>
        </w:rPr>
        <w:t xml:space="preserve"> (</w:t>
      </w:r>
      <w:r w:rsidRPr="002D3ADD">
        <w:rPr>
          <w:sz w:val="18"/>
          <w:szCs w:val="18"/>
        </w:rPr>
        <w:t>adapted from [12]).</w:t>
      </w:r>
    </w:p>
    <w:p w14:paraId="01FB8D6F" w14:textId="77777777" w:rsidR="0089068B" w:rsidRDefault="0089068B" w:rsidP="00164505">
      <w:pPr>
        <w:pStyle w:val="SPIEbodytext"/>
      </w:pPr>
    </w:p>
    <w:p w14:paraId="4308031A" w14:textId="3241D4D2" w:rsidR="00164505" w:rsidRDefault="000579E4" w:rsidP="00164505">
      <w:pPr>
        <w:pStyle w:val="SPIEbodytext"/>
        <w:jc w:val="center"/>
      </w:pPr>
      <w:r w:rsidRPr="000579E4">
        <w:rPr>
          <w:noProof/>
        </w:rPr>
        <w:drawing>
          <wp:inline distT="0" distB="0" distL="0" distR="0" wp14:anchorId="228E3A08" wp14:editId="57CAA586">
            <wp:extent cx="5312166" cy="3943350"/>
            <wp:effectExtent l="0" t="0" r="3175" b="0"/>
            <wp:docPr id="751911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911089" name=""/>
                    <pic:cNvPicPr/>
                  </pic:nvPicPr>
                  <pic:blipFill>
                    <a:blip r:embed="rId15"/>
                    <a:stretch>
                      <a:fillRect/>
                    </a:stretch>
                  </pic:blipFill>
                  <pic:spPr>
                    <a:xfrm>
                      <a:off x="0" y="0"/>
                      <a:ext cx="5333083" cy="3958877"/>
                    </a:xfrm>
                    <a:prstGeom prst="rect">
                      <a:avLst/>
                    </a:prstGeom>
                  </pic:spPr>
                </pic:pic>
              </a:graphicData>
            </a:graphic>
          </wp:inline>
        </w:drawing>
      </w:r>
    </w:p>
    <w:p w14:paraId="0D7B399D" w14:textId="16B0651A" w:rsidR="00231016" w:rsidRPr="00231016" w:rsidRDefault="002D3ADD" w:rsidP="0089068B">
      <w:pPr>
        <w:spacing w:before="100" w:after="220"/>
        <w:jc w:val="center"/>
        <w:rPr>
          <w:sz w:val="18"/>
          <w:szCs w:val="18"/>
        </w:rPr>
      </w:pPr>
      <w:r>
        <w:t xml:space="preserve">Figure </w:t>
      </w:r>
      <w:fldSimple w:instr=" SEQ figure \* MERGEFORMAT ">
        <w:r w:rsidR="00C0166E">
          <w:rPr>
            <w:noProof/>
          </w:rPr>
          <w:t>6</w:t>
        </w:r>
      </w:fldSimple>
      <w:r w:rsidR="008C72B1">
        <w:rPr>
          <w:sz w:val="18"/>
          <w:szCs w:val="18"/>
        </w:rPr>
        <w:t xml:space="preserve">. </w:t>
      </w:r>
      <w:r w:rsidRPr="002D3ADD">
        <w:rPr>
          <w:sz w:val="18"/>
          <w:szCs w:val="18"/>
        </w:rPr>
        <w:t>Comparison of the spatial sampling of one IRS full-disc scan (right) and of one IASI overpass (left) acquired at the same time</w:t>
      </w:r>
      <w:r w:rsidR="00753189">
        <w:rPr>
          <w:sz w:val="18"/>
          <w:szCs w:val="18"/>
        </w:rPr>
        <w:t xml:space="preserve"> at 850 cm</w:t>
      </w:r>
      <w:r w:rsidR="00753189" w:rsidRPr="00753189">
        <w:rPr>
          <w:sz w:val="18"/>
          <w:szCs w:val="18"/>
          <w:vertAlign w:val="superscript"/>
        </w:rPr>
        <w:t>-1</w:t>
      </w:r>
      <w:r w:rsidR="00A84C37">
        <w:rPr>
          <w:sz w:val="18"/>
          <w:szCs w:val="18"/>
        </w:rPr>
        <w:t xml:space="preserve"> </w:t>
      </w:r>
      <w:proofErr w:type="gramStart"/>
      <w:r w:rsidR="00A84C37">
        <w:rPr>
          <w:sz w:val="18"/>
          <w:szCs w:val="18"/>
        </w:rPr>
        <w:t>wavenumber</w:t>
      </w:r>
      <w:proofErr w:type="gramEnd"/>
      <w:r w:rsidR="00A84C37">
        <w:rPr>
          <w:sz w:val="18"/>
          <w:szCs w:val="18"/>
        </w:rPr>
        <w:t>.</w:t>
      </w:r>
    </w:p>
    <w:p w14:paraId="2B45F77B" w14:textId="60C47B43" w:rsidR="002A3BA2" w:rsidRPr="00786796" w:rsidRDefault="002A3BA2" w:rsidP="002D3ADD">
      <w:pPr>
        <w:pStyle w:val="ListParagraph"/>
        <w:numPr>
          <w:ilvl w:val="1"/>
          <w:numId w:val="3"/>
        </w:numPr>
        <w:spacing w:after="240"/>
        <w:rPr>
          <w:b/>
          <w:bCs/>
        </w:rPr>
      </w:pPr>
      <w:r>
        <w:rPr>
          <w:b/>
          <w:bCs/>
          <w:szCs w:val="20"/>
        </w:rPr>
        <w:lastRenderedPageBreak/>
        <w:t>In-flight calibration scheme</w:t>
      </w:r>
    </w:p>
    <w:p w14:paraId="3672F511" w14:textId="7080CE34" w:rsidR="002D3ADD" w:rsidRPr="002D3ADD" w:rsidRDefault="002D3ADD" w:rsidP="002D3ADD">
      <w:pPr>
        <w:spacing w:after="120"/>
        <w:jc w:val="both"/>
        <w:rPr>
          <w:szCs w:val="20"/>
          <w:lang w:val="en-IE"/>
        </w:rPr>
      </w:pPr>
      <w:r>
        <w:rPr>
          <w:szCs w:val="20"/>
          <w:lang w:val="en-IE"/>
        </w:rPr>
        <w:t>As represented on Figure 7, t</w:t>
      </w:r>
      <w:r w:rsidRPr="002D3ADD">
        <w:rPr>
          <w:szCs w:val="20"/>
          <w:lang w:val="en-IE"/>
        </w:rPr>
        <w:t>he deep space view</w:t>
      </w:r>
      <w:r>
        <w:rPr>
          <w:szCs w:val="20"/>
          <w:lang w:val="en-IE"/>
        </w:rPr>
        <w:t>s</w:t>
      </w:r>
      <w:r w:rsidRPr="002D3ADD">
        <w:rPr>
          <w:szCs w:val="20"/>
          <w:lang w:val="en-IE"/>
        </w:rPr>
        <w:t xml:space="preserve"> DS2, </w:t>
      </w:r>
      <w:r w:rsidR="00A84C37">
        <w:rPr>
          <w:szCs w:val="20"/>
          <w:lang w:val="en-IE"/>
        </w:rPr>
        <w:t xml:space="preserve">are </w:t>
      </w:r>
      <w:r w:rsidRPr="002D3ADD">
        <w:rPr>
          <w:szCs w:val="20"/>
          <w:lang w:val="en-IE"/>
        </w:rPr>
        <w:t>acquired beyond the Earth’s rim</w:t>
      </w:r>
      <w:r w:rsidR="00A84C37">
        <w:rPr>
          <w:szCs w:val="20"/>
          <w:lang w:val="en-IE"/>
        </w:rPr>
        <w:t xml:space="preserve"> and are</w:t>
      </w:r>
      <w:r w:rsidRPr="002D3ADD">
        <w:rPr>
          <w:szCs w:val="20"/>
          <w:lang w:val="en-IE"/>
        </w:rPr>
        <w:t xml:space="preserve"> used to determine the instrument offset</w:t>
      </w:r>
      <w:r>
        <w:rPr>
          <w:szCs w:val="20"/>
          <w:lang w:val="en-IE"/>
        </w:rPr>
        <w:t xml:space="preserve">. Actioning the flip-in mirror (labelled COM on Figure 1) between LACs allows acquiring internal </w:t>
      </w:r>
      <w:r w:rsidRPr="002D3ADD">
        <w:rPr>
          <w:szCs w:val="20"/>
          <w:lang w:val="en-IE"/>
        </w:rPr>
        <w:t>blackbody view</w:t>
      </w:r>
      <w:r>
        <w:rPr>
          <w:szCs w:val="20"/>
          <w:lang w:val="en-IE"/>
        </w:rPr>
        <w:t>s</w:t>
      </w:r>
      <w:r w:rsidRPr="002D3ADD">
        <w:rPr>
          <w:szCs w:val="20"/>
          <w:lang w:val="en-IE"/>
        </w:rPr>
        <w:t xml:space="preserve"> BB</w:t>
      </w:r>
      <w:r>
        <w:rPr>
          <w:szCs w:val="20"/>
          <w:lang w:val="en-IE"/>
        </w:rPr>
        <w:t xml:space="preserve"> and complementary deep space</w:t>
      </w:r>
      <w:r w:rsidRPr="002D3ADD">
        <w:rPr>
          <w:szCs w:val="20"/>
          <w:lang w:val="en-IE"/>
        </w:rPr>
        <w:t xml:space="preserve"> DS1, yield</w:t>
      </w:r>
      <w:r>
        <w:rPr>
          <w:szCs w:val="20"/>
          <w:lang w:val="en-IE"/>
        </w:rPr>
        <w:t>ing</w:t>
      </w:r>
      <w:r w:rsidRPr="002D3ADD">
        <w:rPr>
          <w:szCs w:val="20"/>
          <w:lang w:val="en-IE"/>
        </w:rPr>
        <w:t xml:space="preserve"> the </w:t>
      </w:r>
      <w:r>
        <w:rPr>
          <w:szCs w:val="20"/>
          <w:lang w:val="en-IE"/>
        </w:rPr>
        <w:t xml:space="preserve">instrument </w:t>
      </w:r>
      <w:r w:rsidRPr="002D3ADD">
        <w:rPr>
          <w:szCs w:val="20"/>
          <w:lang w:val="en-IE"/>
        </w:rPr>
        <w:t>gain.</w:t>
      </w:r>
    </w:p>
    <w:p w14:paraId="73304D76" w14:textId="3634C048" w:rsidR="002D3ADD" w:rsidRPr="002D3ADD" w:rsidRDefault="002D3ADD" w:rsidP="002D3ADD">
      <w:pPr>
        <w:spacing w:after="120"/>
        <w:jc w:val="both"/>
        <w:rPr>
          <w:szCs w:val="20"/>
          <w:lang w:val="en-IE"/>
        </w:rPr>
      </w:pPr>
      <w:r w:rsidRPr="002D3ADD">
        <w:rPr>
          <w:szCs w:val="20"/>
          <w:lang w:val="en-IE"/>
        </w:rPr>
        <w:t>The DS2 acquisitions are performed at the end of every</w:t>
      </w:r>
      <w:r>
        <w:rPr>
          <w:szCs w:val="20"/>
          <w:lang w:val="en-IE"/>
        </w:rPr>
        <w:t xml:space="preserve"> scanning</w:t>
      </w:r>
      <w:r w:rsidRPr="002D3ADD">
        <w:rPr>
          <w:szCs w:val="20"/>
          <w:lang w:val="en-IE"/>
        </w:rPr>
        <w:t xml:space="preserve"> line, at approximately 3-minute intervals. The eight preceding DS2 acquisitions are used to predict the background over the interval by linear interpolation. The most demanding conditions occur close to local midnight during the eclipse season, when the Sun illuminates the instrument directly and is then briefly eclipsed behind the Earth: the background evolves rapidly, but the interpolation remains adequate, with residual errors of at most 50 </w:t>
      </w:r>
      <w:proofErr w:type="spellStart"/>
      <w:r w:rsidRPr="002D3ADD">
        <w:rPr>
          <w:szCs w:val="20"/>
          <w:lang w:val="en-IE"/>
        </w:rPr>
        <w:t>mK.</w:t>
      </w:r>
      <w:proofErr w:type="spellEnd"/>
    </w:p>
    <w:p w14:paraId="74EFB7F1" w14:textId="1957853E" w:rsidR="00105725" w:rsidRDefault="002D3ADD" w:rsidP="002D3ADD">
      <w:pPr>
        <w:spacing w:after="120"/>
        <w:jc w:val="both"/>
      </w:pPr>
      <w:r w:rsidRPr="002D3ADD">
        <w:rPr>
          <w:szCs w:val="20"/>
          <w:lang w:val="en-IE"/>
        </w:rPr>
        <w:t xml:space="preserve">The BB and DS1 views are acquired every 15 minutes, between two LACs, to compute the </w:t>
      </w:r>
      <w:r>
        <w:rPr>
          <w:szCs w:val="20"/>
          <w:lang w:val="en-IE"/>
        </w:rPr>
        <w:t xml:space="preserve">current instrument </w:t>
      </w:r>
      <w:r w:rsidRPr="002D3ADD">
        <w:rPr>
          <w:szCs w:val="20"/>
          <w:lang w:val="en-IE"/>
        </w:rPr>
        <w:t>gain</w:t>
      </w:r>
      <w:r w:rsidR="00104E89">
        <w:rPr>
          <w:szCs w:val="20"/>
          <w:lang w:val="en-IE"/>
        </w:rPr>
        <w:t>. It is then</w:t>
      </w:r>
      <w:r>
        <w:rPr>
          <w:szCs w:val="20"/>
          <w:lang w:val="en-IE"/>
        </w:rPr>
        <w:t xml:space="preserve"> </w:t>
      </w:r>
      <w:r w:rsidRPr="002D3ADD">
        <w:rPr>
          <w:szCs w:val="20"/>
          <w:lang w:val="en-IE"/>
        </w:rPr>
        <w:t>average</w:t>
      </w:r>
      <w:r>
        <w:rPr>
          <w:szCs w:val="20"/>
          <w:lang w:val="en-IE"/>
        </w:rPr>
        <w:t xml:space="preserve">d with </w:t>
      </w:r>
      <w:r w:rsidRPr="002D3ADD">
        <w:rPr>
          <w:szCs w:val="20"/>
          <w:lang w:val="en-IE"/>
        </w:rPr>
        <w:t>the eight previous evaluations</w:t>
      </w:r>
      <w:r w:rsidR="00104E89">
        <w:rPr>
          <w:szCs w:val="20"/>
          <w:lang w:val="en-IE"/>
        </w:rPr>
        <w:t xml:space="preserve"> to reduce the noise</w:t>
      </w:r>
      <w:r w:rsidRPr="002D3ADD">
        <w:rPr>
          <w:szCs w:val="20"/>
          <w:lang w:val="en-IE"/>
        </w:rPr>
        <w:t>. The gain of the instrument has proven to be extremely stable and is only affected by a slow decrease caused by icing in the cryostat. Decontamination operations are expected to be carried out every six months during the first year of operation</w:t>
      </w:r>
      <w:r w:rsidR="00105725">
        <w:rPr>
          <w:szCs w:val="20"/>
        </w:rPr>
        <w:t>.</w:t>
      </w:r>
    </w:p>
    <w:p w14:paraId="36E1A4EF" w14:textId="77777777" w:rsidR="006F25C4" w:rsidRDefault="006F25C4" w:rsidP="00171ABE"/>
    <w:p w14:paraId="4AD91342" w14:textId="1D87D7CA" w:rsidR="00B97907" w:rsidRDefault="00B97907" w:rsidP="00B97907">
      <w:pPr>
        <w:jc w:val="center"/>
      </w:pPr>
      <w:r>
        <w:rPr>
          <w:noProof/>
        </w:rPr>
        <w:drawing>
          <wp:inline distT="0" distB="0" distL="0" distR="0" wp14:anchorId="58F70865" wp14:editId="3317B4C4">
            <wp:extent cx="4880344" cy="4309814"/>
            <wp:effectExtent l="0" t="0" r="0" b="0"/>
            <wp:docPr id="15460552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91209" cy="4319409"/>
                    </a:xfrm>
                    <a:prstGeom prst="rect">
                      <a:avLst/>
                    </a:prstGeom>
                    <a:noFill/>
                    <a:ln>
                      <a:noFill/>
                    </a:ln>
                  </pic:spPr>
                </pic:pic>
              </a:graphicData>
            </a:graphic>
          </wp:inline>
        </w:drawing>
      </w:r>
    </w:p>
    <w:p w14:paraId="0ACC2563" w14:textId="4F27D9C4" w:rsidR="00105725" w:rsidRDefault="00104E89" w:rsidP="00105725">
      <w:pPr>
        <w:spacing w:before="100" w:after="220"/>
        <w:jc w:val="center"/>
      </w:pPr>
      <w:r>
        <w:t xml:space="preserve">Figure </w:t>
      </w:r>
      <w:fldSimple w:instr=" SEQ figure \* MERGEFORMAT ">
        <w:r w:rsidR="00C0166E">
          <w:rPr>
            <w:noProof/>
          </w:rPr>
          <w:t>7</w:t>
        </w:r>
      </w:fldSimple>
      <w:r>
        <w:rPr>
          <w:sz w:val="18"/>
          <w:szCs w:val="18"/>
        </w:rPr>
        <w:t xml:space="preserve">. </w:t>
      </w:r>
      <w:r w:rsidR="00E44CD3">
        <w:rPr>
          <w:sz w:val="18"/>
          <w:szCs w:val="18"/>
        </w:rPr>
        <w:t>Representation of the calibration views DS2, BB and DS1</w:t>
      </w:r>
      <w:r w:rsidR="00520211">
        <w:rPr>
          <w:sz w:val="18"/>
          <w:szCs w:val="18"/>
        </w:rPr>
        <w:t xml:space="preserve"> (adapted from [14]).</w:t>
      </w:r>
    </w:p>
    <w:p w14:paraId="1AB5F642" w14:textId="77777777" w:rsidR="00B97907" w:rsidRDefault="00B97907" w:rsidP="00171ABE"/>
    <w:p w14:paraId="28BD17D8" w14:textId="77777777" w:rsidR="00B97907" w:rsidRDefault="00B97907" w:rsidP="00171ABE"/>
    <w:p w14:paraId="109C46F9" w14:textId="56BC3B66" w:rsidR="00171ABE" w:rsidRPr="00786796" w:rsidRDefault="00171ABE" w:rsidP="00104E89">
      <w:pPr>
        <w:pStyle w:val="ListParagraph"/>
        <w:numPr>
          <w:ilvl w:val="1"/>
          <w:numId w:val="3"/>
        </w:numPr>
        <w:spacing w:after="240"/>
        <w:rPr>
          <w:b/>
          <w:bCs/>
        </w:rPr>
      </w:pPr>
      <w:r w:rsidRPr="008A2E98">
        <w:rPr>
          <w:b/>
          <w:bCs/>
        </w:rPr>
        <w:t>Principal Component</w:t>
      </w:r>
    </w:p>
    <w:p w14:paraId="57B36580" w14:textId="344082E2" w:rsidR="00105725" w:rsidRPr="00104E89" w:rsidRDefault="00104E89" w:rsidP="00105725">
      <w:pPr>
        <w:spacing w:after="120"/>
        <w:jc w:val="both"/>
        <w:rPr>
          <w:szCs w:val="20"/>
          <w:lang w:val="en-IE"/>
        </w:rPr>
      </w:pPr>
      <w:r w:rsidRPr="00104E89">
        <w:rPr>
          <w:szCs w:val="20"/>
          <w:lang w:val="en-IE"/>
        </w:rPr>
        <w:t xml:space="preserve">The IRS </w:t>
      </w:r>
      <w:r w:rsidR="000D2EDD">
        <w:rPr>
          <w:szCs w:val="20"/>
          <w:lang w:val="en-IE"/>
        </w:rPr>
        <w:t>l</w:t>
      </w:r>
      <w:r w:rsidRPr="00104E89">
        <w:rPr>
          <w:szCs w:val="20"/>
          <w:lang w:val="en-IE"/>
        </w:rPr>
        <w:t>evel 1</w:t>
      </w:r>
      <w:r w:rsidR="000D2EDD">
        <w:rPr>
          <w:szCs w:val="20"/>
          <w:lang w:val="en-IE"/>
        </w:rPr>
        <w:t xml:space="preserve"> products</w:t>
      </w:r>
      <w:r w:rsidRPr="00104E89">
        <w:rPr>
          <w:szCs w:val="20"/>
          <w:lang w:val="en-IE"/>
        </w:rPr>
        <w:t xml:space="preserve"> consist of signal — the radiances of 1953 spectral samples — and noise. Strong spectral correlations exist between channels, meaning that each spectrum carries a large amount of redundant information. </w:t>
      </w:r>
      <w:r w:rsidRPr="00104E89">
        <w:rPr>
          <w:szCs w:val="20"/>
          <w:lang w:val="en-IE"/>
        </w:rPr>
        <w:lastRenderedPageBreak/>
        <w:t>Mathematically, the effective rank of the subspace spanned by the signal within the measurements is much lower than the number of channels; in other words, the number of independent pieces of information contained in the IRS measurements is much smaller than 1953. These independent pieces of information are the principal component scores (PCS), computed with the leading eigenvectors, called the principal components</w:t>
      </w:r>
      <w:r w:rsidR="00A84C37">
        <w:rPr>
          <w:szCs w:val="20"/>
          <w:lang w:val="en-IE"/>
        </w:rPr>
        <w:t xml:space="preserve"> (PC)</w:t>
      </w:r>
      <w:r w:rsidRPr="00104E89">
        <w:rPr>
          <w:szCs w:val="20"/>
          <w:lang w:val="en-IE"/>
        </w:rPr>
        <w:t>, that represent the natural variance of the noise-normalized measurements [16]. In Figure 8, the radiance covariance along with the first three principal components are represented for the two bands of IRS.</w:t>
      </w:r>
    </w:p>
    <w:p w14:paraId="6FDAD448" w14:textId="77777777" w:rsidR="00B97907" w:rsidRDefault="00B97907" w:rsidP="008057FB"/>
    <w:p w14:paraId="16C5AC21" w14:textId="5FDE26A0" w:rsidR="00EA30A8" w:rsidRDefault="006F25C4" w:rsidP="006F25C4">
      <w:pPr>
        <w:jc w:val="center"/>
      </w:pPr>
      <w:r>
        <w:rPr>
          <w:noProof/>
        </w:rPr>
        <w:drawing>
          <wp:inline distT="0" distB="0" distL="0" distR="0" wp14:anchorId="1330A5B1" wp14:editId="6D5FA40B">
            <wp:extent cx="6054192" cy="4848447"/>
            <wp:effectExtent l="0" t="0" r="3810" b="9525"/>
            <wp:docPr id="17070120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6189" t="1090" r="5569" b="9969"/>
                    <a:stretch>
                      <a:fillRect/>
                    </a:stretch>
                  </pic:blipFill>
                  <pic:spPr bwMode="auto">
                    <a:xfrm>
                      <a:off x="0" y="0"/>
                      <a:ext cx="6077411" cy="4867042"/>
                    </a:xfrm>
                    <a:prstGeom prst="rect">
                      <a:avLst/>
                    </a:prstGeom>
                    <a:noFill/>
                    <a:ln>
                      <a:noFill/>
                    </a:ln>
                    <a:extLst>
                      <a:ext uri="{53640926-AAD7-44D8-BBD7-CCE9431645EC}">
                        <a14:shadowObscured xmlns:a14="http://schemas.microsoft.com/office/drawing/2010/main"/>
                      </a:ext>
                    </a:extLst>
                  </pic:spPr>
                </pic:pic>
              </a:graphicData>
            </a:graphic>
          </wp:inline>
        </w:drawing>
      </w:r>
    </w:p>
    <w:p w14:paraId="4503F6A2" w14:textId="358A96FB" w:rsidR="00105725" w:rsidRDefault="00104E89" w:rsidP="00105725">
      <w:pPr>
        <w:spacing w:before="100" w:after="220"/>
        <w:jc w:val="center"/>
      </w:pPr>
      <w:r>
        <w:t xml:space="preserve">Figure </w:t>
      </w:r>
      <w:fldSimple w:instr=" SEQ figure \* MERGEFORMAT ">
        <w:r w:rsidR="00C0166E">
          <w:rPr>
            <w:noProof/>
          </w:rPr>
          <w:t>8</w:t>
        </w:r>
      </w:fldSimple>
      <w:r>
        <w:rPr>
          <w:sz w:val="18"/>
          <w:szCs w:val="18"/>
        </w:rPr>
        <w:t xml:space="preserve">. </w:t>
      </w:r>
      <w:r w:rsidRPr="00104E89">
        <w:rPr>
          <w:sz w:val="18"/>
          <w:szCs w:val="18"/>
        </w:rPr>
        <w:t xml:space="preserve">IRS </w:t>
      </w:r>
      <w:proofErr w:type="gramStart"/>
      <w:r w:rsidRPr="00104E89">
        <w:rPr>
          <w:sz w:val="18"/>
          <w:szCs w:val="18"/>
        </w:rPr>
        <w:t>radiance covariance</w:t>
      </w:r>
      <w:proofErr w:type="gramEnd"/>
      <w:r w:rsidR="005C5CFC">
        <w:rPr>
          <w:sz w:val="18"/>
          <w:szCs w:val="18"/>
        </w:rPr>
        <w:t xml:space="preserve"> (up)</w:t>
      </w:r>
      <w:r w:rsidRPr="00104E89">
        <w:rPr>
          <w:sz w:val="18"/>
          <w:szCs w:val="18"/>
        </w:rPr>
        <w:t xml:space="preserve"> and principal components</w:t>
      </w:r>
      <w:r w:rsidR="005C5CFC">
        <w:rPr>
          <w:sz w:val="18"/>
          <w:szCs w:val="18"/>
        </w:rPr>
        <w:t xml:space="preserve"> (down)</w:t>
      </w:r>
      <w:r w:rsidRPr="00104E89">
        <w:rPr>
          <w:sz w:val="18"/>
          <w:szCs w:val="18"/>
        </w:rPr>
        <w:t xml:space="preserve"> per band; the first three principal components are represented</w:t>
      </w:r>
      <w:r w:rsidR="005C5CFC">
        <w:rPr>
          <w:sz w:val="18"/>
          <w:szCs w:val="18"/>
        </w:rPr>
        <w:t xml:space="preserve"> (in order blue, red, yellow)</w:t>
      </w:r>
      <w:r w:rsidR="006F25C4">
        <w:rPr>
          <w:sz w:val="18"/>
          <w:szCs w:val="18"/>
        </w:rPr>
        <w:t>.</w:t>
      </w:r>
    </w:p>
    <w:p w14:paraId="78E47785" w14:textId="77777777" w:rsidR="006F25C4" w:rsidRDefault="006F25C4" w:rsidP="006F25C4">
      <w:pPr>
        <w:spacing w:after="120"/>
        <w:jc w:val="both"/>
        <w:rPr>
          <w:szCs w:val="20"/>
        </w:rPr>
      </w:pPr>
    </w:p>
    <w:p w14:paraId="4E413985" w14:textId="74BF44A3" w:rsidR="002254B5" w:rsidRDefault="002254B5" w:rsidP="00104E89">
      <w:pPr>
        <w:spacing w:after="120"/>
        <w:jc w:val="both"/>
        <w:rPr>
          <w:szCs w:val="20"/>
          <w:lang w:val="en-IE"/>
        </w:rPr>
      </w:pPr>
      <w:r w:rsidRPr="00104E89">
        <w:rPr>
          <w:szCs w:val="20"/>
          <w:lang w:val="en-IE"/>
        </w:rPr>
        <w:t xml:space="preserve">The radiances of each IRS band are compressed </w:t>
      </w:r>
      <w:r>
        <w:rPr>
          <w:szCs w:val="20"/>
          <w:lang w:val="en-IE"/>
        </w:rPr>
        <w:t>into 150 PCS by projecting the radiances onto the PC</w:t>
      </w:r>
      <w:r w:rsidRPr="00104E89">
        <w:rPr>
          <w:szCs w:val="20"/>
          <w:lang w:val="en-IE"/>
        </w:rPr>
        <w:t xml:space="preserve">. </w:t>
      </w:r>
      <w:r>
        <w:rPr>
          <w:szCs w:val="20"/>
          <w:lang w:val="en-IE"/>
        </w:rPr>
        <w:t>Keeping a compression per band</w:t>
      </w:r>
      <w:r w:rsidRPr="00104E89">
        <w:rPr>
          <w:szCs w:val="20"/>
          <w:lang w:val="en-IE"/>
        </w:rPr>
        <w:t xml:space="preserve"> ensures that, in the event of a failure or a degradation affecting one of the two bands, the other one remains unaffected. The price to pay is a slightly lower overall compression rate than would be achieved by processing the full spectrum at once, since the inter-band correlations are not exploited.</w:t>
      </w:r>
    </w:p>
    <w:p w14:paraId="53D1BC01" w14:textId="23C5D14B" w:rsidR="00104E89" w:rsidRPr="00104E89" w:rsidRDefault="002254B5" w:rsidP="00104E89">
      <w:pPr>
        <w:spacing w:after="120"/>
        <w:jc w:val="both"/>
        <w:rPr>
          <w:szCs w:val="20"/>
          <w:lang w:val="en-IE"/>
        </w:rPr>
      </w:pPr>
      <w:r>
        <w:rPr>
          <w:szCs w:val="20"/>
          <w:lang w:val="en-IE"/>
        </w:rPr>
        <w:t>On the user side, the</w:t>
      </w:r>
      <w:r w:rsidR="00104E89" w:rsidRPr="00104E89">
        <w:rPr>
          <w:szCs w:val="20"/>
          <w:lang w:val="en-IE"/>
        </w:rPr>
        <w:t xml:space="preserve"> radiances </w:t>
      </w:r>
      <w:r w:rsidR="007338BD">
        <w:rPr>
          <w:szCs w:val="20"/>
          <w:lang w:val="en-IE"/>
        </w:rPr>
        <w:t>can be</w:t>
      </w:r>
      <w:r>
        <w:rPr>
          <w:szCs w:val="20"/>
          <w:lang w:val="en-IE"/>
        </w:rPr>
        <w:t xml:space="preserve"> reconstructed</w:t>
      </w:r>
      <w:r w:rsidR="00104E89" w:rsidRPr="00104E89">
        <w:rPr>
          <w:szCs w:val="20"/>
          <w:lang w:val="en-IE"/>
        </w:rPr>
        <w:t xml:space="preserve"> from the PCS by </w:t>
      </w:r>
      <w:r>
        <w:rPr>
          <w:szCs w:val="20"/>
          <w:lang w:val="en-IE"/>
        </w:rPr>
        <w:t>re-</w:t>
      </w:r>
      <w:r w:rsidR="00104E89" w:rsidRPr="00104E89">
        <w:rPr>
          <w:szCs w:val="20"/>
          <w:lang w:val="en-IE"/>
        </w:rPr>
        <w:t xml:space="preserve">projecting onto </w:t>
      </w:r>
      <w:r w:rsidR="000D2EDD">
        <w:rPr>
          <w:szCs w:val="20"/>
          <w:lang w:val="en-IE"/>
        </w:rPr>
        <w:t>the</w:t>
      </w:r>
      <w:r w:rsidR="00104E89" w:rsidRPr="00104E89">
        <w:rPr>
          <w:szCs w:val="20"/>
          <w:lang w:val="en-IE"/>
        </w:rPr>
        <w:t xml:space="preserve"> </w:t>
      </w:r>
      <w:r w:rsidR="00A84C37">
        <w:rPr>
          <w:szCs w:val="20"/>
          <w:lang w:val="en-IE"/>
        </w:rPr>
        <w:t>PC</w:t>
      </w:r>
      <w:r w:rsidR="00104E89" w:rsidRPr="00104E89">
        <w:rPr>
          <w:szCs w:val="20"/>
          <w:lang w:val="en-IE"/>
        </w:rPr>
        <w:t>. The difference between the original and the reconstructed radiances mainly consists of random instrument noise.</w:t>
      </w:r>
      <w:r>
        <w:rPr>
          <w:szCs w:val="20"/>
          <w:lang w:val="en-IE"/>
        </w:rPr>
        <w:t xml:space="preserve"> </w:t>
      </w:r>
      <w:r w:rsidR="007338BD">
        <w:rPr>
          <w:szCs w:val="20"/>
          <w:lang w:val="en-IE"/>
        </w:rPr>
        <w:t>An</w:t>
      </w:r>
      <w:r>
        <w:rPr>
          <w:szCs w:val="20"/>
          <w:lang w:val="en-IE"/>
        </w:rPr>
        <w:t xml:space="preserve"> example of reconstruction code is presented in </w:t>
      </w:r>
      <w:r w:rsidRPr="005173D9">
        <w:rPr>
          <w:szCs w:val="20"/>
        </w:rPr>
        <w:t>the IRS Level 1 data guide [14</w:t>
      </w:r>
      <w:r>
        <w:rPr>
          <w:szCs w:val="20"/>
        </w:rPr>
        <w:t>].</w:t>
      </w:r>
    </w:p>
    <w:p w14:paraId="4B9072AB" w14:textId="4EB4D522" w:rsidR="00104E89" w:rsidRPr="00104E89" w:rsidRDefault="00104E89" w:rsidP="00104E89">
      <w:pPr>
        <w:spacing w:after="120"/>
        <w:jc w:val="both"/>
        <w:rPr>
          <w:szCs w:val="20"/>
          <w:lang w:val="en-IE"/>
        </w:rPr>
      </w:pPr>
      <w:r w:rsidRPr="00104E89">
        <w:rPr>
          <w:szCs w:val="20"/>
          <w:lang w:val="en-IE"/>
        </w:rPr>
        <w:lastRenderedPageBreak/>
        <w:t xml:space="preserve">The IRS global principal components are supplemented by </w:t>
      </w:r>
      <w:r w:rsidR="000D2EDD">
        <w:rPr>
          <w:szCs w:val="20"/>
          <w:lang w:val="en-IE"/>
        </w:rPr>
        <w:t>5</w:t>
      </w:r>
      <w:r w:rsidRPr="00104E89">
        <w:rPr>
          <w:szCs w:val="20"/>
          <w:lang w:val="en-IE"/>
        </w:rPr>
        <w:t xml:space="preserve"> local principal components and corresponding scores, derived from the noise-normalized residuals of the current dwell after reconstruction with the global components — the so-called hybrid approach [14]. It is left to the end user to decide whether to include the additional local PC scores in the radiance reconstruction. Doing so results in reconstructed radiances that are closer to the original ones, but for </w:t>
      </w:r>
      <w:proofErr w:type="gramStart"/>
      <w:r w:rsidRPr="00104E89">
        <w:rPr>
          <w:szCs w:val="20"/>
          <w:lang w:val="en-IE"/>
        </w:rPr>
        <w:t>the vast majority of</w:t>
      </w:r>
      <w:proofErr w:type="gramEnd"/>
      <w:r w:rsidRPr="00104E89">
        <w:rPr>
          <w:szCs w:val="20"/>
          <w:lang w:val="en-IE"/>
        </w:rPr>
        <w:t xml:space="preserve"> dwells this is achieved only by re-introducing a little more of the original noise. The local PC feature is therefore mainly of interest for users targeting atmospheric composition applications.</w:t>
      </w:r>
    </w:p>
    <w:p w14:paraId="37A1A262" w14:textId="5888F623" w:rsidR="006F25C4" w:rsidRPr="00105725" w:rsidRDefault="00104E89" w:rsidP="00104E89">
      <w:pPr>
        <w:spacing w:after="120"/>
        <w:jc w:val="both"/>
      </w:pPr>
      <w:r w:rsidRPr="00104E89">
        <w:rPr>
          <w:szCs w:val="20"/>
          <w:lang w:val="en-IE"/>
        </w:rPr>
        <w:t>Data users may also use the global PCS directly in their applications, thereby avoiding the reconstruction of the radiances altogether. The direct processing of PC</w:t>
      </w:r>
      <w:r w:rsidR="00A84C37">
        <w:rPr>
          <w:szCs w:val="20"/>
          <w:lang w:val="en-IE"/>
        </w:rPr>
        <w:t xml:space="preserve">S </w:t>
      </w:r>
      <w:r w:rsidRPr="00104E89">
        <w:rPr>
          <w:szCs w:val="20"/>
          <w:lang w:val="en-IE"/>
        </w:rPr>
        <w:t>is, for instance, common practice in artificial intelligence and machine learning applications</w:t>
      </w:r>
      <w:r>
        <w:rPr>
          <w:szCs w:val="20"/>
          <w:lang w:val="en-IE"/>
        </w:rPr>
        <w:t>.</w:t>
      </w:r>
    </w:p>
    <w:p w14:paraId="718260F0" w14:textId="77777777" w:rsidR="008057FB" w:rsidRDefault="008057FB" w:rsidP="008057FB"/>
    <w:p w14:paraId="3F5A19D5" w14:textId="1CBE404F" w:rsidR="008057FB" w:rsidRDefault="0007466D" w:rsidP="007F5099">
      <w:pPr>
        <w:pStyle w:val="Heading1"/>
      </w:pPr>
      <w:r>
        <w:t>Calibration performances</w:t>
      </w:r>
    </w:p>
    <w:p w14:paraId="72420203" w14:textId="5972FF76" w:rsidR="002F37E1" w:rsidRPr="00786796" w:rsidRDefault="0007466D" w:rsidP="00104E89">
      <w:pPr>
        <w:pStyle w:val="ListParagraph"/>
        <w:numPr>
          <w:ilvl w:val="1"/>
          <w:numId w:val="3"/>
        </w:numPr>
        <w:spacing w:after="240"/>
        <w:rPr>
          <w:b/>
          <w:bCs/>
        </w:rPr>
      </w:pPr>
      <w:r w:rsidRPr="008A2E98">
        <w:rPr>
          <w:b/>
          <w:bCs/>
        </w:rPr>
        <w:t>Radiometric calibration</w:t>
      </w:r>
    </w:p>
    <w:p w14:paraId="165BBEAD" w14:textId="4082C472" w:rsidR="006C7A56" w:rsidRDefault="00104E89" w:rsidP="006C7A56">
      <w:pPr>
        <w:spacing w:after="240"/>
        <w:jc w:val="both"/>
        <w:rPr>
          <w:szCs w:val="20"/>
          <w:lang w:val="en-IE"/>
        </w:rPr>
      </w:pPr>
      <w:r w:rsidRPr="00104E89">
        <w:rPr>
          <w:szCs w:val="20"/>
          <w:lang w:val="en-IE"/>
        </w:rPr>
        <w:t xml:space="preserve">Radiometric performance is verified using colocations with </w:t>
      </w:r>
      <w:r w:rsidR="00CF7C14">
        <w:rPr>
          <w:szCs w:val="20"/>
          <w:lang w:val="en-IE"/>
        </w:rPr>
        <w:t xml:space="preserve">the </w:t>
      </w:r>
      <w:proofErr w:type="spellStart"/>
      <w:r w:rsidR="00CF7C14">
        <w:rPr>
          <w:szCs w:val="20"/>
          <w:lang w:val="en-IE"/>
        </w:rPr>
        <w:t>Metop</w:t>
      </w:r>
      <w:proofErr w:type="spellEnd"/>
      <w:r w:rsidR="00CF7C14">
        <w:rPr>
          <w:szCs w:val="20"/>
          <w:lang w:val="en-IE"/>
        </w:rPr>
        <w:t xml:space="preserve">-B and C </w:t>
      </w:r>
      <w:r w:rsidRPr="00104E89">
        <w:rPr>
          <w:szCs w:val="20"/>
          <w:lang w:val="en-IE"/>
        </w:rPr>
        <w:t xml:space="preserve">IASI [6], which </w:t>
      </w:r>
      <w:r w:rsidR="00CF7C14">
        <w:rPr>
          <w:szCs w:val="20"/>
          <w:lang w:val="en-IE"/>
        </w:rPr>
        <w:t>are</w:t>
      </w:r>
      <w:r w:rsidRPr="00104E89">
        <w:rPr>
          <w:szCs w:val="20"/>
          <w:lang w:val="en-IE"/>
        </w:rPr>
        <w:t xml:space="preserve"> recognized as international reference</w:t>
      </w:r>
      <w:r w:rsidR="00CF7C14">
        <w:rPr>
          <w:szCs w:val="20"/>
          <w:lang w:val="en-IE"/>
        </w:rPr>
        <w:t>s</w:t>
      </w:r>
      <w:r w:rsidRPr="00104E89">
        <w:rPr>
          <w:szCs w:val="20"/>
          <w:lang w:val="en-IE"/>
        </w:rPr>
        <w:t>. We gathered 1</w:t>
      </w:r>
      <w:r w:rsidR="006C7A56">
        <w:rPr>
          <w:szCs w:val="20"/>
          <w:lang w:val="en-IE"/>
        </w:rPr>
        <w:t>38</w:t>
      </w:r>
      <w:r w:rsidRPr="00104E89">
        <w:rPr>
          <w:szCs w:val="20"/>
          <w:lang w:val="en-IE"/>
        </w:rPr>
        <w:t xml:space="preserve">,000 collocations over </w:t>
      </w:r>
      <w:r w:rsidR="00CF7C14">
        <w:rPr>
          <w:szCs w:val="20"/>
          <w:lang w:val="en-IE"/>
        </w:rPr>
        <w:t xml:space="preserve">the first </w:t>
      </w:r>
      <w:r w:rsidR="006C7A56">
        <w:rPr>
          <w:szCs w:val="20"/>
          <w:lang w:val="en-IE"/>
        </w:rPr>
        <w:t>seven</w:t>
      </w:r>
      <w:r w:rsidRPr="00104E89">
        <w:rPr>
          <w:szCs w:val="20"/>
          <w:lang w:val="en-IE"/>
        </w:rPr>
        <w:t xml:space="preserve"> days</w:t>
      </w:r>
      <w:r w:rsidR="00CF7C14">
        <w:rPr>
          <w:szCs w:val="20"/>
          <w:lang w:val="en-IE"/>
        </w:rPr>
        <w:t xml:space="preserve"> of pre-operational dissemination of IRS</w:t>
      </w:r>
      <w:r w:rsidRPr="00104E89">
        <w:rPr>
          <w:szCs w:val="20"/>
          <w:lang w:val="en-IE"/>
        </w:rPr>
        <w:t xml:space="preserve">, from 30 July to </w:t>
      </w:r>
      <w:r w:rsidR="006C7A56">
        <w:rPr>
          <w:szCs w:val="20"/>
          <w:lang w:val="en-IE"/>
        </w:rPr>
        <w:t>5</w:t>
      </w:r>
      <w:r w:rsidRPr="00104E89">
        <w:rPr>
          <w:szCs w:val="20"/>
          <w:lang w:val="en-IE"/>
        </w:rPr>
        <w:t xml:space="preserve"> August 2026. The collocation criteria are the following: a difference of footprint</w:t>
      </w:r>
      <w:r w:rsidR="00CF7C14">
        <w:rPr>
          <w:szCs w:val="20"/>
          <w:lang w:val="en-IE"/>
        </w:rPr>
        <w:t xml:space="preserve"> centre</w:t>
      </w:r>
      <w:r w:rsidRPr="00104E89">
        <w:rPr>
          <w:szCs w:val="20"/>
          <w:lang w:val="en-IE"/>
        </w:rPr>
        <w:t xml:space="preserve"> locations lower than 6 km, a difference of the secants of sounding zenith angles lower than 3%, and a difference of acquisition times lower than 5 min.</w:t>
      </w:r>
      <w:r w:rsidR="006C7A56">
        <w:rPr>
          <w:szCs w:val="20"/>
          <w:lang w:val="en-IE"/>
        </w:rPr>
        <w:t xml:space="preserve"> </w:t>
      </w:r>
    </w:p>
    <w:p w14:paraId="57ADD124" w14:textId="4333C343" w:rsidR="006C7A56" w:rsidRDefault="006C7A56" w:rsidP="006C7A56">
      <w:pPr>
        <w:jc w:val="both"/>
        <w:rPr>
          <w:szCs w:val="20"/>
          <w:lang w:val="en-IE"/>
        </w:rPr>
      </w:pPr>
      <w:r>
        <w:rPr>
          <w:szCs w:val="20"/>
          <w:lang w:val="en-IE"/>
        </w:rPr>
        <w:t xml:space="preserve">The geo-localisation of the colocations </w:t>
      </w:r>
      <w:r w:rsidR="00A84C37">
        <w:rPr>
          <w:szCs w:val="20"/>
          <w:lang w:val="en-IE"/>
        </w:rPr>
        <w:t>is</w:t>
      </w:r>
      <w:r>
        <w:rPr>
          <w:szCs w:val="20"/>
          <w:lang w:val="en-IE"/>
        </w:rPr>
        <w:t xml:space="preserve"> represented on Figure 9. The spatial pattern is produced by the synchronization of the IASI orbit</w:t>
      </w:r>
      <w:r w:rsidR="00264363">
        <w:rPr>
          <w:szCs w:val="20"/>
          <w:lang w:val="en-IE"/>
        </w:rPr>
        <w:t>s</w:t>
      </w:r>
      <w:r>
        <w:rPr>
          <w:szCs w:val="20"/>
          <w:lang w:val="en-IE"/>
        </w:rPr>
        <w:t xml:space="preserve"> with </w:t>
      </w:r>
      <w:r w:rsidR="00A84C37">
        <w:rPr>
          <w:szCs w:val="20"/>
          <w:lang w:val="en-IE"/>
        </w:rPr>
        <w:t xml:space="preserve">the </w:t>
      </w:r>
      <w:r>
        <w:rPr>
          <w:szCs w:val="20"/>
          <w:lang w:val="en-IE"/>
        </w:rPr>
        <w:t xml:space="preserve">scan pattern of IRS. </w:t>
      </w:r>
      <w:r w:rsidR="00264363">
        <w:rPr>
          <w:szCs w:val="20"/>
          <w:lang w:val="en-IE"/>
        </w:rPr>
        <w:t xml:space="preserve">The colours represent the spectrally averaged difference in </w:t>
      </w:r>
      <w:r w:rsidR="00264363" w:rsidRPr="00104E89">
        <w:rPr>
          <w:szCs w:val="20"/>
          <w:lang w:val="en-IE"/>
        </w:rPr>
        <w:t xml:space="preserve">equivalent brightness temperature </w:t>
      </w:r>
      <w:r w:rsidR="00264363">
        <w:rPr>
          <w:szCs w:val="20"/>
          <w:lang w:val="en-IE"/>
        </w:rPr>
        <w:t>(</w:t>
      </w:r>
      <w:proofErr w:type="spellStart"/>
      <w:r w:rsidR="00264363">
        <w:rPr>
          <w:szCs w:val="20"/>
          <w:lang w:val="en-IE"/>
        </w:rPr>
        <w:t>edT</w:t>
      </w:r>
      <w:proofErr w:type="spellEnd"/>
      <w:r w:rsidR="00264363">
        <w:rPr>
          <w:szCs w:val="20"/>
          <w:lang w:val="en-IE"/>
        </w:rPr>
        <w:t>)</w:t>
      </w:r>
      <w:r w:rsidR="00264363" w:rsidRPr="00104E89">
        <w:rPr>
          <w:szCs w:val="20"/>
          <w:lang w:val="en-IE"/>
        </w:rPr>
        <w:t xml:space="preserve"> evaluated at a reference temperature of 280 K</w:t>
      </w:r>
      <w:r w:rsidR="00264363">
        <w:rPr>
          <w:szCs w:val="20"/>
          <w:lang w:val="en-IE"/>
        </w:rPr>
        <w:t xml:space="preserve"> between IRS and IASI</w:t>
      </w:r>
      <w:r w:rsidR="00A84C37">
        <w:rPr>
          <w:szCs w:val="20"/>
          <w:lang w:val="en-IE"/>
        </w:rPr>
        <w:t xml:space="preserve"> in LWIR.</w:t>
      </w:r>
    </w:p>
    <w:p w14:paraId="081795D9" w14:textId="77777777" w:rsidR="006C7A56" w:rsidRDefault="006C7A56" w:rsidP="00691B80">
      <w:pPr>
        <w:spacing w:after="120"/>
        <w:jc w:val="both"/>
        <w:rPr>
          <w:szCs w:val="20"/>
          <w:lang w:val="en-IE"/>
        </w:rPr>
      </w:pPr>
    </w:p>
    <w:p w14:paraId="40330D77" w14:textId="0BAF5482" w:rsidR="006C7A56" w:rsidRPr="006C7A56" w:rsidRDefault="006C7A56" w:rsidP="006C7A56">
      <w:pPr>
        <w:spacing w:after="120"/>
        <w:jc w:val="center"/>
        <w:rPr>
          <w:szCs w:val="20"/>
          <w:lang w:val="en-IE"/>
        </w:rPr>
      </w:pPr>
      <w:r w:rsidRPr="006C7A56">
        <w:rPr>
          <w:noProof/>
          <w:szCs w:val="20"/>
          <w:lang w:val="en-IE"/>
        </w:rPr>
        <w:drawing>
          <wp:inline distT="0" distB="0" distL="0" distR="0" wp14:anchorId="2A0295A1" wp14:editId="67E2F75B">
            <wp:extent cx="4128448" cy="3844441"/>
            <wp:effectExtent l="0" t="0" r="5715" b="3810"/>
            <wp:docPr id="17679974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7789" r="7892"/>
                    <a:stretch>
                      <a:fillRect/>
                    </a:stretch>
                  </pic:blipFill>
                  <pic:spPr bwMode="auto">
                    <a:xfrm>
                      <a:off x="0" y="0"/>
                      <a:ext cx="4188872" cy="3900708"/>
                    </a:xfrm>
                    <a:prstGeom prst="rect">
                      <a:avLst/>
                    </a:prstGeom>
                    <a:noFill/>
                    <a:ln>
                      <a:noFill/>
                    </a:ln>
                    <a:extLst>
                      <a:ext uri="{53640926-AAD7-44D8-BBD7-CCE9431645EC}">
                        <a14:shadowObscured xmlns:a14="http://schemas.microsoft.com/office/drawing/2010/main"/>
                      </a:ext>
                    </a:extLst>
                  </pic:spPr>
                </pic:pic>
              </a:graphicData>
            </a:graphic>
          </wp:inline>
        </w:drawing>
      </w:r>
    </w:p>
    <w:p w14:paraId="547567C6" w14:textId="3D028B37" w:rsidR="006C7A56" w:rsidRDefault="006C7A56" w:rsidP="006C7A56">
      <w:pPr>
        <w:spacing w:before="100" w:after="220"/>
        <w:jc w:val="center"/>
        <w:rPr>
          <w:sz w:val="18"/>
          <w:szCs w:val="18"/>
        </w:rPr>
      </w:pPr>
      <w:r>
        <w:t xml:space="preserve">Figure </w:t>
      </w:r>
      <w:fldSimple w:instr=" SEQ figure \* MERGEFORMAT ">
        <w:r w:rsidR="00C0166E">
          <w:rPr>
            <w:noProof/>
          </w:rPr>
          <w:t>9</w:t>
        </w:r>
      </w:fldSimple>
      <w:r>
        <w:rPr>
          <w:sz w:val="18"/>
          <w:szCs w:val="18"/>
        </w:rPr>
        <w:t xml:space="preserve">. </w:t>
      </w:r>
      <w:r w:rsidR="00CF7C14">
        <w:rPr>
          <w:sz w:val="18"/>
          <w:szCs w:val="18"/>
        </w:rPr>
        <w:t xml:space="preserve">Spatial distribution of colocations between IRS and IASI, spectrally averaged </w:t>
      </w:r>
      <w:proofErr w:type="spellStart"/>
      <w:r w:rsidR="00CF7C14">
        <w:rPr>
          <w:sz w:val="18"/>
          <w:szCs w:val="18"/>
        </w:rPr>
        <w:t>edT</w:t>
      </w:r>
      <w:proofErr w:type="spellEnd"/>
      <w:r w:rsidR="00CF7C14">
        <w:rPr>
          <w:sz w:val="18"/>
          <w:szCs w:val="18"/>
        </w:rPr>
        <w:t xml:space="preserve"> at 280K [K]</w:t>
      </w:r>
    </w:p>
    <w:p w14:paraId="1389B008" w14:textId="08078DF7" w:rsidR="00860E5D" w:rsidRDefault="001072A5" w:rsidP="00264363">
      <w:pPr>
        <w:jc w:val="both"/>
        <w:rPr>
          <w:szCs w:val="20"/>
        </w:rPr>
      </w:pPr>
      <w:r>
        <w:rPr>
          <w:szCs w:val="20"/>
          <w:lang w:val="en-IE"/>
        </w:rPr>
        <w:lastRenderedPageBreak/>
        <w:t>T</w:t>
      </w:r>
      <w:r w:rsidR="00104E89" w:rsidRPr="00104E89">
        <w:rPr>
          <w:szCs w:val="20"/>
          <w:lang w:val="en-IE"/>
        </w:rPr>
        <w:t xml:space="preserve">he </w:t>
      </w:r>
      <w:proofErr w:type="spellStart"/>
      <w:r w:rsidR="00264363">
        <w:rPr>
          <w:szCs w:val="20"/>
          <w:lang w:val="en-IE"/>
        </w:rPr>
        <w:t>edT</w:t>
      </w:r>
      <w:proofErr w:type="spellEnd"/>
      <w:r w:rsidR="00264363">
        <w:rPr>
          <w:szCs w:val="20"/>
          <w:lang w:val="en-IE"/>
        </w:rPr>
        <w:t xml:space="preserve"> are represented spectrally for both bands </w:t>
      </w:r>
      <w:r w:rsidR="006C7A56">
        <w:rPr>
          <w:szCs w:val="20"/>
          <w:lang w:val="en-IE"/>
        </w:rPr>
        <w:t>on Figure 10</w:t>
      </w:r>
      <w:r w:rsidR="00104E89" w:rsidRPr="00104E89">
        <w:rPr>
          <w:szCs w:val="20"/>
          <w:lang w:val="en-IE"/>
        </w:rPr>
        <w:t>. The characterization is split into five classes of scene temperature, determined from the average</w:t>
      </w:r>
      <w:r w:rsidR="00E10135">
        <w:rPr>
          <w:szCs w:val="20"/>
          <w:lang w:val="en-IE"/>
        </w:rPr>
        <w:t xml:space="preserve"> IASI</w:t>
      </w:r>
      <w:r w:rsidR="00104E89" w:rsidRPr="00104E89">
        <w:rPr>
          <w:szCs w:val="20"/>
          <w:lang w:val="en-IE"/>
        </w:rPr>
        <w:t xml:space="preserve"> spectrum</w:t>
      </w:r>
      <w:r w:rsidR="00691B80">
        <w:rPr>
          <w:szCs w:val="20"/>
          <w:lang w:val="en-IE"/>
        </w:rPr>
        <w:t xml:space="preserve"> per band</w:t>
      </w:r>
      <w:r w:rsidR="00104E89" w:rsidRPr="00104E89">
        <w:rPr>
          <w:szCs w:val="20"/>
          <w:lang w:val="en-IE"/>
        </w:rPr>
        <w:t xml:space="preserve"> and defined </w:t>
      </w:r>
      <w:proofErr w:type="gramStart"/>
      <w:r w:rsidR="00104E89" w:rsidRPr="00104E89">
        <w:rPr>
          <w:szCs w:val="20"/>
          <w:lang w:val="en-IE"/>
        </w:rPr>
        <w:t>so as to</w:t>
      </w:r>
      <w:proofErr w:type="gramEnd"/>
      <w:r w:rsidR="00104E89" w:rsidRPr="00104E89">
        <w:rPr>
          <w:szCs w:val="20"/>
          <w:lang w:val="en-IE"/>
        </w:rPr>
        <w:t xml:space="preserve"> contain an equal number of elements</w:t>
      </w:r>
      <w:r w:rsidR="00CF7C14">
        <w:rPr>
          <w:szCs w:val="20"/>
        </w:rPr>
        <w:t>.</w:t>
      </w:r>
    </w:p>
    <w:p w14:paraId="24941027" w14:textId="77777777" w:rsidR="002254B5" w:rsidRPr="00860E5D" w:rsidRDefault="002254B5" w:rsidP="00264363">
      <w:pPr>
        <w:jc w:val="both"/>
        <w:rPr>
          <w:szCs w:val="20"/>
        </w:rPr>
      </w:pPr>
    </w:p>
    <w:p w14:paraId="49CCCA26" w14:textId="799C98BD" w:rsidR="00B8423A" w:rsidRPr="00B8423A" w:rsidRDefault="006C7A56" w:rsidP="006C7A56">
      <w:pPr>
        <w:jc w:val="center"/>
        <w:rPr>
          <w:lang w:val="en-IE"/>
        </w:rPr>
      </w:pPr>
      <w:r w:rsidRPr="006C7A56">
        <w:rPr>
          <w:noProof/>
          <w:lang w:val="en-IE"/>
        </w:rPr>
        <w:drawing>
          <wp:inline distT="0" distB="0" distL="0" distR="0" wp14:anchorId="4D41179F" wp14:editId="1A3E6CDC">
            <wp:extent cx="6174505" cy="1992923"/>
            <wp:effectExtent l="0" t="0" r="0" b="7620"/>
            <wp:docPr id="1128574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552" r="7645" b="49588"/>
                    <a:stretch>
                      <a:fillRect/>
                    </a:stretch>
                  </pic:blipFill>
                  <pic:spPr bwMode="auto">
                    <a:xfrm>
                      <a:off x="0" y="0"/>
                      <a:ext cx="6215764" cy="2006240"/>
                    </a:xfrm>
                    <a:prstGeom prst="rect">
                      <a:avLst/>
                    </a:prstGeom>
                    <a:noFill/>
                    <a:ln>
                      <a:noFill/>
                    </a:ln>
                    <a:extLst>
                      <a:ext uri="{53640926-AAD7-44D8-BBD7-CCE9431645EC}">
                        <a14:shadowObscured xmlns:a14="http://schemas.microsoft.com/office/drawing/2010/main"/>
                      </a:ext>
                    </a:extLst>
                  </pic:spPr>
                </pic:pic>
              </a:graphicData>
            </a:graphic>
          </wp:inline>
        </w:drawing>
      </w:r>
    </w:p>
    <w:p w14:paraId="23B9463E" w14:textId="114237ED" w:rsidR="00860E5D" w:rsidRDefault="00104E89" w:rsidP="00860E5D">
      <w:pPr>
        <w:spacing w:before="100" w:after="220"/>
        <w:jc w:val="center"/>
        <w:rPr>
          <w:sz w:val="18"/>
          <w:szCs w:val="18"/>
        </w:rPr>
      </w:pPr>
      <w:r>
        <w:t xml:space="preserve">Figure </w:t>
      </w:r>
      <w:fldSimple w:instr=" SEQ figure \* MERGEFORMAT ">
        <w:r w:rsidR="00C0166E">
          <w:rPr>
            <w:noProof/>
          </w:rPr>
          <w:t>10</w:t>
        </w:r>
      </w:fldSimple>
      <w:r>
        <w:rPr>
          <w:sz w:val="18"/>
          <w:szCs w:val="18"/>
        </w:rPr>
        <w:t xml:space="preserve">. </w:t>
      </w:r>
      <w:r w:rsidRPr="00104E89">
        <w:rPr>
          <w:sz w:val="18"/>
          <w:szCs w:val="18"/>
        </w:rPr>
        <w:t>Radiometric calibration comparison between IRS and IASI, per class of scene temperature (cold to hot, blue to red).</w:t>
      </w:r>
    </w:p>
    <w:p w14:paraId="6DEC0825" w14:textId="77777777" w:rsidR="00104E89" w:rsidRPr="00860E5D" w:rsidRDefault="00104E89" w:rsidP="00104E89">
      <w:pPr>
        <w:spacing w:before="100"/>
        <w:jc w:val="center"/>
        <w:rPr>
          <w:sz w:val="18"/>
          <w:szCs w:val="18"/>
        </w:rPr>
      </w:pPr>
    </w:p>
    <w:p w14:paraId="0CF930F0" w14:textId="4ED70D8D" w:rsidR="002254B5" w:rsidRPr="00104E89" w:rsidRDefault="00104E89" w:rsidP="002254B5">
      <w:pPr>
        <w:spacing w:before="100" w:after="240"/>
        <w:jc w:val="both"/>
        <w:rPr>
          <w:lang w:val="en-IE"/>
        </w:rPr>
      </w:pPr>
      <w:r w:rsidRPr="00104E89">
        <w:rPr>
          <w:lang w:val="en-IE"/>
        </w:rPr>
        <w:t xml:space="preserve">The differences show a small dependency </w:t>
      </w:r>
      <w:r w:rsidR="00264363">
        <w:rPr>
          <w:lang w:val="en-IE"/>
        </w:rPr>
        <w:t xml:space="preserve">of </w:t>
      </w:r>
      <w:r w:rsidR="00CF7C14">
        <w:rPr>
          <w:lang w:val="en-IE"/>
        </w:rPr>
        <w:t xml:space="preserve">maximum </w:t>
      </w:r>
      <w:r w:rsidR="00264363">
        <w:rPr>
          <w:lang w:val="en-IE"/>
        </w:rPr>
        <w:t xml:space="preserve">0.1K </w:t>
      </w:r>
      <w:r w:rsidRPr="00104E89">
        <w:rPr>
          <w:lang w:val="en-IE"/>
        </w:rPr>
        <w:t>on the scene temperature that will be investigated further. The difference nevertheless remains below 0.2 K</w:t>
      </w:r>
      <w:r w:rsidR="00520211">
        <w:rPr>
          <w:lang w:val="en-IE"/>
        </w:rPr>
        <w:t>, and for most of the spectral range below 0.1K</w:t>
      </w:r>
      <w:r w:rsidRPr="00104E89">
        <w:rPr>
          <w:lang w:val="en-IE"/>
        </w:rPr>
        <w:t>, which demonstrates the remarkable consistency of the IRS and IASI missions. This is also well within the absolute radiometric calibration specification of IRS, which is 0.5 K [10].</w:t>
      </w:r>
    </w:p>
    <w:p w14:paraId="27C965EE" w14:textId="77777777" w:rsidR="002F37E1" w:rsidRDefault="002F37E1" w:rsidP="002F37E1"/>
    <w:p w14:paraId="78159862" w14:textId="3E37285B" w:rsidR="0007466D" w:rsidRPr="008A2E98" w:rsidRDefault="0007466D" w:rsidP="00104E89">
      <w:pPr>
        <w:pStyle w:val="ListParagraph"/>
        <w:numPr>
          <w:ilvl w:val="1"/>
          <w:numId w:val="3"/>
        </w:numPr>
        <w:spacing w:after="240"/>
        <w:rPr>
          <w:b/>
          <w:bCs/>
        </w:rPr>
      </w:pPr>
      <w:r w:rsidRPr="008A2E98">
        <w:rPr>
          <w:b/>
          <w:bCs/>
        </w:rPr>
        <w:t>Spectral calibration</w:t>
      </w:r>
    </w:p>
    <w:p w14:paraId="18B8FCDB" w14:textId="74CF3AD6" w:rsidR="00104E89" w:rsidRDefault="00104E89" w:rsidP="00104E89">
      <w:pPr>
        <w:jc w:val="both"/>
        <w:rPr>
          <w:szCs w:val="20"/>
          <w:lang w:val="en-IE"/>
        </w:rPr>
      </w:pPr>
      <w:r w:rsidRPr="00104E89">
        <w:rPr>
          <w:szCs w:val="20"/>
          <w:lang w:val="en-IE"/>
        </w:rPr>
        <w:t xml:space="preserve">The spectral calibration is likewise evaluated against </w:t>
      </w:r>
      <w:r w:rsidR="002254B5">
        <w:rPr>
          <w:szCs w:val="20"/>
          <w:lang w:val="en-IE"/>
        </w:rPr>
        <w:t xml:space="preserve">the </w:t>
      </w:r>
      <w:r w:rsidRPr="00104E89">
        <w:rPr>
          <w:szCs w:val="20"/>
          <w:lang w:val="en-IE"/>
        </w:rPr>
        <w:t>IASI</w:t>
      </w:r>
      <w:r w:rsidR="002254B5">
        <w:rPr>
          <w:szCs w:val="20"/>
          <w:lang w:val="en-IE"/>
        </w:rPr>
        <w:t xml:space="preserve"> instruments</w:t>
      </w:r>
      <w:r w:rsidRPr="00104E89">
        <w:rPr>
          <w:szCs w:val="20"/>
          <w:lang w:val="en-IE"/>
        </w:rPr>
        <w:t>. Assessed per spectral sub-band, the comparison shown in Figure 1</w:t>
      </w:r>
      <w:r w:rsidR="006C7A56">
        <w:rPr>
          <w:szCs w:val="20"/>
          <w:lang w:val="en-IE"/>
        </w:rPr>
        <w:t>1</w:t>
      </w:r>
      <w:r w:rsidRPr="00104E89">
        <w:rPr>
          <w:szCs w:val="20"/>
          <w:lang w:val="en-IE"/>
        </w:rPr>
        <w:t xml:space="preserve"> exhibits a maximum difference of 1</w:t>
      </w:r>
      <w:r w:rsidR="001072A5">
        <w:rPr>
          <w:szCs w:val="20"/>
          <w:lang w:val="en-IE"/>
        </w:rPr>
        <w:t xml:space="preserve"> and 0.5</w:t>
      </w:r>
      <w:r w:rsidRPr="00104E89">
        <w:rPr>
          <w:szCs w:val="20"/>
          <w:lang w:val="en-IE"/>
        </w:rPr>
        <w:t xml:space="preserve"> ppm of the spectral scales, below the IRS spectral calibration specifications of 3 ppm in the LWIR band and 1 ppm in the MWIR band [10].</w:t>
      </w:r>
    </w:p>
    <w:p w14:paraId="1585B9BB" w14:textId="77777777" w:rsidR="006C7A56" w:rsidRPr="00104E89" w:rsidRDefault="006C7A56" w:rsidP="00104E89">
      <w:pPr>
        <w:jc w:val="both"/>
        <w:rPr>
          <w:szCs w:val="20"/>
          <w:lang w:val="en-IE"/>
        </w:rPr>
      </w:pPr>
    </w:p>
    <w:p w14:paraId="0E0BC547" w14:textId="39E54EF8" w:rsidR="00C6204B" w:rsidRPr="00C6204B" w:rsidRDefault="00C6204B" w:rsidP="00C6204B">
      <w:pPr>
        <w:jc w:val="center"/>
        <w:rPr>
          <w:lang w:val="en-IE"/>
        </w:rPr>
      </w:pPr>
      <w:r w:rsidRPr="00C6204B">
        <w:rPr>
          <w:noProof/>
          <w:lang w:val="en-IE"/>
        </w:rPr>
        <w:drawing>
          <wp:inline distT="0" distB="0" distL="0" distR="0" wp14:anchorId="08966E22" wp14:editId="43A1336B">
            <wp:extent cx="5212080" cy="1954666"/>
            <wp:effectExtent l="0" t="0" r="7620" b="7620"/>
            <wp:docPr id="20066531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7799" t="-2648" r="7178" b="1"/>
                    <a:stretch>
                      <a:fillRect/>
                    </a:stretch>
                  </pic:blipFill>
                  <pic:spPr bwMode="auto">
                    <a:xfrm>
                      <a:off x="0" y="0"/>
                      <a:ext cx="5297627" cy="1986748"/>
                    </a:xfrm>
                    <a:prstGeom prst="rect">
                      <a:avLst/>
                    </a:prstGeom>
                    <a:noFill/>
                    <a:ln>
                      <a:noFill/>
                    </a:ln>
                    <a:extLst>
                      <a:ext uri="{53640926-AAD7-44D8-BBD7-CCE9431645EC}">
                        <a14:shadowObscured xmlns:a14="http://schemas.microsoft.com/office/drawing/2010/main"/>
                      </a:ext>
                    </a:extLst>
                  </pic:spPr>
                </pic:pic>
              </a:graphicData>
            </a:graphic>
          </wp:inline>
        </w:drawing>
      </w:r>
    </w:p>
    <w:p w14:paraId="0C1E1BEB" w14:textId="204016D9" w:rsidR="00164505" w:rsidRDefault="00104E89" w:rsidP="00104E89">
      <w:pPr>
        <w:spacing w:before="100"/>
        <w:jc w:val="center"/>
        <w:rPr>
          <w:sz w:val="18"/>
          <w:szCs w:val="18"/>
        </w:rPr>
      </w:pPr>
      <w:r>
        <w:t xml:space="preserve">Figure </w:t>
      </w:r>
      <w:fldSimple w:instr=" SEQ figure \* MERGEFORMAT ">
        <w:r w:rsidR="00C0166E">
          <w:rPr>
            <w:noProof/>
          </w:rPr>
          <w:t>11</w:t>
        </w:r>
      </w:fldSimple>
      <w:r>
        <w:rPr>
          <w:sz w:val="18"/>
          <w:szCs w:val="18"/>
        </w:rPr>
        <w:t xml:space="preserve">. </w:t>
      </w:r>
      <w:r w:rsidR="00786796" w:rsidRPr="00786796">
        <w:rPr>
          <w:sz w:val="18"/>
          <w:szCs w:val="18"/>
        </w:rPr>
        <w:t>Spectral calibration comparison between IRS and IASI</w:t>
      </w:r>
    </w:p>
    <w:p w14:paraId="59A919DA" w14:textId="5AEA9621" w:rsidR="00104E89" w:rsidRPr="00786796" w:rsidRDefault="00104E89" w:rsidP="00786796">
      <w:pPr>
        <w:spacing w:before="100" w:after="220"/>
        <w:jc w:val="center"/>
        <w:rPr>
          <w:sz w:val="18"/>
          <w:szCs w:val="18"/>
        </w:rPr>
      </w:pPr>
    </w:p>
    <w:p w14:paraId="64667F8D" w14:textId="0FBC199B" w:rsidR="00171ABE" w:rsidRPr="008A2E98" w:rsidRDefault="00104E89" w:rsidP="00104E89">
      <w:pPr>
        <w:pStyle w:val="ListParagraph"/>
        <w:numPr>
          <w:ilvl w:val="1"/>
          <w:numId w:val="3"/>
        </w:numPr>
        <w:spacing w:after="240"/>
        <w:rPr>
          <w:b/>
          <w:bCs/>
        </w:rPr>
      </w:pPr>
      <w:r>
        <w:rPr>
          <w:b/>
          <w:bCs/>
        </w:rPr>
        <w:t>Radiometric n</w:t>
      </w:r>
      <w:r w:rsidR="00171ABE" w:rsidRPr="008A2E98">
        <w:rPr>
          <w:b/>
          <w:bCs/>
        </w:rPr>
        <w:t>oise</w:t>
      </w:r>
    </w:p>
    <w:p w14:paraId="6B029792" w14:textId="31BE1ACD" w:rsidR="00104E89" w:rsidRDefault="00104E89" w:rsidP="00C6204B">
      <w:pPr>
        <w:jc w:val="both"/>
        <w:rPr>
          <w:szCs w:val="20"/>
          <w:lang w:val="en-IE"/>
        </w:rPr>
      </w:pPr>
      <w:r w:rsidRPr="00104E89">
        <w:rPr>
          <w:szCs w:val="20"/>
        </w:rPr>
        <w:t>The noise is evaluated using a principal component decomposition of the Earth-view spectra, following the approach already applied to IASI [18] and to HIRAS [19]</w:t>
      </w:r>
      <w:r w:rsidR="006C7A56">
        <w:rPr>
          <w:szCs w:val="20"/>
        </w:rPr>
        <w:t>, and</w:t>
      </w:r>
      <w:r w:rsidRPr="00104E89">
        <w:rPr>
          <w:szCs w:val="20"/>
        </w:rPr>
        <w:t xml:space="preserve"> evaluated at a reference temperature of 280 </w:t>
      </w:r>
      <w:r w:rsidR="002332AA">
        <w:rPr>
          <w:szCs w:val="20"/>
        </w:rPr>
        <w:t>K.</w:t>
      </w:r>
      <w:r w:rsidR="00105725">
        <w:rPr>
          <w:szCs w:val="20"/>
        </w:rPr>
        <w:t xml:space="preserve"> </w:t>
      </w:r>
      <w:r w:rsidR="006C7A56">
        <w:rPr>
          <w:szCs w:val="20"/>
        </w:rPr>
        <w:t xml:space="preserve">As represented on </w:t>
      </w:r>
      <w:r w:rsidR="006C7A56">
        <w:rPr>
          <w:szCs w:val="20"/>
        </w:rPr>
        <w:lastRenderedPageBreak/>
        <w:t>Figure 12, t</w:t>
      </w:r>
      <w:r w:rsidRPr="00104E89">
        <w:rPr>
          <w:szCs w:val="20"/>
          <w:lang w:val="en-IE"/>
        </w:rPr>
        <w:t>he noise is overall within specifications except around 800 and 1100 cm⁻¹, because of silicon contamination and coating degradation. Both effects are stable at present and are kept under monitoring.</w:t>
      </w:r>
    </w:p>
    <w:p w14:paraId="5B98CC2A" w14:textId="77777777" w:rsidR="00264363" w:rsidRPr="00104E89" w:rsidRDefault="00264363" w:rsidP="00104E89">
      <w:pPr>
        <w:spacing w:after="120"/>
        <w:jc w:val="both"/>
        <w:rPr>
          <w:szCs w:val="20"/>
          <w:lang w:val="en-IE"/>
        </w:rPr>
      </w:pPr>
    </w:p>
    <w:p w14:paraId="743B6B2F" w14:textId="48827CAD" w:rsidR="002332AA" w:rsidRPr="002332AA" w:rsidRDefault="002332AA" w:rsidP="002332AA">
      <w:pPr>
        <w:jc w:val="center"/>
        <w:rPr>
          <w:lang w:val="en-IE"/>
        </w:rPr>
      </w:pPr>
      <w:r w:rsidRPr="002332AA">
        <w:rPr>
          <w:noProof/>
          <w:lang w:val="en-IE"/>
        </w:rPr>
        <w:drawing>
          <wp:inline distT="0" distB="0" distL="0" distR="0" wp14:anchorId="51639441" wp14:editId="7CAAE85D">
            <wp:extent cx="6012205" cy="1973494"/>
            <wp:effectExtent l="0" t="0" r="7620" b="8255"/>
            <wp:docPr id="13878101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697" r="6863"/>
                    <a:stretch>
                      <a:fillRect/>
                    </a:stretch>
                  </pic:blipFill>
                  <pic:spPr bwMode="auto">
                    <a:xfrm>
                      <a:off x="0" y="0"/>
                      <a:ext cx="6046753" cy="1984834"/>
                    </a:xfrm>
                    <a:prstGeom prst="rect">
                      <a:avLst/>
                    </a:prstGeom>
                    <a:noFill/>
                    <a:ln>
                      <a:noFill/>
                    </a:ln>
                    <a:extLst>
                      <a:ext uri="{53640926-AAD7-44D8-BBD7-CCE9431645EC}">
                        <a14:shadowObscured xmlns:a14="http://schemas.microsoft.com/office/drawing/2010/main"/>
                      </a:ext>
                    </a:extLst>
                  </pic:spPr>
                </pic:pic>
              </a:graphicData>
            </a:graphic>
          </wp:inline>
        </w:drawing>
      </w:r>
    </w:p>
    <w:p w14:paraId="0AF9D9DA" w14:textId="3ED535D1" w:rsidR="00104E89" w:rsidRPr="00104E89" w:rsidRDefault="00104E89" w:rsidP="00104E89">
      <w:pPr>
        <w:spacing w:before="100" w:after="220"/>
        <w:jc w:val="center"/>
        <w:rPr>
          <w:sz w:val="18"/>
          <w:szCs w:val="18"/>
        </w:rPr>
      </w:pPr>
      <w:r>
        <w:t xml:space="preserve">Figure </w:t>
      </w:r>
      <w:fldSimple w:instr=" SEQ figure \* MERGEFORMAT ">
        <w:r w:rsidR="00C0166E">
          <w:rPr>
            <w:noProof/>
          </w:rPr>
          <w:t>12</w:t>
        </w:r>
      </w:fldSimple>
      <w:r>
        <w:rPr>
          <w:sz w:val="18"/>
          <w:szCs w:val="18"/>
        </w:rPr>
        <w:t xml:space="preserve">. </w:t>
      </w:r>
      <w:r w:rsidR="00105725" w:rsidRPr="002332AA">
        <w:rPr>
          <w:sz w:val="18"/>
          <w:szCs w:val="18"/>
        </w:rPr>
        <w:t xml:space="preserve">Radiometric noise of IRS estimated </w:t>
      </w:r>
      <w:r w:rsidR="002332AA" w:rsidRPr="002332AA">
        <w:rPr>
          <w:sz w:val="18"/>
          <w:szCs w:val="18"/>
        </w:rPr>
        <w:t>via</w:t>
      </w:r>
      <w:r w:rsidR="00105725" w:rsidRPr="002332AA">
        <w:rPr>
          <w:sz w:val="18"/>
          <w:szCs w:val="18"/>
        </w:rPr>
        <w:t xml:space="preserve"> principal component</w:t>
      </w:r>
      <w:r w:rsidR="002332AA" w:rsidRPr="002332AA">
        <w:rPr>
          <w:sz w:val="18"/>
          <w:szCs w:val="18"/>
        </w:rPr>
        <w:t xml:space="preserve"> analysis</w:t>
      </w:r>
      <w:r w:rsidR="00105725" w:rsidRPr="002332AA">
        <w:rPr>
          <w:sz w:val="18"/>
          <w:szCs w:val="18"/>
        </w:rPr>
        <w:t>.</w:t>
      </w:r>
    </w:p>
    <w:p w14:paraId="6135739C" w14:textId="7D8435D4" w:rsidR="00105725" w:rsidRDefault="00105725" w:rsidP="00105725">
      <w:pPr>
        <w:pStyle w:val="SPIEreferences"/>
      </w:pPr>
      <w:r>
        <w:t>Conclusion</w:t>
      </w:r>
    </w:p>
    <w:p w14:paraId="5FB78082" w14:textId="4F61B8E8" w:rsidR="00104E89" w:rsidRPr="00104E89" w:rsidRDefault="00104E89" w:rsidP="00104E89">
      <w:pPr>
        <w:spacing w:after="240"/>
        <w:jc w:val="both"/>
        <w:rPr>
          <w:szCs w:val="20"/>
          <w:lang w:val="en-IE"/>
        </w:rPr>
      </w:pPr>
      <w:r w:rsidRPr="00104E89">
        <w:rPr>
          <w:szCs w:val="20"/>
          <w:lang w:val="en-IE"/>
        </w:rPr>
        <w:t>IRS is the first European hyperspectral infrared sounder operating from geostationary orbit, and the commissioning of the first flight model has confirmed that the instrument meets, and in most respects exceeds, its design expectations. The radiometric differences with respect to the IASI reference sounder remain below 0.2 K, against a specification of 0.5 K, and the spectral scale agrees with this reference to better than 1</w:t>
      </w:r>
      <w:r w:rsidR="001072A5">
        <w:rPr>
          <w:szCs w:val="20"/>
          <w:lang w:val="en-IE"/>
        </w:rPr>
        <w:t xml:space="preserve"> and 0.5</w:t>
      </w:r>
      <w:r w:rsidRPr="00104E89">
        <w:rPr>
          <w:szCs w:val="20"/>
          <w:lang w:val="en-IE"/>
        </w:rPr>
        <w:t xml:space="preserve"> ppm, against specifications of 3 ppm in the LWIR and 1 ppm in the MWIR. The radiometric noise is within specification over most of the spectral range, </w:t>
      </w:r>
      <w:proofErr w:type="gramStart"/>
      <w:r w:rsidRPr="00104E89">
        <w:rPr>
          <w:szCs w:val="20"/>
          <w:lang w:val="en-IE"/>
        </w:rPr>
        <w:t>with the exception of</w:t>
      </w:r>
      <w:proofErr w:type="gramEnd"/>
      <w:r w:rsidRPr="00104E89">
        <w:rPr>
          <w:szCs w:val="20"/>
          <w:lang w:val="en-IE"/>
        </w:rPr>
        <w:t xml:space="preserve"> two regions affected by silicon contamination and coating degradation, which are now stable and monitored routinely.</w:t>
      </w:r>
    </w:p>
    <w:p w14:paraId="1DC9DF8F" w14:textId="13017DE6" w:rsidR="00104E89" w:rsidRPr="00104E89" w:rsidRDefault="00104E89" w:rsidP="00104E89">
      <w:pPr>
        <w:spacing w:after="240"/>
        <w:jc w:val="both"/>
        <w:rPr>
          <w:szCs w:val="20"/>
          <w:lang w:val="en-IE"/>
        </w:rPr>
      </w:pPr>
      <w:r w:rsidRPr="00104E89">
        <w:rPr>
          <w:szCs w:val="20"/>
          <w:lang w:val="en-IE"/>
        </w:rPr>
        <w:t xml:space="preserve">With a contiguous 4 km sampling at nadir, a 30-minute revisit over Europe and close to 2000 spectral samples, IRS provides a combination of spatial, temporal and spectral sampling that has no equivalent in the European observing system. The pre-operational </w:t>
      </w:r>
      <w:r w:rsidR="007338BD">
        <w:rPr>
          <w:szCs w:val="20"/>
          <w:lang w:val="en-IE"/>
        </w:rPr>
        <w:t>l</w:t>
      </w:r>
      <w:r w:rsidRPr="00104E89">
        <w:rPr>
          <w:szCs w:val="20"/>
          <w:lang w:val="en-IE"/>
        </w:rPr>
        <w:t>evel 1 data were released to all users on 30 July 2026 and are disseminated as principal component scores, from which radiances can be reconstructed or which can be used directly in the users’ applications. Practical information on data access and product content is available from the IRS Level 1 data guide [14] and the EUMETSAT User Portal [20].</w:t>
      </w:r>
    </w:p>
    <w:p w14:paraId="1C2A387C" w14:textId="54EE4DD5" w:rsidR="00E10D8D" w:rsidRDefault="00104E89" w:rsidP="00104E89">
      <w:pPr>
        <w:jc w:val="both"/>
        <w:rPr>
          <w:szCs w:val="20"/>
          <w:lang w:val="en-IE"/>
        </w:rPr>
      </w:pPr>
      <w:r w:rsidRPr="00104E89">
        <w:rPr>
          <w:szCs w:val="20"/>
          <w:lang w:val="en-IE"/>
        </w:rPr>
        <w:t xml:space="preserve">The next steps concern the consolidation of the products towards full operational status and the extension of the monitoring to longer time scales </w:t>
      </w:r>
      <w:proofErr w:type="gramStart"/>
      <w:r w:rsidRPr="00104E89">
        <w:rPr>
          <w:szCs w:val="20"/>
          <w:lang w:val="en-IE"/>
        </w:rPr>
        <w:t>in order to</w:t>
      </w:r>
      <w:proofErr w:type="gramEnd"/>
      <w:r w:rsidRPr="00104E89">
        <w:rPr>
          <w:szCs w:val="20"/>
          <w:lang w:val="en-IE"/>
        </w:rPr>
        <w:t xml:space="preserve"> characterise the long-term stability of the instrument. The forthcoming exploitation of the data by numerical weather prediction centres and by the atmospheric composition community will be the ultimate demonstration of the value of this new capability</w:t>
      </w:r>
      <w:r>
        <w:rPr>
          <w:szCs w:val="20"/>
          <w:lang w:val="en-IE"/>
        </w:rPr>
        <w:t>.</w:t>
      </w:r>
    </w:p>
    <w:p w14:paraId="3EA007A6" w14:textId="77777777" w:rsidR="006C7A56" w:rsidRDefault="006C7A56" w:rsidP="00104E89">
      <w:pPr>
        <w:jc w:val="both"/>
        <w:rPr>
          <w:szCs w:val="20"/>
          <w:lang w:val="en-IE"/>
        </w:rPr>
      </w:pPr>
    </w:p>
    <w:p w14:paraId="4FE55800" w14:textId="18F097DE" w:rsidR="00104E89" w:rsidRDefault="00104E89" w:rsidP="00104E89">
      <w:pPr>
        <w:pStyle w:val="SPIEreferences"/>
      </w:pPr>
      <w:r>
        <w:t>Acknowledgements</w:t>
      </w:r>
    </w:p>
    <w:p w14:paraId="403DA7C5" w14:textId="09252B24" w:rsidR="00E10135" w:rsidRDefault="00104E89" w:rsidP="00E10135">
      <w:pPr>
        <w:spacing w:after="240"/>
        <w:jc w:val="both"/>
        <w:rPr>
          <w:szCs w:val="20"/>
        </w:rPr>
      </w:pPr>
      <w:r w:rsidRPr="00104E89">
        <w:rPr>
          <w:szCs w:val="20"/>
        </w:rPr>
        <w:t>The authors thank the MTG-S1 and IRS commissioning teams at EUMETSAT, ESA, OHB System AG and Thales Alenia Space for their work in bringing the instrument to operational readiness. The IRS mission is a joint undertaking of ESA and EUMETSAT, carried out on behalf of the EUMETSAT Member States</w:t>
      </w:r>
      <w:r w:rsidR="007F5099">
        <w:rPr>
          <w:szCs w:val="20"/>
        </w:rPr>
        <w:t>.</w:t>
      </w:r>
    </w:p>
    <w:p w14:paraId="516AC829" w14:textId="79A0EE77" w:rsidR="00E10135" w:rsidRPr="00B8783C" w:rsidRDefault="00E10135" w:rsidP="00104E89">
      <w:pPr>
        <w:jc w:val="both"/>
        <w:rPr>
          <w:szCs w:val="20"/>
        </w:rPr>
      </w:pPr>
      <w:r w:rsidRPr="00E10135">
        <w:rPr>
          <w:szCs w:val="20"/>
        </w:rPr>
        <w:t>The authors acknowledge the use of a generative artificial intelligence assistant (</w:t>
      </w:r>
      <w:proofErr w:type="spellStart"/>
      <w:r w:rsidRPr="00E10135">
        <w:rPr>
          <w:szCs w:val="20"/>
        </w:rPr>
        <w:t>Anthropic's</w:t>
      </w:r>
      <w:proofErr w:type="spellEnd"/>
      <w:r w:rsidRPr="00E10135">
        <w:rPr>
          <w:szCs w:val="20"/>
        </w:rPr>
        <w:t xml:space="preserve"> Claude) for language editing and for support in structuring and drafting parts of this manuscript. The tool was not used to generate, </w:t>
      </w:r>
      <w:proofErr w:type="spellStart"/>
      <w:r w:rsidRPr="00E10135">
        <w:rPr>
          <w:szCs w:val="20"/>
        </w:rPr>
        <w:t>analyse</w:t>
      </w:r>
      <w:proofErr w:type="spellEnd"/>
      <w:r w:rsidRPr="00E10135">
        <w:rPr>
          <w:szCs w:val="20"/>
        </w:rPr>
        <w:t xml:space="preserve"> or interpret any of the scientific results presented here. All content has been reviewed and validated by the authors, who take full responsibility for the accuracy and integrity of the paper.</w:t>
      </w:r>
    </w:p>
    <w:p w14:paraId="362D7D7D" w14:textId="77777777" w:rsidR="00BC6BE6" w:rsidRPr="006F2AFA" w:rsidRDefault="00BC6BE6" w:rsidP="002A07C8">
      <w:pPr>
        <w:pStyle w:val="SPIEreferences"/>
      </w:pPr>
      <w:r w:rsidRPr="006F2AFA">
        <w:lastRenderedPageBreak/>
        <w:t>References</w:t>
      </w:r>
    </w:p>
    <w:p w14:paraId="7898B686" w14:textId="77777777" w:rsidR="00104E89" w:rsidRPr="00C0166E" w:rsidRDefault="00105725" w:rsidP="00946359">
      <w:pPr>
        <w:ind w:left="360" w:hanging="360"/>
        <w:jc w:val="both"/>
        <w:rPr>
          <w:sz w:val="18"/>
          <w:szCs w:val="18"/>
          <w:lang w:val="de-DE"/>
        </w:rPr>
      </w:pPr>
      <w:r>
        <w:rPr>
          <w:sz w:val="18"/>
          <w:szCs w:val="18"/>
        </w:rPr>
        <w:t xml:space="preserve">[1] </w:t>
      </w:r>
      <w:r w:rsidR="00104E89" w:rsidRPr="00104E89">
        <w:rPr>
          <w:sz w:val="18"/>
          <w:szCs w:val="18"/>
          <w:lang w:val="en-IE"/>
        </w:rPr>
        <w:t xml:space="preserve">Holmlund, K., Grandell, J., </w:t>
      </w:r>
      <w:proofErr w:type="spellStart"/>
      <w:r w:rsidR="00104E89" w:rsidRPr="00104E89">
        <w:rPr>
          <w:sz w:val="18"/>
          <w:szCs w:val="18"/>
          <w:lang w:val="en-IE"/>
        </w:rPr>
        <w:t>Schmetz</w:t>
      </w:r>
      <w:proofErr w:type="spellEnd"/>
      <w:r w:rsidR="00104E89" w:rsidRPr="00104E89">
        <w:rPr>
          <w:sz w:val="18"/>
          <w:szCs w:val="18"/>
          <w:lang w:val="en-IE"/>
        </w:rPr>
        <w:t xml:space="preserve">, J., </w:t>
      </w:r>
      <w:proofErr w:type="spellStart"/>
      <w:r w:rsidR="00104E89" w:rsidRPr="00104E89">
        <w:rPr>
          <w:sz w:val="18"/>
          <w:szCs w:val="18"/>
          <w:lang w:val="en-IE"/>
        </w:rPr>
        <w:t>Stuhlmann</w:t>
      </w:r>
      <w:proofErr w:type="spellEnd"/>
      <w:r w:rsidR="00104E89" w:rsidRPr="00104E89">
        <w:rPr>
          <w:sz w:val="18"/>
          <w:szCs w:val="18"/>
          <w:lang w:val="en-IE"/>
        </w:rPr>
        <w:t xml:space="preserve">, R., Bojkov, B., Munro, R., Lekouara, M., Coppens, D., </w:t>
      </w:r>
      <w:proofErr w:type="spellStart"/>
      <w:r w:rsidR="00104E89" w:rsidRPr="00104E89">
        <w:rPr>
          <w:sz w:val="18"/>
          <w:szCs w:val="18"/>
          <w:lang w:val="en-IE"/>
        </w:rPr>
        <w:t>Viticchiè</w:t>
      </w:r>
      <w:proofErr w:type="spellEnd"/>
      <w:r w:rsidR="00104E89" w:rsidRPr="00104E89">
        <w:rPr>
          <w:sz w:val="18"/>
          <w:szCs w:val="18"/>
          <w:lang w:val="en-IE"/>
        </w:rPr>
        <w:t xml:space="preserve">, B., August, T., Theodore, B., Watts, P., Dobber, M., Fowler, G., Bojinski, S., Schmid, A., Salonen, K., </w:t>
      </w:r>
      <w:proofErr w:type="spellStart"/>
      <w:r w:rsidR="00104E89" w:rsidRPr="00104E89">
        <w:rPr>
          <w:sz w:val="18"/>
          <w:szCs w:val="18"/>
          <w:lang w:val="en-IE"/>
        </w:rPr>
        <w:t>Tjemkes</w:t>
      </w:r>
      <w:proofErr w:type="spellEnd"/>
      <w:r w:rsidR="00104E89" w:rsidRPr="00104E89">
        <w:rPr>
          <w:sz w:val="18"/>
          <w:szCs w:val="18"/>
          <w:lang w:val="en-IE"/>
        </w:rPr>
        <w:t>, S., Aminou, D. and Blythe, P., “</w:t>
      </w:r>
      <w:proofErr w:type="spellStart"/>
      <w:r w:rsidR="00104E89" w:rsidRPr="00104E89">
        <w:rPr>
          <w:sz w:val="18"/>
          <w:szCs w:val="18"/>
          <w:lang w:val="en-IE"/>
        </w:rPr>
        <w:t>Meteosat</w:t>
      </w:r>
      <w:proofErr w:type="spellEnd"/>
      <w:r w:rsidR="00104E89" w:rsidRPr="00104E89">
        <w:rPr>
          <w:sz w:val="18"/>
          <w:szCs w:val="18"/>
          <w:lang w:val="en-IE"/>
        </w:rPr>
        <w:t xml:space="preserve"> Third Generation (MTG): continuation and innovation of observations from geostationary orbit,” Bull. </w:t>
      </w:r>
      <w:r w:rsidR="00104E89" w:rsidRPr="00104E89">
        <w:rPr>
          <w:sz w:val="18"/>
          <w:szCs w:val="18"/>
          <w:lang w:val="de-DE"/>
        </w:rPr>
        <w:t xml:space="preserve">Amer. Meteor. </w:t>
      </w:r>
      <w:r w:rsidR="00104E89" w:rsidRPr="00C0166E">
        <w:rPr>
          <w:sz w:val="18"/>
          <w:szCs w:val="18"/>
          <w:lang w:val="de-DE"/>
        </w:rPr>
        <w:t xml:space="preserve">Soc. 102(5), E990–E1015 (2021). </w:t>
      </w:r>
      <w:hyperlink r:id="rId22" w:history="1">
        <w:r w:rsidR="00104E89" w:rsidRPr="00C0166E">
          <w:rPr>
            <w:rStyle w:val="Hyperlink"/>
            <w:sz w:val="18"/>
            <w:szCs w:val="18"/>
            <w:lang w:val="de-DE"/>
          </w:rPr>
          <w:t>https://doi.org/10.1175/BAMS-D-19-0304.1</w:t>
        </w:r>
      </w:hyperlink>
    </w:p>
    <w:p w14:paraId="159F22DA" w14:textId="77777777" w:rsidR="00104E89" w:rsidRPr="00104E89" w:rsidRDefault="00104E89" w:rsidP="00946359">
      <w:pPr>
        <w:ind w:left="360" w:hanging="360"/>
        <w:jc w:val="both"/>
        <w:rPr>
          <w:sz w:val="18"/>
          <w:szCs w:val="18"/>
          <w:lang w:val="en-IE"/>
        </w:rPr>
      </w:pPr>
      <w:r w:rsidRPr="00104E89">
        <w:rPr>
          <w:sz w:val="18"/>
          <w:szCs w:val="18"/>
          <w:lang w:val="en-IE"/>
        </w:rPr>
        <w:t xml:space="preserve">[2] Abdon, S., Gardette, H., Degrelle, C., </w:t>
      </w:r>
      <w:proofErr w:type="spellStart"/>
      <w:r w:rsidRPr="00104E89">
        <w:rPr>
          <w:sz w:val="18"/>
          <w:szCs w:val="18"/>
          <w:lang w:val="en-IE"/>
        </w:rPr>
        <w:t>Gaucel</w:t>
      </w:r>
      <w:proofErr w:type="spellEnd"/>
      <w:r w:rsidRPr="00104E89">
        <w:rPr>
          <w:sz w:val="18"/>
          <w:szCs w:val="18"/>
          <w:lang w:val="en-IE"/>
        </w:rPr>
        <w:t xml:space="preserve">, J.-M., Astruc, P., </w:t>
      </w:r>
      <w:proofErr w:type="spellStart"/>
      <w:r w:rsidRPr="00104E89">
        <w:rPr>
          <w:sz w:val="18"/>
          <w:szCs w:val="18"/>
          <w:lang w:val="en-IE"/>
        </w:rPr>
        <w:t>Guiard</w:t>
      </w:r>
      <w:proofErr w:type="spellEnd"/>
      <w:r w:rsidRPr="00104E89">
        <w:rPr>
          <w:sz w:val="18"/>
          <w:szCs w:val="18"/>
          <w:lang w:val="en-IE"/>
        </w:rPr>
        <w:t>, P., Accettura, A., Lamarre, D., Aminou, D. M. and Miras, D., “</w:t>
      </w:r>
      <w:proofErr w:type="spellStart"/>
      <w:r w:rsidRPr="00104E89">
        <w:rPr>
          <w:sz w:val="18"/>
          <w:szCs w:val="18"/>
          <w:lang w:val="en-IE"/>
        </w:rPr>
        <w:t>Meteosat</w:t>
      </w:r>
      <w:proofErr w:type="spellEnd"/>
      <w:r w:rsidRPr="00104E89">
        <w:rPr>
          <w:sz w:val="18"/>
          <w:szCs w:val="18"/>
          <w:lang w:val="en-IE"/>
        </w:rPr>
        <w:t xml:space="preserve"> Third Generation Infrared Sounder (MTG-IRS), interferometer and spectrometer test outcomes, demonstration of the new 3D metrology system efficiency,” Proc. SPIE 11852, International Conference on Space Optics — ICSO 2020, 118521F, 583–594 (2021). </w:t>
      </w:r>
      <w:hyperlink r:id="rId23" w:history="1">
        <w:r w:rsidRPr="00104E89">
          <w:rPr>
            <w:rStyle w:val="Hyperlink"/>
            <w:sz w:val="18"/>
            <w:szCs w:val="18"/>
            <w:lang w:val="en-IE"/>
          </w:rPr>
          <w:t>https://doi.org/10.1117/12.2599240</w:t>
        </w:r>
      </w:hyperlink>
    </w:p>
    <w:p w14:paraId="1508B587" w14:textId="77777777" w:rsidR="00104E89" w:rsidRPr="00104E89" w:rsidRDefault="00104E89" w:rsidP="00946359">
      <w:pPr>
        <w:ind w:left="360" w:hanging="360"/>
        <w:jc w:val="both"/>
        <w:rPr>
          <w:sz w:val="18"/>
          <w:szCs w:val="18"/>
          <w:lang w:val="en-IE"/>
        </w:rPr>
      </w:pPr>
      <w:r w:rsidRPr="00104E89">
        <w:rPr>
          <w:sz w:val="18"/>
          <w:szCs w:val="18"/>
          <w:lang w:val="en-IE"/>
        </w:rPr>
        <w:t xml:space="preserve">[3] Yang, J., Zhang, Z., Wei, C., Lu, F. and Guo, Q., “Introducing the new generation of Chinese geostationary weather satellites, Fengyun-4,” Bull. Amer. Meteor. Soc. 98(8), 1637–1658 (2017). </w:t>
      </w:r>
      <w:hyperlink r:id="rId24" w:history="1">
        <w:r w:rsidRPr="00104E89">
          <w:rPr>
            <w:rStyle w:val="Hyperlink"/>
            <w:sz w:val="18"/>
            <w:szCs w:val="18"/>
            <w:lang w:val="en-IE"/>
          </w:rPr>
          <w:t>https://doi.org/10.1175/BAMS-D-16-0065.1</w:t>
        </w:r>
      </w:hyperlink>
    </w:p>
    <w:p w14:paraId="0A28B597" w14:textId="77777777" w:rsidR="00104E89" w:rsidRPr="00104E89" w:rsidRDefault="00104E89" w:rsidP="00946359">
      <w:pPr>
        <w:ind w:left="360" w:hanging="360"/>
        <w:jc w:val="both"/>
        <w:rPr>
          <w:sz w:val="18"/>
          <w:szCs w:val="18"/>
          <w:lang w:val="en-IE"/>
        </w:rPr>
      </w:pPr>
      <w:r w:rsidRPr="00104E89">
        <w:rPr>
          <w:sz w:val="18"/>
          <w:szCs w:val="18"/>
          <w:lang w:val="en-IE"/>
        </w:rPr>
        <w:t>[4] NOAA/NESDIS, “</w:t>
      </w:r>
      <w:proofErr w:type="spellStart"/>
      <w:r w:rsidRPr="00104E89">
        <w:rPr>
          <w:sz w:val="18"/>
          <w:szCs w:val="18"/>
          <w:lang w:val="en-IE"/>
        </w:rPr>
        <w:t>GeoXO</w:t>
      </w:r>
      <w:proofErr w:type="spellEnd"/>
      <w:r w:rsidRPr="00104E89">
        <w:rPr>
          <w:sz w:val="18"/>
          <w:szCs w:val="18"/>
          <w:lang w:val="en-IE"/>
        </w:rPr>
        <w:t xml:space="preserve"> Sounder (GXS) — </w:t>
      </w:r>
      <w:proofErr w:type="spellStart"/>
      <w:r w:rsidRPr="00104E89">
        <w:rPr>
          <w:sz w:val="18"/>
          <w:szCs w:val="18"/>
          <w:lang w:val="en-IE"/>
        </w:rPr>
        <w:t>GeoXO</w:t>
      </w:r>
      <w:proofErr w:type="spellEnd"/>
      <w:r w:rsidRPr="00104E89">
        <w:rPr>
          <w:sz w:val="18"/>
          <w:szCs w:val="18"/>
          <w:lang w:val="en-IE"/>
        </w:rPr>
        <w:t xml:space="preserve"> infrared sounding,” (accessed 31 July 2026). </w:t>
      </w:r>
      <w:hyperlink r:id="rId25" w:history="1">
        <w:r w:rsidRPr="00104E89">
          <w:rPr>
            <w:rStyle w:val="Hyperlink"/>
            <w:sz w:val="18"/>
            <w:szCs w:val="18"/>
            <w:lang w:val="en-IE"/>
          </w:rPr>
          <w:t>https://www.nesdis.noaa.gov/our-satellites/future-programs/geoxo/geoxo-infrared-sounding</w:t>
        </w:r>
      </w:hyperlink>
    </w:p>
    <w:p w14:paraId="56CB2883" w14:textId="77777777" w:rsidR="00104E89" w:rsidRPr="00104E89" w:rsidRDefault="00104E89" w:rsidP="00946359">
      <w:pPr>
        <w:ind w:left="360" w:hanging="360"/>
        <w:jc w:val="both"/>
        <w:rPr>
          <w:sz w:val="18"/>
          <w:szCs w:val="18"/>
          <w:lang w:val="en-IE"/>
        </w:rPr>
      </w:pPr>
      <w:r w:rsidRPr="00104E89">
        <w:rPr>
          <w:sz w:val="18"/>
          <w:szCs w:val="18"/>
          <w:lang w:val="en-IE"/>
        </w:rPr>
        <w:t xml:space="preserve">[5] Bessho, K., Andou, A., Sumida, Y. and Abe, M., “Himawari-10 project overview,” SOLA 21, 251–257 (2025). </w:t>
      </w:r>
      <w:hyperlink r:id="rId26" w:history="1">
        <w:r w:rsidRPr="00104E89">
          <w:rPr>
            <w:rStyle w:val="Hyperlink"/>
            <w:sz w:val="18"/>
            <w:szCs w:val="18"/>
            <w:lang w:val="en-IE"/>
          </w:rPr>
          <w:t>https://doi.org/10.2151/sola.2025-031</w:t>
        </w:r>
      </w:hyperlink>
    </w:p>
    <w:p w14:paraId="4ADE0E71" w14:textId="77777777" w:rsidR="00104E89" w:rsidRPr="00104E89" w:rsidRDefault="00104E89" w:rsidP="00946359">
      <w:pPr>
        <w:ind w:left="360" w:hanging="360"/>
        <w:jc w:val="both"/>
        <w:rPr>
          <w:sz w:val="18"/>
          <w:szCs w:val="18"/>
          <w:lang w:val="en-IE"/>
        </w:rPr>
      </w:pPr>
      <w:r w:rsidRPr="00104E89">
        <w:rPr>
          <w:sz w:val="18"/>
          <w:szCs w:val="18"/>
          <w:lang w:val="en-IE"/>
        </w:rPr>
        <w:t xml:space="preserve">[6] </w:t>
      </w:r>
      <w:proofErr w:type="spellStart"/>
      <w:r w:rsidRPr="00104E89">
        <w:rPr>
          <w:sz w:val="18"/>
          <w:szCs w:val="18"/>
          <w:lang w:val="en-IE"/>
        </w:rPr>
        <w:t>Clerbaux</w:t>
      </w:r>
      <w:proofErr w:type="spellEnd"/>
      <w:r w:rsidRPr="00104E89">
        <w:rPr>
          <w:sz w:val="18"/>
          <w:szCs w:val="18"/>
          <w:lang w:val="en-IE"/>
        </w:rPr>
        <w:t xml:space="preserve">, C., </w:t>
      </w:r>
      <w:proofErr w:type="spellStart"/>
      <w:r w:rsidRPr="00104E89">
        <w:rPr>
          <w:sz w:val="18"/>
          <w:szCs w:val="18"/>
          <w:lang w:val="en-IE"/>
        </w:rPr>
        <w:t>Boynard</w:t>
      </w:r>
      <w:proofErr w:type="spellEnd"/>
      <w:r w:rsidRPr="00104E89">
        <w:rPr>
          <w:sz w:val="18"/>
          <w:szCs w:val="18"/>
          <w:lang w:val="en-IE"/>
        </w:rPr>
        <w:t xml:space="preserve">, A., Clarisse, L., George, M., Hadji-Lazaro, J., Herbin, H., </w:t>
      </w:r>
      <w:proofErr w:type="spellStart"/>
      <w:r w:rsidRPr="00104E89">
        <w:rPr>
          <w:sz w:val="18"/>
          <w:szCs w:val="18"/>
          <w:lang w:val="en-IE"/>
        </w:rPr>
        <w:t>Hurtmans</w:t>
      </w:r>
      <w:proofErr w:type="spellEnd"/>
      <w:r w:rsidRPr="00104E89">
        <w:rPr>
          <w:sz w:val="18"/>
          <w:szCs w:val="18"/>
          <w:lang w:val="en-IE"/>
        </w:rPr>
        <w:t xml:space="preserve">, D., Pommier, M., Razavi, A., </w:t>
      </w:r>
      <w:proofErr w:type="spellStart"/>
      <w:r w:rsidRPr="00104E89">
        <w:rPr>
          <w:sz w:val="18"/>
          <w:szCs w:val="18"/>
          <w:lang w:val="en-IE"/>
        </w:rPr>
        <w:t>Turquety</w:t>
      </w:r>
      <w:proofErr w:type="spellEnd"/>
      <w:r w:rsidRPr="00104E89">
        <w:rPr>
          <w:sz w:val="18"/>
          <w:szCs w:val="18"/>
          <w:lang w:val="en-IE"/>
        </w:rPr>
        <w:t xml:space="preserve">, S., </w:t>
      </w:r>
      <w:proofErr w:type="spellStart"/>
      <w:r w:rsidRPr="00104E89">
        <w:rPr>
          <w:sz w:val="18"/>
          <w:szCs w:val="18"/>
          <w:lang w:val="en-IE"/>
        </w:rPr>
        <w:t>Wespes</w:t>
      </w:r>
      <w:proofErr w:type="spellEnd"/>
      <w:r w:rsidRPr="00104E89">
        <w:rPr>
          <w:sz w:val="18"/>
          <w:szCs w:val="18"/>
          <w:lang w:val="en-IE"/>
        </w:rPr>
        <w:t xml:space="preserve">, C. and </w:t>
      </w:r>
      <w:proofErr w:type="spellStart"/>
      <w:r w:rsidRPr="00104E89">
        <w:rPr>
          <w:sz w:val="18"/>
          <w:szCs w:val="18"/>
          <w:lang w:val="en-IE"/>
        </w:rPr>
        <w:t>Coheur</w:t>
      </w:r>
      <w:proofErr w:type="spellEnd"/>
      <w:r w:rsidRPr="00104E89">
        <w:rPr>
          <w:sz w:val="18"/>
          <w:szCs w:val="18"/>
          <w:lang w:val="en-IE"/>
        </w:rPr>
        <w:t>, P.-F., “Monitoring of atmospheric composition using the thermal infrared IASI/</w:t>
      </w:r>
      <w:proofErr w:type="spellStart"/>
      <w:r w:rsidRPr="00104E89">
        <w:rPr>
          <w:sz w:val="18"/>
          <w:szCs w:val="18"/>
          <w:lang w:val="en-IE"/>
        </w:rPr>
        <w:t>MetOp</w:t>
      </w:r>
      <w:proofErr w:type="spellEnd"/>
      <w:r w:rsidRPr="00104E89">
        <w:rPr>
          <w:sz w:val="18"/>
          <w:szCs w:val="18"/>
          <w:lang w:val="en-IE"/>
        </w:rPr>
        <w:t xml:space="preserve"> sounder,” Atmos. Chem. Phys. 9(16), 6041–6054 (2009). </w:t>
      </w:r>
      <w:hyperlink r:id="rId27" w:history="1">
        <w:r w:rsidRPr="00104E89">
          <w:rPr>
            <w:rStyle w:val="Hyperlink"/>
            <w:sz w:val="18"/>
            <w:szCs w:val="18"/>
            <w:lang w:val="en-IE"/>
          </w:rPr>
          <w:t>https://doi.org/10.5194/acp-9-6041-2009</w:t>
        </w:r>
      </w:hyperlink>
    </w:p>
    <w:p w14:paraId="43DCF19F" w14:textId="77777777" w:rsidR="00104E89" w:rsidRPr="00104E89" w:rsidRDefault="00104E89" w:rsidP="00946359">
      <w:pPr>
        <w:ind w:left="360" w:hanging="360"/>
        <w:jc w:val="both"/>
        <w:rPr>
          <w:sz w:val="18"/>
          <w:szCs w:val="18"/>
          <w:lang w:val="en-IE"/>
        </w:rPr>
      </w:pPr>
      <w:r w:rsidRPr="00104E89">
        <w:rPr>
          <w:sz w:val="18"/>
          <w:szCs w:val="18"/>
          <w:lang w:val="en-IE"/>
        </w:rPr>
        <w:t xml:space="preserve">[7] Qi, C., Wu, C., Hu, X., Xu, H., Lee, L., Zhou, F., Gu, M., Yang, T., Shao, C., Yang, Z. and Zhang, P., “High spectral infrared atmospheric sounder (HIRAS): system overview and on-orbit performance assessment,” IEEE Trans. </w:t>
      </w:r>
      <w:proofErr w:type="spellStart"/>
      <w:r w:rsidRPr="00104E89">
        <w:rPr>
          <w:sz w:val="18"/>
          <w:szCs w:val="18"/>
          <w:lang w:val="en-IE"/>
        </w:rPr>
        <w:t>Geosci</w:t>
      </w:r>
      <w:proofErr w:type="spellEnd"/>
      <w:r w:rsidRPr="00104E89">
        <w:rPr>
          <w:sz w:val="18"/>
          <w:szCs w:val="18"/>
          <w:lang w:val="en-IE"/>
        </w:rPr>
        <w:t xml:space="preserve">. Remote Sens. 58(6), 4335–4352 (2020). </w:t>
      </w:r>
      <w:hyperlink r:id="rId28" w:history="1">
        <w:r w:rsidRPr="00104E89">
          <w:rPr>
            <w:rStyle w:val="Hyperlink"/>
            <w:sz w:val="18"/>
            <w:szCs w:val="18"/>
            <w:lang w:val="en-IE"/>
          </w:rPr>
          <w:t>https://doi.org/10.1109/TGRS.2019.2963085</w:t>
        </w:r>
      </w:hyperlink>
    </w:p>
    <w:p w14:paraId="0E2E422C" w14:textId="77777777" w:rsidR="00104E89" w:rsidRPr="00104E89" w:rsidRDefault="00104E89" w:rsidP="00946359">
      <w:pPr>
        <w:ind w:left="360" w:hanging="360"/>
        <w:jc w:val="both"/>
        <w:rPr>
          <w:sz w:val="18"/>
          <w:szCs w:val="18"/>
          <w:lang w:val="en-IE"/>
        </w:rPr>
      </w:pPr>
      <w:r w:rsidRPr="00104E89">
        <w:rPr>
          <w:sz w:val="18"/>
          <w:szCs w:val="18"/>
          <w:lang w:val="en-IE"/>
        </w:rPr>
        <w:t xml:space="preserve">[8] Han, Y., Revercomb, H., Cromp, M., Gu, D., Johnson, D., Mooney, D., Scott, D., Strow, L., Bingham, G., Borg, L., Chen, Y., </w:t>
      </w:r>
      <w:proofErr w:type="spellStart"/>
      <w:r w:rsidRPr="00104E89">
        <w:rPr>
          <w:sz w:val="18"/>
          <w:szCs w:val="18"/>
          <w:lang w:val="en-IE"/>
        </w:rPr>
        <w:t>DeSlover</w:t>
      </w:r>
      <w:proofErr w:type="spellEnd"/>
      <w:r w:rsidRPr="00104E89">
        <w:rPr>
          <w:sz w:val="18"/>
          <w:szCs w:val="18"/>
          <w:lang w:val="en-IE"/>
        </w:rPr>
        <w:t xml:space="preserve">, D., Esplin, M., Hagan, D., Jin, X., Knuteson, R., Motteler, H., </w:t>
      </w:r>
      <w:proofErr w:type="spellStart"/>
      <w:r w:rsidRPr="00104E89">
        <w:rPr>
          <w:sz w:val="18"/>
          <w:szCs w:val="18"/>
          <w:lang w:val="en-IE"/>
        </w:rPr>
        <w:t>Predina</w:t>
      </w:r>
      <w:proofErr w:type="spellEnd"/>
      <w:r w:rsidRPr="00104E89">
        <w:rPr>
          <w:sz w:val="18"/>
          <w:szCs w:val="18"/>
          <w:lang w:val="en-IE"/>
        </w:rPr>
        <w:t xml:space="preserve">, J., Suwinski, L., Taylor, J., Tobin, D., Tremblay, D., Wang, C., Wang, L., Wang, L. and Zavyalov, V., “Suomi NPP </w:t>
      </w:r>
      <w:proofErr w:type="spellStart"/>
      <w:r w:rsidRPr="00104E89">
        <w:rPr>
          <w:sz w:val="18"/>
          <w:szCs w:val="18"/>
          <w:lang w:val="en-IE"/>
        </w:rPr>
        <w:t>CrIS</w:t>
      </w:r>
      <w:proofErr w:type="spellEnd"/>
      <w:r w:rsidRPr="00104E89">
        <w:rPr>
          <w:sz w:val="18"/>
          <w:szCs w:val="18"/>
          <w:lang w:val="en-IE"/>
        </w:rPr>
        <w:t xml:space="preserve"> measurements, sensor data record algorithm, calibration and validation activities, and record data quality,” J. Geophys. Res. Atmos. 118(22), 12734–12748 (2013). </w:t>
      </w:r>
      <w:hyperlink r:id="rId29" w:history="1">
        <w:r w:rsidRPr="00104E89">
          <w:rPr>
            <w:rStyle w:val="Hyperlink"/>
            <w:sz w:val="18"/>
            <w:szCs w:val="18"/>
            <w:lang w:val="en-IE"/>
          </w:rPr>
          <w:t>https://doi.org/10.1002/2013JD020344</w:t>
        </w:r>
      </w:hyperlink>
    </w:p>
    <w:p w14:paraId="1FAD4A8F" w14:textId="77777777" w:rsidR="00104E89" w:rsidRPr="00104E89" w:rsidRDefault="00104E89" w:rsidP="00946359">
      <w:pPr>
        <w:ind w:left="360" w:hanging="360"/>
        <w:jc w:val="both"/>
        <w:rPr>
          <w:sz w:val="18"/>
          <w:szCs w:val="18"/>
          <w:lang w:val="en-IE"/>
        </w:rPr>
      </w:pPr>
      <w:r w:rsidRPr="00104E89">
        <w:rPr>
          <w:sz w:val="18"/>
          <w:szCs w:val="18"/>
          <w:lang w:val="en-IE"/>
        </w:rPr>
        <w:t xml:space="preserve">[9] EUMETSAT, “MTG-S IRS science plan,” (accessed 31 July 2026). </w:t>
      </w:r>
      <w:hyperlink r:id="rId30" w:history="1">
        <w:r w:rsidRPr="00104E89">
          <w:rPr>
            <w:rStyle w:val="Hyperlink"/>
            <w:sz w:val="18"/>
            <w:szCs w:val="18"/>
            <w:lang w:val="en-IE"/>
          </w:rPr>
          <w:t>https://user.eumetsat.int/s3/ope-eup-strapi-media/MTG_S_IRS_Science_Plan_47145497b0.pdf</w:t>
        </w:r>
      </w:hyperlink>
    </w:p>
    <w:p w14:paraId="561208BE" w14:textId="3B3C62B5" w:rsidR="00104E89" w:rsidRPr="00104E89" w:rsidRDefault="00104E89" w:rsidP="00946359">
      <w:pPr>
        <w:ind w:left="360" w:hanging="360"/>
        <w:jc w:val="both"/>
        <w:rPr>
          <w:sz w:val="18"/>
          <w:szCs w:val="18"/>
          <w:lang w:val="en-IE"/>
        </w:rPr>
      </w:pPr>
      <w:r w:rsidRPr="00104E89">
        <w:rPr>
          <w:sz w:val="18"/>
          <w:szCs w:val="18"/>
          <w:lang w:val="en-IE"/>
        </w:rPr>
        <w:t>[10] EUMETSAT, “MTG end user requirements document (EURD),” EUMETSAT, Darmstadt (accessed 31 July 2026).</w:t>
      </w:r>
      <w:r w:rsidR="000941CD">
        <w:rPr>
          <w:sz w:val="18"/>
          <w:szCs w:val="18"/>
          <w:lang w:val="en-IE"/>
        </w:rPr>
        <w:t xml:space="preserve"> </w:t>
      </w:r>
      <w:hyperlink r:id="rId31" w:history="1">
        <w:r w:rsidR="000941CD" w:rsidRPr="007E1C87">
          <w:rPr>
            <w:rStyle w:val="Hyperlink"/>
            <w:sz w:val="18"/>
            <w:szCs w:val="18"/>
            <w:lang w:val="en-IE"/>
          </w:rPr>
          <w:t>https://user.eumetsat.int/s3/eup-strapi-media/pdf_mtg_eurd_d7b503ecc4.pdf</w:t>
        </w:r>
      </w:hyperlink>
      <w:r w:rsidR="000941CD">
        <w:rPr>
          <w:sz w:val="18"/>
          <w:szCs w:val="18"/>
          <w:lang w:val="en-IE"/>
        </w:rPr>
        <w:t xml:space="preserve"> </w:t>
      </w:r>
    </w:p>
    <w:p w14:paraId="0CE65517" w14:textId="77777777" w:rsidR="00104E89" w:rsidRPr="00104E89" w:rsidRDefault="00104E89" w:rsidP="00946359">
      <w:pPr>
        <w:ind w:left="360" w:hanging="360"/>
        <w:jc w:val="both"/>
        <w:rPr>
          <w:sz w:val="18"/>
          <w:szCs w:val="18"/>
          <w:lang w:val="en-IE"/>
        </w:rPr>
      </w:pPr>
      <w:r w:rsidRPr="00104E89">
        <w:rPr>
          <w:sz w:val="18"/>
          <w:szCs w:val="18"/>
          <w:lang w:val="en-IE"/>
        </w:rPr>
        <w:t xml:space="preserve">[11] Lucas Carbó, F. et al., “The MTG-IRS instrument: technical overview and measured performances during environmental and thermal vacuum test campaigns,” EUMETSAT Meteorological Satellite Conference (2023). </w:t>
      </w:r>
      <w:hyperlink r:id="rId32" w:history="1">
        <w:r w:rsidRPr="00104E89">
          <w:rPr>
            <w:rStyle w:val="Hyperlink"/>
            <w:sz w:val="18"/>
            <w:szCs w:val="18"/>
            <w:lang w:val="en-IE"/>
          </w:rPr>
          <w:t>https://www-cdn.eumetsat.int/files/2023-10/7.%20Francesc%20Lucas%20Carbo%2012.15.pdf</w:t>
        </w:r>
      </w:hyperlink>
    </w:p>
    <w:p w14:paraId="7B5B14B1" w14:textId="77777777" w:rsidR="00104E89" w:rsidRPr="00104E89" w:rsidRDefault="00104E89" w:rsidP="00946359">
      <w:pPr>
        <w:ind w:left="360" w:hanging="360"/>
        <w:jc w:val="both"/>
        <w:rPr>
          <w:sz w:val="18"/>
          <w:szCs w:val="18"/>
          <w:lang w:val="en-IE"/>
        </w:rPr>
      </w:pPr>
      <w:r w:rsidRPr="00104E89">
        <w:rPr>
          <w:sz w:val="18"/>
          <w:szCs w:val="18"/>
          <w:lang w:val="en-IE"/>
        </w:rPr>
        <w:t xml:space="preserve">[12] EUMETSAT, “See into Earth’s atmosphere like never before — first images from the MTG-S1 Infrared Sounder,” (2026). </w:t>
      </w:r>
      <w:hyperlink r:id="rId33" w:history="1">
        <w:r w:rsidRPr="00104E89">
          <w:rPr>
            <w:rStyle w:val="Hyperlink"/>
            <w:sz w:val="18"/>
            <w:szCs w:val="18"/>
            <w:lang w:val="en-IE"/>
          </w:rPr>
          <w:t>https://www.eumetsat.int/features/see-earths-atmosphere-never</w:t>
        </w:r>
      </w:hyperlink>
    </w:p>
    <w:p w14:paraId="7035B31F" w14:textId="77777777" w:rsidR="00104E89" w:rsidRPr="00104E89" w:rsidRDefault="00104E89" w:rsidP="00946359">
      <w:pPr>
        <w:ind w:left="360" w:hanging="360"/>
        <w:jc w:val="both"/>
        <w:rPr>
          <w:sz w:val="18"/>
          <w:szCs w:val="18"/>
          <w:lang w:val="en-IE"/>
        </w:rPr>
      </w:pPr>
      <w:r w:rsidRPr="00104E89">
        <w:rPr>
          <w:sz w:val="18"/>
          <w:szCs w:val="18"/>
          <w:lang w:val="en-IE"/>
        </w:rPr>
        <w:t xml:space="preserve">[13] </w:t>
      </w:r>
      <w:proofErr w:type="spellStart"/>
      <w:r w:rsidRPr="00104E89">
        <w:rPr>
          <w:sz w:val="18"/>
          <w:szCs w:val="18"/>
          <w:lang w:val="en-IE"/>
        </w:rPr>
        <w:t>Crevoisier</w:t>
      </w:r>
      <w:proofErr w:type="spellEnd"/>
      <w:r w:rsidRPr="00104E89">
        <w:rPr>
          <w:sz w:val="18"/>
          <w:szCs w:val="18"/>
          <w:lang w:val="en-IE"/>
        </w:rPr>
        <w:t xml:space="preserve">, C., </w:t>
      </w:r>
      <w:proofErr w:type="spellStart"/>
      <w:r w:rsidRPr="00104E89">
        <w:rPr>
          <w:sz w:val="18"/>
          <w:szCs w:val="18"/>
          <w:lang w:val="en-IE"/>
        </w:rPr>
        <w:t>Clerbaux</w:t>
      </w:r>
      <w:proofErr w:type="spellEnd"/>
      <w:r w:rsidRPr="00104E89">
        <w:rPr>
          <w:sz w:val="18"/>
          <w:szCs w:val="18"/>
          <w:lang w:val="en-IE"/>
        </w:rPr>
        <w:t xml:space="preserve">, C., </w:t>
      </w:r>
      <w:proofErr w:type="spellStart"/>
      <w:r w:rsidRPr="00104E89">
        <w:rPr>
          <w:sz w:val="18"/>
          <w:szCs w:val="18"/>
          <w:lang w:val="en-IE"/>
        </w:rPr>
        <w:t>Guidard</w:t>
      </w:r>
      <w:proofErr w:type="spellEnd"/>
      <w:r w:rsidRPr="00104E89">
        <w:rPr>
          <w:sz w:val="18"/>
          <w:szCs w:val="18"/>
          <w:lang w:val="en-IE"/>
        </w:rPr>
        <w:t xml:space="preserve">, V., Phulpin, T., Armante, R., Barret, B., Camy-Peyret, C., Chaboureau, J.-P., </w:t>
      </w:r>
      <w:proofErr w:type="spellStart"/>
      <w:r w:rsidRPr="00104E89">
        <w:rPr>
          <w:sz w:val="18"/>
          <w:szCs w:val="18"/>
          <w:lang w:val="en-IE"/>
        </w:rPr>
        <w:t>Coheur</w:t>
      </w:r>
      <w:proofErr w:type="spellEnd"/>
      <w:r w:rsidRPr="00104E89">
        <w:rPr>
          <w:sz w:val="18"/>
          <w:szCs w:val="18"/>
          <w:lang w:val="en-IE"/>
        </w:rPr>
        <w:t xml:space="preserve">, P.-F., </w:t>
      </w:r>
      <w:proofErr w:type="spellStart"/>
      <w:r w:rsidRPr="00104E89">
        <w:rPr>
          <w:sz w:val="18"/>
          <w:szCs w:val="18"/>
          <w:lang w:val="en-IE"/>
        </w:rPr>
        <w:t>Crépeau</w:t>
      </w:r>
      <w:proofErr w:type="spellEnd"/>
      <w:r w:rsidRPr="00104E89">
        <w:rPr>
          <w:sz w:val="18"/>
          <w:szCs w:val="18"/>
          <w:lang w:val="en-IE"/>
        </w:rPr>
        <w:t xml:space="preserve">, L., Dufour, G., </w:t>
      </w:r>
      <w:proofErr w:type="spellStart"/>
      <w:r w:rsidRPr="00104E89">
        <w:rPr>
          <w:sz w:val="18"/>
          <w:szCs w:val="18"/>
          <w:lang w:val="en-IE"/>
        </w:rPr>
        <w:t>Labonnote</w:t>
      </w:r>
      <w:proofErr w:type="spellEnd"/>
      <w:r w:rsidRPr="00104E89">
        <w:rPr>
          <w:sz w:val="18"/>
          <w:szCs w:val="18"/>
          <w:lang w:val="en-IE"/>
        </w:rPr>
        <w:t xml:space="preserve">, L., </w:t>
      </w:r>
      <w:proofErr w:type="spellStart"/>
      <w:r w:rsidRPr="00104E89">
        <w:rPr>
          <w:sz w:val="18"/>
          <w:szCs w:val="18"/>
          <w:lang w:val="en-IE"/>
        </w:rPr>
        <w:t>Lavanant</w:t>
      </w:r>
      <w:proofErr w:type="spellEnd"/>
      <w:r w:rsidRPr="00104E89">
        <w:rPr>
          <w:sz w:val="18"/>
          <w:szCs w:val="18"/>
          <w:lang w:val="en-IE"/>
        </w:rPr>
        <w:t xml:space="preserve">, L., Hadji-Lazaro, J., Herbin, H., </w:t>
      </w:r>
      <w:proofErr w:type="spellStart"/>
      <w:r w:rsidRPr="00104E89">
        <w:rPr>
          <w:sz w:val="18"/>
          <w:szCs w:val="18"/>
          <w:lang w:val="en-IE"/>
        </w:rPr>
        <w:t>Jacquinet</w:t>
      </w:r>
      <w:proofErr w:type="spellEnd"/>
      <w:r w:rsidRPr="00104E89">
        <w:rPr>
          <w:sz w:val="18"/>
          <w:szCs w:val="18"/>
          <w:lang w:val="en-IE"/>
        </w:rPr>
        <w:t xml:space="preserve">-Husson, N., Payan, S., </w:t>
      </w:r>
      <w:proofErr w:type="spellStart"/>
      <w:r w:rsidRPr="00104E89">
        <w:rPr>
          <w:sz w:val="18"/>
          <w:szCs w:val="18"/>
          <w:lang w:val="en-IE"/>
        </w:rPr>
        <w:t>Péquignot</w:t>
      </w:r>
      <w:proofErr w:type="spellEnd"/>
      <w:r w:rsidRPr="00104E89">
        <w:rPr>
          <w:sz w:val="18"/>
          <w:szCs w:val="18"/>
          <w:lang w:val="en-IE"/>
        </w:rPr>
        <w:t xml:space="preserve">, E., Pierangelo, C., Sellitto, P. and Stubenrauch, C., “Towards IASI-New Generation (IASI-NG): impact of improved spectral resolution and radiometric noise on the retrieval of thermodynamic, chemistry and climate variables,” Atmos. Meas. Tech. 7(12), 4367–4385 (2014). </w:t>
      </w:r>
      <w:hyperlink r:id="rId34" w:history="1">
        <w:r w:rsidRPr="00104E89">
          <w:rPr>
            <w:rStyle w:val="Hyperlink"/>
            <w:sz w:val="18"/>
            <w:szCs w:val="18"/>
            <w:lang w:val="en-IE"/>
          </w:rPr>
          <w:t>https://doi.org/10.5194/amt-7-4367-2014</w:t>
        </w:r>
      </w:hyperlink>
    </w:p>
    <w:p w14:paraId="5725B0F5" w14:textId="77777777" w:rsidR="00104E89" w:rsidRPr="00104E89" w:rsidRDefault="00104E89" w:rsidP="00946359">
      <w:pPr>
        <w:ind w:left="360" w:hanging="360"/>
        <w:jc w:val="both"/>
        <w:rPr>
          <w:sz w:val="18"/>
          <w:szCs w:val="18"/>
          <w:lang w:val="en-IE"/>
        </w:rPr>
      </w:pPr>
      <w:r w:rsidRPr="00104E89">
        <w:rPr>
          <w:sz w:val="18"/>
          <w:szCs w:val="18"/>
          <w:lang w:val="en-IE"/>
        </w:rPr>
        <w:t xml:space="preserve">[14] EUMETSAT, “MTG IRS Level 1 data guide,” (accessed 31 July 2026). </w:t>
      </w:r>
      <w:hyperlink r:id="rId35" w:history="1">
        <w:r w:rsidRPr="00104E89">
          <w:rPr>
            <w:rStyle w:val="Hyperlink"/>
            <w:sz w:val="18"/>
            <w:szCs w:val="18"/>
            <w:lang w:val="en-IE"/>
          </w:rPr>
          <w:t>https://user.eumetsat.int/resources/user-guides/mtg-irs-level-1-data-guide</w:t>
        </w:r>
      </w:hyperlink>
    </w:p>
    <w:p w14:paraId="5C029B37" w14:textId="77777777" w:rsidR="00104E89" w:rsidRPr="00104E89" w:rsidRDefault="00104E89" w:rsidP="00946359">
      <w:pPr>
        <w:ind w:left="360" w:hanging="360"/>
        <w:jc w:val="both"/>
        <w:rPr>
          <w:sz w:val="18"/>
          <w:szCs w:val="18"/>
          <w:lang w:val="en-IE"/>
        </w:rPr>
      </w:pPr>
      <w:r w:rsidRPr="00104E89">
        <w:rPr>
          <w:sz w:val="18"/>
          <w:szCs w:val="18"/>
          <w:lang w:val="en-IE"/>
        </w:rPr>
        <w:t xml:space="preserve">[15] Van Damme, M., Clarisse, L., Whitburn, S., Hadji-Lazaro, J., </w:t>
      </w:r>
      <w:proofErr w:type="spellStart"/>
      <w:r w:rsidRPr="00104E89">
        <w:rPr>
          <w:sz w:val="18"/>
          <w:szCs w:val="18"/>
          <w:lang w:val="en-IE"/>
        </w:rPr>
        <w:t>Hurtmans</w:t>
      </w:r>
      <w:proofErr w:type="spellEnd"/>
      <w:r w:rsidRPr="00104E89">
        <w:rPr>
          <w:sz w:val="18"/>
          <w:szCs w:val="18"/>
          <w:lang w:val="en-IE"/>
        </w:rPr>
        <w:t xml:space="preserve">, D., </w:t>
      </w:r>
      <w:proofErr w:type="spellStart"/>
      <w:r w:rsidRPr="00104E89">
        <w:rPr>
          <w:sz w:val="18"/>
          <w:szCs w:val="18"/>
          <w:lang w:val="en-IE"/>
        </w:rPr>
        <w:t>Clerbaux</w:t>
      </w:r>
      <w:proofErr w:type="spellEnd"/>
      <w:r w:rsidRPr="00104E89">
        <w:rPr>
          <w:sz w:val="18"/>
          <w:szCs w:val="18"/>
          <w:lang w:val="en-IE"/>
        </w:rPr>
        <w:t xml:space="preserve">, C. and </w:t>
      </w:r>
      <w:proofErr w:type="spellStart"/>
      <w:r w:rsidRPr="00104E89">
        <w:rPr>
          <w:sz w:val="18"/>
          <w:szCs w:val="18"/>
          <w:lang w:val="en-IE"/>
        </w:rPr>
        <w:t>Coheur</w:t>
      </w:r>
      <w:proofErr w:type="spellEnd"/>
      <w:r w:rsidRPr="00104E89">
        <w:rPr>
          <w:sz w:val="18"/>
          <w:szCs w:val="18"/>
          <w:lang w:val="en-IE"/>
        </w:rPr>
        <w:t xml:space="preserve">, P.-F., “Industrial and agricultural ammonia point sources exposed,” Nature 564, 99–103 (2018). </w:t>
      </w:r>
      <w:hyperlink r:id="rId36" w:history="1">
        <w:r w:rsidRPr="00104E89">
          <w:rPr>
            <w:rStyle w:val="Hyperlink"/>
            <w:sz w:val="18"/>
            <w:szCs w:val="18"/>
            <w:lang w:val="en-IE"/>
          </w:rPr>
          <w:t>https://doi.org/10.1038/s41586-018-0747-1</w:t>
        </w:r>
      </w:hyperlink>
    </w:p>
    <w:p w14:paraId="66E4C7FB" w14:textId="14280090" w:rsidR="00104E89" w:rsidRPr="00104E89" w:rsidRDefault="00104E89" w:rsidP="00946359">
      <w:pPr>
        <w:ind w:left="360" w:hanging="360"/>
        <w:jc w:val="both"/>
        <w:rPr>
          <w:sz w:val="18"/>
          <w:szCs w:val="18"/>
          <w:lang w:val="en-IE"/>
        </w:rPr>
      </w:pPr>
      <w:r w:rsidRPr="00104E89">
        <w:rPr>
          <w:sz w:val="18"/>
          <w:szCs w:val="18"/>
          <w:lang w:val="en-IE"/>
        </w:rPr>
        <w:t xml:space="preserve">[16] Huang, H.-L. and Antonelli, P., “Application of principal component analysis to high-resolution infrared measurement compression and retrieval,” J. Appl. </w:t>
      </w:r>
      <w:proofErr w:type="spellStart"/>
      <w:r w:rsidRPr="00104E89">
        <w:rPr>
          <w:sz w:val="18"/>
          <w:szCs w:val="18"/>
          <w:lang w:val="en-IE"/>
        </w:rPr>
        <w:t>Meteorol</w:t>
      </w:r>
      <w:proofErr w:type="spellEnd"/>
      <w:r w:rsidRPr="00104E89">
        <w:rPr>
          <w:sz w:val="18"/>
          <w:szCs w:val="18"/>
          <w:lang w:val="en-IE"/>
        </w:rPr>
        <w:t>. 40(3), 365–388 (2001).</w:t>
      </w:r>
      <w:r w:rsidR="00012239" w:rsidRPr="00104E89">
        <w:rPr>
          <w:sz w:val="18"/>
          <w:szCs w:val="18"/>
          <w:lang w:val="en-IE"/>
        </w:rPr>
        <w:t xml:space="preserve"> </w:t>
      </w:r>
      <w:hyperlink r:id="rId37" w:tgtFrame="_blank" w:history="1">
        <w:r w:rsidR="00D86F58" w:rsidRPr="00D86F58">
          <w:rPr>
            <w:rStyle w:val="Hyperlink"/>
            <w:sz w:val="18"/>
            <w:szCs w:val="18"/>
          </w:rPr>
          <w:t>https://doi.org/10.1175/1520-0450(2001)040&lt;0365:AOPCAT&gt;2.0.CO;2</w:t>
        </w:r>
      </w:hyperlink>
    </w:p>
    <w:p w14:paraId="71D8C744" w14:textId="77777777" w:rsidR="00104E89" w:rsidRPr="00104E89" w:rsidRDefault="00104E89" w:rsidP="00946359">
      <w:pPr>
        <w:ind w:left="360" w:hanging="360"/>
        <w:jc w:val="both"/>
        <w:rPr>
          <w:sz w:val="18"/>
          <w:szCs w:val="18"/>
          <w:lang w:val="en-IE"/>
        </w:rPr>
      </w:pPr>
      <w:r w:rsidRPr="00104E89">
        <w:rPr>
          <w:sz w:val="18"/>
          <w:szCs w:val="18"/>
          <w:lang w:val="en-IE"/>
        </w:rPr>
        <w:t xml:space="preserve">[18] Serio, C., Masiello, G., Camy-Peyret, C., Jacquette, E., </w:t>
      </w:r>
      <w:proofErr w:type="spellStart"/>
      <w:r w:rsidRPr="00104E89">
        <w:rPr>
          <w:sz w:val="18"/>
          <w:szCs w:val="18"/>
          <w:lang w:val="en-IE"/>
        </w:rPr>
        <w:t>Vandermarcq</w:t>
      </w:r>
      <w:proofErr w:type="spellEnd"/>
      <w:r w:rsidRPr="00104E89">
        <w:rPr>
          <w:sz w:val="18"/>
          <w:szCs w:val="18"/>
          <w:lang w:val="en-IE"/>
        </w:rPr>
        <w:t xml:space="preserve">, O., Bermudo, F., Coppens, D. and Tobin, D., “PCA determination of the radiometric noise of high spectral resolution infrared observations from spectral residuals: application to IASI,” J. Quant. </w:t>
      </w:r>
      <w:proofErr w:type="spellStart"/>
      <w:r w:rsidRPr="00104E89">
        <w:rPr>
          <w:sz w:val="18"/>
          <w:szCs w:val="18"/>
          <w:lang w:val="en-IE"/>
        </w:rPr>
        <w:t>Spectrosc</w:t>
      </w:r>
      <w:proofErr w:type="spellEnd"/>
      <w:r w:rsidRPr="00104E89">
        <w:rPr>
          <w:sz w:val="18"/>
          <w:szCs w:val="18"/>
          <w:lang w:val="en-IE"/>
        </w:rPr>
        <w:t xml:space="preserve">. </w:t>
      </w:r>
      <w:proofErr w:type="spellStart"/>
      <w:r w:rsidRPr="00104E89">
        <w:rPr>
          <w:sz w:val="18"/>
          <w:szCs w:val="18"/>
          <w:lang w:val="en-IE"/>
        </w:rPr>
        <w:t>Radiat</w:t>
      </w:r>
      <w:proofErr w:type="spellEnd"/>
      <w:r w:rsidRPr="00104E89">
        <w:rPr>
          <w:sz w:val="18"/>
          <w:szCs w:val="18"/>
          <w:lang w:val="en-IE"/>
        </w:rPr>
        <w:t xml:space="preserve">. Transfer 206, 8–21 (2018). </w:t>
      </w:r>
      <w:hyperlink r:id="rId38" w:history="1">
        <w:r w:rsidRPr="00104E89">
          <w:rPr>
            <w:rStyle w:val="Hyperlink"/>
            <w:sz w:val="18"/>
            <w:szCs w:val="18"/>
            <w:lang w:val="en-IE"/>
          </w:rPr>
          <w:t>https://doi.org/10.1016/j.jqsrt.2017.10.022</w:t>
        </w:r>
      </w:hyperlink>
    </w:p>
    <w:p w14:paraId="246168CD" w14:textId="77777777" w:rsidR="00104E89" w:rsidRPr="00104E89" w:rsidRDefault="00104E89" w:rsidP="00946359">
      <w:pPr>
        <w:ind w:left="360" w:hanging="360"/>
        <w:jc w:val="both"/>
        <w:rPr>
          <w:sz w:val="18"/>
          <w:szCs w:val="18"/>
          <w:lang w:val="en-IE"/>
        </w:rPr>
      </w:pPr>
      <w:r w:rsidRPr="00104E89">
        <w:rPr>
          <w:sz w:val="18"/>
          <w:szCs w:val="18"/>
          <w:lang w:val="en-IE"/>
        </w:rPr>
        <w:t xml:space="preserve">[19] Serio, C., Masiello, G., Mastro, P. and Tobin, D. C., “Characterization of the observational covariance matrix of hyper-spectral infrared satellite sensors directly from measured Earth views,” Sensors 20(5), 1492 (2020). </w:t>
      </w:r>
      <w:hyperlink r:id="rId39" w:history="1">
        <w:r w:rsidRPr="00104E89">
          <w:rPr>
            <w:rStyle w:val="Hyperlink"/>
            <w:sz w:val="18"/>
            <w:szCs w:val="18"/>
            <w:lang w:val="en-IE"/>
          </w:rPr>
          <w:t>https://doi.org/10.3390/s20051492</w:t>
        </w:r>
      </w:hyperlink>
    </w:p>
    <w:p w14:paraId="1AAA1134" w14:textId="47FE45EE" w:rsidR="00A22B7A" w:rsidRPr="00E10D8D" w:rsidRDefault="00104E89" w:rsidP="00946359">
      <w:pPr>
        <w:ind w:left="360" w:hanging="360"/>
        <w:jc w:val="both"/>
        <w:rPr>
          <w:szCs w:val="13"/>
        </w:rPr>
      </w:pPr>
      <w:r w:rsidRPr="00104E89">
        <w:rPr>
          <w:sz w:val="18"/>
          <w:szCs w:val="18"/>
          <w:lang w:val="en-IE"/>
        </w:rPr>
        <w:t>[20] EUMETSAT, “</w:t>
      </w:r>
      <w:proofErr w:type="spellStart"/>
      <w:r w:rsidRPr="00104E89">
        <w:rPr>
          <w:sz w:val="18"/>
          <w:szCs w:val="18"/>
          <w:lang w:val="en-IE"/>
        </w:rPr>
        <w:t>Meteosat</w:t>
      </w:r>
      <w:proofErr w:type="spellEnd"/>
      <w:r w:rsidRPr="00104E89">
        <w:rPr>
          <w:sz w:val="18"/>
          <w:szCs w:val="18"/>
          <w:lang w:val="en-IE"/>
        </w:rPr>
        <w:t xml:space="preserve"> Third Generation resources — data access and user guides,” EUMETSAT User Portal (accessed 31 July 2026). </w:t>
      </w:r>
      <w:hyperlink r:id="rId40" w:history="1">
        <w:r w:rsidRPr="00104E89">
          <w:rPr>
            <w:rStyle w:val="Hyperlink"/>
            <w:sz w:val="18"/>
            <w:szCs w:val="18"/>
            <w:lang w:val="en-IE"/>
          </w:rPr>
          <w:t>https://user.eumetsat.int/data/satellites/meteosat-third-generation/resources</w:t>
        </w:r>
      </w:hyperlink>
      <w:r w:rsidR="0077713E">
        <w:rPr>
          <w:rStyle w:val="body31"/>
          <w:rFonts w:ascii="Times New Roman" w:hAnsi="Times New Roman"/>
          <w:color w:val="auto"/>
          <w:sz w:val="20"/>
        </w:rPr>
        <w:t xml:space="preserve"> </w:t>
      </w:r>
    </w:p>
    <w:sectPr w:rsidR="00A22B7A" w:rsidRPr="00E10D8D" w:rsidSect="004B4274">
      <w:headerReference w:type="default" r:id="rId41"/>
      <w:pgSz w:w="12240" w:h="15840" w:code="1"/>
      <w:pgMar w:top="1440" w:right="1267" w:bottom="1800" w:left="1267" w:header="0" w:footer="806" w:gutter="0"/>
      <w:paperSrc w:first="15" w:other="15"/>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4B79E" w14:textId="77777777" w:rsidR="00506BBA" w:rsidRDefault="00506BBA">
      <w:r>
        <w:separator/>
      </w:r>
    </w:p>
  </w:endnote>
  <w:endnote w:type="continuationSeparator" w:id="0">
    <w:p w14:paraId="40965FF1" w14:textId="77777777" w:rsidR="00506BBA" w:rsidRDefault="00506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sGoth BT">
    <w:altName w:val="Microsoft YaHei"/>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8B9D4" w14:textId="77777777" w:rsidR="00506BBA" w:rsidRDefault="00506BBA">
      <w:r>
        <w:separator/>
      </w:r>
    </w:p>
  </w:footnote>
  <w:footnote w:type="continuationSeparator" w:id="0">
    <w:p w14:paraId="69A47294" w14:textId="77777777" w:rsidR="00506BBA" w:rsidRDefault="00506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D132" w14:textId="77777777" w:rsidR="00917BAC" w:rsidRDefault="00917BAC">
    <w:pPr>
      <w:pStyle w:val="Header"/>
    </w:pPr>
  </w:p>
  <w:p w14:paraId="25444E12" w14:textId="77777777" w:rsidR="00917BAC" w:rsidRDefault="00917BAC">
    <w:pPr>
      <w:pStyle w:val="Header"/>
    </w:pPr>
  </w:p>
  <w:p w14:paraId="4873D963" w14:textId="77777777" w:rsidR="00917BAC" w:rsidRDefault="00917BAC" w:rsidP="00E270E5">
    <w:pPr>
      <w:pStyle w:val="SPIEheader"/>
    </w:pPr>
  </w:p>
  <w:p w14:paraId="1F67846E" w14:textId="77777777" w:rsidR="00917BAC" w:rsidRDefault="00917B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85103"/>
    <w:multiLevelType w:val="hybridMultilevel"/>
    <w:tmpl w:val="600663C8"/>
    <w:lvl w:ilvl="0" w:tplc="44FAC01A">
      <w:start w:val="1"/>
      <w:numFmt w:val="bullet"/>
      <w:pStyle w:val="SPIEListBullet2"/>
      <w:lvlText w:val=""/>
      <w:lvlJc w:val="left"/>
      <w:pPr>
        <w:tabs>
          <w:tab w:val="num" w:pos="720"/>
        </w:tabs>
        <w:ind w:left="720"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B00DA1"/>
    <w:multiLevelType w:val="multilevel"/>
    <w:tmpl w:val="BDD41AA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208E181F"/>
    <w:multiLevelType w:val="multilevel"/>
    <w:tmpl w:val="01D0F848"/>
    <w:lvl w:ilvl="0">
      <w:start w:val="1"/>
      <w:numFmt w:val="decimal"/>
      <w:lvlText w:val="%1"/>
      <w:lvlJc w:val="left"/>
      <w:pPr>
        <w:tabs>
          <w:tab w:val="num" w:pos="360"/>
        </w:tabs>
        <w:ind w:left="0" w:firstLine="0"/>
      </w:pPr>
      <w:rPr>
        <w:rFonts w:ascii="Times New Roman" w:eastAsia="Times New Roman" w:hAnsi="Times New Roman" w:cs="Times New Roman"/>
        <w:vertAlign w:val="superscrip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FA74E46"/>
    <w:multiLevelType w:val="hybridMultilevel"/>
    <w:tmpl w:val="3A0072F2"/>
    <w:lvl w:ilvl="0" w:tplc="85488AEE">
      <w:start w:val="1"/>
      <w:numFmt w:val="bullet"/>
      <w:lvlText w:val=""/>
      <w:lvlJc w:val="left"/>
      <w:pPr>
        <w:tabs>
          <w:tab w:val="num" w:pos="1080"/>
        </w:tabs>
        <w:ind w:left="1080" w:hanging="360"/>
      </w:pPr>
      <w:rPr>
        <w:rFonts w:ascii="Symbol" w:hAnsi="Symbo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3087D39"/>
    <w:multiLevelType w:val="multilevel"/>
    <w:tmpl w:val="4C2A7E3E"/>
    <w:lvl w:ilvl="0">
      <w:start w:val="1"/>
      <w:numFmt w:val="decimal"/>
      <w:pStyle w:val="Heading1"/>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3D6A4DF8"/>
    <w:multiLevelType w:val="hybridMultilevel"/>
    <w:tmpl w:val="215E6A84"/>
    <w:lvl w:ilvl="0" w:tplc="AB38FAF0">
      <w:start w:val="1"/>
      <w:numFmt w:val="decimal"/>
      <w:pStyle w:val="SPIEreferencelisting"/>
      <w:lvlText w:val="[%1]"/>
      <w:lvlJc w:val="left"/>
      <w:pPr>
        <w:tabs>
          <w:tab w:val="num" w:pos="360"/>
        </w:tabs>
        <w:ind w:left="360" w:hanging="360"/>
      </w:pPr>
      <w:rPr>
        <w:rFonts w:hint="default"/>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10B7538"/>
    <w:multiLevelType w:val="multilevel"/>
    <w:tmpl w:val="508A17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0F639D"/>
    <w:multiLevelType w:val="hybridMultilevel"/>
    <w:tmpl w:val="9A8EE33A"/>
    <w:lvl w:ilvl="0" w:tplc="D07E14EA">
      <w:start w:val="1"/>
      <w:numFmt w:val="bullet"/>
      <w:lvlText w:val="•"/>
      <w:lvlJc w:val="left"/>
      <w:pPr>
        <w:tabs>
          <w:tab w:val="num" w:pos="720"/>
        </w:tabs>
        <w:ind w:left="720" w:hanging="360"/>
      </w:pPr>
      <w:rPr>
        <w:rFonts w:ascii="Arial" w:hAnsi="Arial" w:hint="default"/>
      </w:rPr>
    </w:lvl>
    <w:lvl w:ilvl="1" w:tplc="D1BEED3A" w:tentative="1">
      <w:start w:val="1"/>
      <w:numFmt w:val="bullet"/>
      <w:lvlText w:val="•"/>
      <w:lvlJc w:val="left"/>
      <w:pPr>
        <w:tabs>
          <w:tab w:val="num" w:pos="1440"/>
        </w:tabs>
        <w:ind w:left="1440" w:hanging="360"/>
      </w:pPr>
      <w:rPr>
        <w:rFonts w:ascii="Arial" w:hAnsi="Arial" w:hint="default"/>
      </w:rPr>
    </w:lvl>
    <w:lvl w:ilvl="2" w:tplc="6E9E2BA8" w:tentative="1">
      <w:start w:val="1"/>
      <w:numFmt w:val="bullet"/>
      <w:lvlText w:val="•"/>
      <w:lvlJc w:val="left"/>
      <w:pPr>
        <w:tabs>
          <w:tab w:val="num" w:pos="2160"/>
        </w:tabs>
        <w:ind w:left="2160" w:hanging="360"/>
      </w:pPr>
      <w:rPr>
        <w:rFonts w:ascii="Arial" w:hAnsi="Arial" w:hint="default"/>
      </w:rPr>
    </w:lvl>
    <w:lvl w:ilvl="3" w:tplc="28127F6A" w:tentative="1">
      <w:start w:val="1"/>
      <w:numFmt w:val="bullet"/>
      <w:lvlText w:val="•"/>
      <w:lvlJc w:val="left"/>
      <w:pPr>
        <w:tabs>
          <w:tab w:val="num" w:pos="2880"/>
        </w:tabs>
        <w:ind w:left="2880" w:hanging="360"/>
      </w:pPr>
      <w:rPr>
        <w:rFonts w:ascii="Arial" w:hAnsi="Arial" w:hint="default"/>
      </w:rPr>
    </w:lvl>
    <w:lvl w:ilvl="4" w:tplc="AC8CF6FE" w:tentative="1">
      <w:start w:val="1"/>
      <w:numFmt w:val="bullet"/>
      <w:lvlText w:val="•"/>
      <w:lvlJc w:val="left"/>
      <w:pPr>
        <w:tabs>
          <w:tab w:val="num" w:pos="3600"/>
        </w:tabs>
        <w:ind w:left="3600" w:hanging="360"/>
      </w:pPr>
      <w:rPr>
        <w:rFonts w:ascii="Arial" w:hAnsi="Arial" w:hint="default"/>
      </w:rPr>
    </w:lvl>
    <w:lvl w:ilvl="5" w:tplc="0ABACD0E" w:tentative="1">
      <w:start w:val="1"/>
      <w:numFmt w:val="bullet"/>
      <w:lvlText w:val="•"/>
      <w:lvlJc w:val="left"/>
      <w:pPr>
        <w:tabs>
          <w:tab w:val="num" w:pos="4320"/>
        </w:tabs>
        <w:ind w:left="4320" w:hanging="360"/>
      </w:pPr>
      <w:rPr>
        <w:rFonts w:ascii="Arial" w:hAnsi="Arial" w:hint="default"/>
      </w:rPr>
    </w:lvl>
    <w:lvl w:ilvl="6" w:tplc="1458EB4E" w:tentative="1">
      <w:start w:val="1"/>
      <w:numFmt w:val="bullet"/>
      <w:lvlText w:val="•"/>
      <w:lvlJc w:val="left"/>
      <w:pPr>
        <w:tabs>
          <w:tab w:val="num" w:pos="5040"/>
        </w:tabs>
        <w:ind w:left="5040" w:hanging="360"/>
      </w:pPr>
      <w:rPr>
        <w:rFonts w:ascii="Arial" w:hAnsi="Arial" w:hint="default"/>
      </w:rPr>
    </w:lvl>
    <w:lvl w:ilvl="7" w:tplc="CD1074E2" w:tentative="1">
      <w:start w:val="1"/>
      <w:numFmt w:val="bullet"/>
      <w:lvlText w:val="•"/>
      <w:lvlJc w:val="left"/>
      <w:pPr>
        <w:tabs>
          <w:tab w:val="num" w:pos="5760"/>
        </w:tabs>
        <w:ind w:left="5760" w:hanging="360"/>
      </w:pPr>
      <w:rPr>
        <w:rFonts w:ascii="Arial" w:hAnsi="Arial" w:hint="default"/>
      </w:rPr>
    </w:lvl>
    <w:lvl w:ilvl="8" w:tplc="626A022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D531613"/>
    <w:multiLevelType w:val="multilevel"/>
    <w:tmpl w:val="1C567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A0896"/>
    <w:multiLevelType w:val="multilevel"/>
    <w:tmpl w:val="3B6CE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892819"/>
    <w:multiLevelType w:val="hybridMultilevel"/>
    <w:tmpl w:val="630893D0"/>
    <w:lvl w:ilvl="0" w:tplc="18090001">
      <w:start w:val="3"/>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D173A11"/>
    <w:multiLevelType w:val="hybridMultilevel"/>
    <w:tmpl w:val="A7FCED10"/>
    <w:lvl w:ilvl="0" w:tplc="9C144EB4">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5636935">
    <w:abstractNumId w:val="5"/>
  </w:num>
  <w:num w:numId="2" w16cid:durableId="2097510717">
    <w:abstractNumId w:val="0"/>
  </w:num>
  <w:num w:numId="3" w16cid:durableId="2050453668">
    <w:abstractNumId w:val="4"/>
  </w:num>
  <w:num w:numId="4" w16cid:durableId="353463244">
    <w:abstractNumId w:val="1"/>
  </w:num>
  <w:num w:numId="5" w16cid:durableId="874582940">
    <w:abstractNumId w:val="2"/>
  </w:num>
  <w:num w:numId="6" w16cid:durableId="1848671615">
    <w:abstractNumId w:val="3"/>
  </w:num>
  <w:num w:numId="7" w16cid:durableId="1812559449">
    <w:abstractNumId w:val="11"/>
  </w:num>
  <w:num w:numId="8" w16cid:durableId="1524437746">
    <w:abstractNumId w:val="9"/>
  </w:num>
  <w:num w:numId="9" w16cid:durableId="1016343255">
    <w:abstractNumId w:val="10"/>
  </w:num>
  <w:num w:numId="10" w16cid:durableId="1474369653">
    <w:abstractNumId w:val="8"/>
  </w:num>
  <w:num w:numId="11" w16cid:durableId="756361178">
    <w:abstractNumId w:val="6"/>
  </w:num>
  <w:num w:numId="12" w16cid:durableId="587080408">
    <w:abstractNumId w:val="6"/>
    <w:lvlOverride w:ilvl="1">
      <w:lvl w:ilvl="1">
        <w:numFmt w:val="decimal"/>
        <w:lvlText w:val="%2."/>
        <w:lvlJc w:val="left"/>
      </w:lvl>
    </w:lvlOverride>
  </w:num>
  <w:num w:numId="13" w16cid:durableId="161292934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gutterAtTop/>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noPunctuationKerning/>
  <w:characterSpacingControl w:val="doNotCompress"/>
  <w:hdrShapeDefaults>
    <o:shapedefaults v:ext="edit" spidmax="2050">
      <o:colormru v:ext="edit" colors="#f1ffc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F9F"/>
    <w:rsid w:val="000005B8"/>
    <w:rsid w:val="00012239"/>
    <w:rsid w:val="00013ED5"/>
    <w:rsid w:val="000166EA"/>
    <w:rsid w:val="000309E9"/>
    <w:rsid w:val="000321D2"/>
    <w:rsid w:val="00045337"/>
    <w:rsid w:val="000574C6"/>
    <w:rsid w:val="000579E4"/>
    <w:rsid w:val="00065FE6"/>
    <w:rsid w:val="00067A0C"/>
    <w:rsid w:val="0007466D"/>
    <w:rsid w:val="00077CAD"/>
    <w:rsid w:val="0008279D"/>
    <w:rsid w:val="00084C8C"/>
    <w:rsid w:val="0009035E"/>
    <w:rsid w:val="0009087B"/>
    <w:rsid w:val="000941CD"/>
    <w:rsid w:val="000A1FAF"/>
    <w:rsid w:val="000A2FCC"/>
    <w:rsid w:val="000A7915"/>
    <w:rsid w:val="000B259F"/>
    <w:rsid w:val="000C04F5"/>
    <w:rsid w:val="000C578F"/>
    <w:rsid w:val="000D2EB7"/>
    <w:rsid w:val="000D2EDD"/>
    <w:rsid w:val="000E3BA1"/>
    <w:rsid w:val="000E3E61"/>
    <w:rsid w:val="000E716F"/>
    <w:rsid w:val="000F41BA"/>
    <w:rsid w:val="00101E0B"/>
    <w:rsid w:val="00102F7A"/>
    <w:rsid w:val="00103674"/>
    <w:rsid w:val="00104E89"/>
    <w:rsid w:val="00105725"/>
    <w:rsid w:val="001072A5"/>
    <w:rsid w:val="00116F27"/>
    <w:rsid w:val="00125A02"/>
    <w:rsid w:val="00127CE9"/>
    <w:rsid w:val="00135445"/>
    <w:rsid w:val="00151C18"/>
    <w:rsid w:val="00154054"/>
    <w:rsid w:val="00155A95"/>
    <w:rsid w:val="00157716"/>
    <w:rsid w:val="00157CC0"/>
    <w:rsid w:val="00164505"/>
    <w:rsid w:val="00165F8F"/>
    <w:rsid w:val="00166583"/>
    <w:rsid w:val="00166772"/>
    <w:rsid w:val="00171ABE"/>
    <w:rsid w:val="00175687"/>
    <w:rsid w:val="001775F5"/>
    <w:rsid w:val="00183FC3"/>
    <w:rsid w:val="0019055E"/>
    <w:rsid w:val="001978E2"/>
    <w:rsid w:val="001A2FB8"/>
    <w:rsid w:val="001A4178"/>
    <w:rsid w:val="001A5B4E"/>
    <w:rsid w:val="001A7B76"/>
    <w:rsid w:val="001C006B"/>
    <w:rsid w:val="001C12BC"/>
    <w:rsid w:val="001C698B"/>
    <w:rsid w:val="00202117"/>
    <w:rsid w:val="00215486"/>
    <w:rsid w:val="00221DC7"/>
    <w:rsid w:val="002246C9"/>
    <w:rsid w:val="00224B34"/>
    <w:rsid w:val="002254B5"/>
    <w:rsid w:val="00226010"/>
    <w:rsid w:val="00231016"/>
    <w:rsid w:val="002332AA"/>
    <w:rsid w:val="002455BD"/>
    <w:rsid w:val="00255E0C"/>
    <w:rsid w:val="00261B5E"/>
    <w:rsid w:val="00262961"/>
    <w:rsid w:val="00264363"/>
    <w:rsid w:val="00265DCA"/>
    <w:rsid w:val="00266386"/>
    <w:rsid w:val="00266472"/>
    <w:rsid w:val="002713F4"/>
    <w:rsid w:val="00276A8E"/>
    <w:rsid w:val="00276D7F"/>
    <w:rsid w:val="00286D22"/>
    <w:rsid w:val="00290E0B"/>
    <w:rsid w:val="002920EB"/>
    <w:rsid w:val="00294FFD"/>
    <w:rsid w:val="002A07C8"/>
    <w:rsid w:val="002A3BA2"/>
    <w:rsid w:val="002A3D1B"/>
    <w:rsid w:val="002A716D"/>
    <w:rsid w:val="002A7216"/>
    <w:rsid w:val="002B61BF"/>
    <w:rsid w:val="002C591B"/>
    <w:rsid w:val="002C6B56"/>
    <w:rsid w:val="002C6D9B"/>
    <w:rsid w:val="002C7E24"/>
    <w:rsid w:val="002D3ADD"/>
    <w:rsid w:val="002D5E14"/>
    <w:rsid w:val="002F0122"/>
    <w:rsid w:val="002F082D"/>
    <w:rsid w:val="002F37E1"/>
    <w:rsid w:val="002F7CCC"/>
    <w:rsid w:val="003103C1"/>
    <w:rsid w:val="00312E78"/>
    <w:rsid w:val="0031785E"/>
    <w:rsid w:val="00323119"/>
    <w:rsid w:val="00323D2E"/>
    <w:rsid w:val="003268CF"/>
    <w:rsid w:val="003579BF"/>
    <w:rsid w:val="003579F2"/>
    <w:rsid w:val="003611D5"/>
    <w:rsid w:val="00361FA0"/>
    <w:rsid w:val="00376189"/>
    <w:rsid w:val="0038570C"/>
    <w:rsid w:val="00387004"/>
    <w:rsid w:val="00391E59"/>
    <w:rsid w:val="003A38C8"/>
    <w:rsid w:val="003B553C"/>
    <w:rsid w:val="003C1F74"/>
    <w:rsid w:val="003C31FD"/>
    <w:rsid w:val="003D6701"/>
    <w:rsid w:val="003E3B19"/>
    <w:rsid w:val="003F33A2"/>
    <w:rsid w:val="003F795A"/>
    <w:rsid w:val="004007DB"/>
    <w:rsid w:val="0040108D"/>
    <w:rsid w:val="0040678E"/>
    <w:rsid w:val="00414C6A"/>
    <w:rsid w:val="004175E2"/>
    <w:rsid w:val="004310C0"/>
    <w:rsid w:val="00432884"/>
    <w:rsid w:val="004409E8"/>
    <w:rsid w:val="00441145"/>
    <w:rsid w:val="004417C4"/>
    <w:rsid w:val="00455E43"/>
    <w:rsid w:val="00456068"/>
    <w:rsid w:val="00463170"/>
    <w:rsid w:val="00464C36"/>
    <w:rsid w:val="00473D44"/>
    <w:rsid w:val="00480128"/>
    <w:rsid w:val="004830EA"/>
    <w:rsid w:val="00484424"/>
    <w:rsid w:val="00487730"/>
    <w:rsid w:val="004A0F91"/>
    <w:rsid w:val="004A400F"/>
    <w:rsid w:val="004B4274"/>
    <w:rsid w:val="004C2824"/>
    <w:rsid w:val="004D471C"/>
    <w:rsid w:val="004E1F48"/>
    <w:rsid w:val="004F1B51"/>
    <w:rsid w:val="004F748D"/>
    <w:rsid w:val="00500A32"/>
    <w:rsid w:val="00502979"/>
    <w:rsid w:val="00504195"/>
    <w:rsid w:val="00506BBA"/>
    <w:rsid w:val="005173D9"/>
    <w:rsid w:val="00520211"/>
    <w:rsid w:val="0052407F"/>
    <w:rsid w:val="00531D22"/>
    <w:rsid w:val="00533BC3"/>
    <w:rsid w:val="00534CD8"/>
    <w:rsid w:val="00535EF6"/>
    <w:rsid w:val="0053683B"/>
    <w:rsid w:val="00540271"/>
    <w:rsid w:val="005516E9"/>
    <w:rsid w:val="00552072"/>
    <w:rsid w:val="00572244"/>
    <w:rsid w:val="00576B43"/>
    <w:rsid w:val="005803BE"/>
    <w:rsid w:val="005A16A7"/>
    <w:rsid w:val="005A5261"/>
    <w:rsid w:val="005B6525"/>
    <w:rsid w:val="005B6D78"/>
    <w:rsid w:val="005C07A2"/>
    <w:rsid w:val="005C5CFC"/>
    <w:rsid w:val="005D1CB5"/>
    <w:rsid w:val="005D7D0A"/>
    <w:rsid w:val="005E37B0"/>
    <w:rsid w:val="005F34F3"/>
    <w:rsid w:val="00616B12"/>
    <w:rsid w:val="006170A6"/>
    <w:rsid w:val="00621A86"/>
    <w:rsid w:val="0062393F"/>
    <w:rsid w:val="00623A3A"/>
    <w:rsid w:val="00631274"/>
    <w:rsid w:val="00640796"/>
    <w:rsid w:val="00643626"/>
    <w:rsid w:val="00645DE7"/>
    <w:rsid w:val="00647D50"/>
    <w:rsid w:val="00664B0B"/>
    <w:rsid w:val="00670E0A"/>
    <w:rsid w:val="00672CEA"/>
    <w:rsid w:val="00685DB5"/>
    <w:rsid w:val="0069010E"/>
    <w:rsid w:val="00691B80"/>
    <w:rsid w:val="00695D27"/>
    <w:rsid w:val="006A266D"/>
    <w:rsid w:val="006A459C"/>
    <w:rsid w:val="006A5DD6"/>
    <w:rsid w:val="006B5673"/>
    <w:rsid w:val="006B5DA8"/>
    <w:rsid w:val="006C1669"/>
    <w:rsid w:val="006C7A56"/>
    <w:rsid w:val="006E05B7"/>
    <w:rsid w:val="006E1B5E"/>
    <w:rsid w:val="006E1F69"/>
    <w:rsid w:val="006E2DED"/>
    <w:rsid w:val="006F25C4"/>
    <w:rsid w:val="006F2AFA"/>
    <w:rsid w:val="006F50DB"/>
    <w:rsid w:val="00705C45"/>
    <w:rsid w:val="00714837"/>
    <w:rsid w:val="00715772"/>
    <w:rsid w:val="007178A1"/>
    <w:rsid w:val="00722799"/>
    <w:rsid w:val="00732FB6"/>
    <w:rsid w:val="007338BD"/>
    <w:rsid w:val="00733D0E"/>
    <w:rsid w:val="00734A59"/>
    <w:rsid w:val="0074602A"/>
    <w:rsid w:val="00751C64"/>
    <w:rsid w:val="00753189"/>
    <w:rsid w:val="007532DE"/>
    <w:rsid w:val="00753D5A"/>
    <w:rsid w:val="007612CA"/>
    <w:rsid w:val="0076149D"/>
    <w:rsid w:val="00764F0E"/>
    <w:rsid w:val="00770397"/>
    <w:rsid w:val="00775E9C"/>
    <w:rsid w:val="0077713E"/>
    <w:rsid w:val="00781EF8"/>
    <w:rsid w:val="00782503"/>
    <w:rsid w:val="00786796"/>
    <w:rsid w:val="00790A5B"/>
    <w:rsid w:val="007925CC"/>
    <w:rsid w:val="007957FB"/>
    <w:rsid w:val="00796D10"/>
    <w:rsid w:val="00797858"/>
    <w:rsid w:val="007A23FE"/>
    <w:rsid w:val="007A3881"/>
    <w:rsid w:val="007B24D6"/>
    <w:rsid w:val="007B74BE"/>
    <w:rsid w:val="007B7AB7"/>
    <w:rsid w:val="007B7BAC"/>
    <w:rsid w:val="007D1267"/>
    <w:rsid w:val="007D4DCF"/>
    <w:rsid w:val="007E1D00"/>
    <w:rsid w:val="007E30D5"/>
    <w:rsid w:val="007E4CF7"/>
    <w:rsid w:val="007E6440"/>
    <w:rsid w:val="007F5099"/>
    <w:rsid w:val="00804168"/>
    <w:rsid w:val="00804A50"/>
    <w:rsid w:val="008057FB"/>
    <w:rsid w:val="00813F2C"/>
    <w:rsid w:val="00820166"/>
    <w:rsid w:val="008254BD"/>
    <w:rsid w:val="0082736F"/>
    <w:rsid w:val="00832AD7"/>
    <w:rsid w:val="0084290D"/>
    <w:rsid w:val="008556A2"/>
    <w:rsid w:val="00857E64"/>
    <w:rsid w:val="00860E5D"/>
    <w:rsid w:val="008644E7"/>
    <w:rsid w:val="00865E20"/>
    <w:rsid w:val="00866776"/>
    <w:rsid w:val="00870B98"/>
    <w:rsid w:val="00886D33"/>
    <w:rsid w:val="0089068B"/>
    <w:rsid w:val="008937E3"/>
    <w:rsid w:val="008A2E98"/>
    <w:rsid w:val="008B3598"/>
    <w:rsid w:val="008B37BC"/>
    <w:rsid w:val="008C72B1"/>
    <w:rsid w:val="008E4A3A"/>
    <w:rsid w:val="008F20CB"/>
    <w:rsid w:val="008F22DA"/>
    <w:rsid w:val="009052BC"/>
    <w:rsid w:val="00913520"/>
    <w:rsid w:val="00917BAC"/>
    <w:rsid w:val="0092557D"/>
    <w:rsid w:val="00925763"/>
    <w:rsid w:val="0093152D"/>
    <w:rsid w:val="00933321"/>
    <w:rsid w:val="00946359"/>
    <w:rsid w:val="00960BF7"/>
    <w:rsid w:val="00961277"/>
    <w:rsid w:val="009635D3"/>
    <w:rsid w:val="00965965"/>
    <w:rsid w:val="009666EC"/>
    <w:rsid w:val="009755B6"/>
    <w:rsid w:val="0097780A"/>
    <w:rsid w:val="0098225F"/>
    <w:rsid w:val="00985837"/>
    <w:rsid w:val="00993584"/>
    <w:rsid w:val="009A36A4"/>
    <w:rsid w:val="009A3A73"/>
    <w:rsid w:val="009A61A9"/>
    <w:rsid w:val="009B1F35"/>
    <w:rsid w:val="009B7E59"/>
    <w:rsid w:val="009C0C3A"/>
    <w:rsid w:val="009D2A57"/>
    <w:rsid w:val="009F1839"/>
    <w:rsid w:val="00A032EC"/>
    <w:rsid w:val="00A07E79"/>
    <w:rsid w:val="00A14CA7"/>
    <w:rsid w:val="00A205BE"/>
    <w:rsid w:val="00A22B7A"/>
    <w:rsid w:val="00A30DED"/>
    <w:rsid w:val="00A349BF"/>
    <w:rsid w:val="00A35710"/>
    <w:rsid w:val="00A40E6B"/>
    <w:rsid w:val="00A4115C"/>
    <w:rsid w:val="00A41428"/>
    <w:rsid w:val="00A437B6"/>
    <w:rsid w:val="00A5359B"/>
    <w:rsid w:val="00A620C2"/>
    <w:rsid w:val="00A84C37"/>
    <w:rsid w:val="00A84D89"/>
    <w:rsid w:val="00A85AAD"/>
    <w:rsid w:val="00A86BC9"/>
    <w:rsid w:val="00AA112B"/>
    <w:rsid w:val="00AA233D"/>
    <w:rsid w:val="00AA3C3A"/>
    <w:rsid w:val="00AA55D3"/>
    <w:rsid w:val="00AB1234"/>
    <w:rsid w:val="00AB3AA3"/>
    <w:rsid w:val="00AB5E41"/>
    <w:rsid w:val="00AB5FDF"/>
    <w:rsid w:val="00AB7AC2"/>
    <w:rsid w:val="00AB7D1C"/>
    <w:rsid w:val="00AC4194"/>
    <w:rsid w:val="00AC5E76"/>
    <w:rsid w:val="00AD4606"/>
    <w:rsid w:val="00AD7DDC"/>
    <w:rsid w:val="00AF48C7"/>
    <w:rsid w:val="00B16C39"/>
    <w:rsid w:val="00B1790A"/>
    <w:rsid w:val="00B225FF"/>
    <w:rsid w:val="00B30486"/>
    <w:rsid w:val="00B30922"/>
    <w:rsid w:val="00B52BA8"/>
    <w:rsid w:val="00B54385"/>
    <w:rsid w:val="00B54B1D"/>
    <w:rsid w:val="00B77F1E"/>
    <w:rsid w:val="00B80B60"/>
    <w:rsid w:val="00B8423A"/>
    <w:rsid w:val="00B86841"/>
    <w:rsid w:val="00B8783C"/>
    <w:rsid w:val="00B90F29"/>
    <w:rsid w:val="00B96DCE"/>
    <w:rsid w:val="00B97907"/>
    <w:rsid w:val="00BA3437"/>
    <w:rsid w:val="00BA6124"/>
    <w:rsid w:val="00BA631F"/>
    <w:rsid w:val="00BB0736"/>
    <w:rsid w:val="00BB4590"/>
    <w:rsid w:val="00BC00F5"/>
    <w:rsid w:val="00BC0159"/>
    <w:rsid w:val="00BC27E2"/>
    <w:rsid w:val="00BC6BE6"/>
    <w:rsid w:val="00BD0B74"/>
    <w:rsid w:val="00BD1F9F"/>
    <w:rsid w:val="00BD557D"/>
    <w:rsid w:val="00BE133D"/>
    <w:rsid w:val="00BE1CEC"/>
    <w:rsid w:val="00BE4017"/>
    <w:rsid w:val="00BE7858"/>
    <w:rsid w:val="00BF0F49"/>
    <w:rsid w:val="00BF336E"/>
    <w:rsid w:val="00C0166E"/>
    <w:rsid w:val="00C06AF5"/>
    <w:rsid w:val="00C11564"/>
    <w:rsid w:val="00C26190"/>
    <w:rsid w:val="00C37175"/>
    <w:rsid w:val="00C379FA"/>
    <w:rsid w:val="00C4358E"/>
    <w:rsid w:val="00C438AD"/>
    <w:rsid w:val="00C5011B"/>
    <w:rsid w:val="00C5081F"/>
    <w:rsid w:val="00C52269"/>
    <w:rsid w:val="00C56DA2"/>
    <w:rsid w:val="00C6204B"/>
    <w:rsid w:val="00C71BC8"/>
    <w:rsid w:val="00C72375"/>
    <w:rsid w:val="00C72890"/>
    <w:rsid w:val="00C80EB4"/>
    <w:rsid w:val="00C83076"/>
    <w:rsid w:val="00C842E7"/>
    <w:rsid w:val="00CA34E7"/>
    <w:rsid w:val="00CB19BE"/>
    <w:rsid w:val="00CB5CD7"/>
    <w:rsid w:val="00CB79D8"/>
    <w:rsid w:val="00CC4781"/>
    <w:rsid w:val="00CC712C"/>
    <w:rsid w:val="00CD3464"/>
    <w:rsid w:val="00CD4EFF"/>
    <w:rsid w:val="00CD7E69"/>
    <w:rsid w:val="00CF7C14"/>
    <w:rsid w:val="00D001DF"/>
    <w:rsid w:val="00D01E5E"/>
    <w:rsid w:val="00D044C2"/>
    <w:rsid w:val="00D15DB6"/>
    <w:rsid w:val="00D27F94"/>
    <w:rsid w:val="00D40472"/>
    <w:rsid w:val="00D43F0D"/>
    <w:rsid w:val="00D5092F"/>
    <w:rsid w:val="00D53571"/>
    <w:rsid w:val="00D560B1"/>
    <w:rsid w:val="00D61806"/>
    <w:rsid w:val="00D709B1"/>
    <w:rsid w:val="00D712EF"/>
    <w:rsid w:val="00D80959"/>
    <w:rsid w:val="00D86F58"/>
    <w:rsid w:val="00D87495"/>
    <w:rsid w:val="00DA4782"/>
    <w:rsid w:val="00DA51FB"/>
    <w:rsid w:val="00DA775F"/>
    <w:rsid w:val="00DA7C8C"/>
    <w:rsid w:val="00DB007B"/>
    <w:rsid w:val="00DB10EA"/>
    <w:rsid w:val="00DB300F"/>
    <w:rsid w:val="00DB382F"/>
    <w:rsid w:val="00DC1836"/>
    <w:rsid w:val="00DC5C97"/>
    <w:rsid w:val="00DC797C"/>
    <w:rsid w:val="00DD0758"/>
    <w:rsid w:val="00DD7B89"/>
    <w:rsid w:val="00E00703"/>
    <w:rsid w:val="00E10135"/>
    <w:rsid w:val="00E10D8D"/>
    <w:rsid w:val="00E14BFF"/>
    <w:rsid w:val="00E16052"/>
    <w:rsid w:val="00E270E5"/>
    <w:rsid w:val="00E317AD"/>
    <w:rsid w:val="00E31880"/>
    <w:rsid w:val="00E44CD3"/>
    <w:rsid w:val="00E4590A"/>
    <w:rsid w:val="00E54A3F"/>
    <w:rsid w:val="00E62777"/>
    <w:rsid w:val="00E66821"/>
    <w:rsid w:val="00EA30A8"/>
    <w:rsid w:val="00EA7B21"/>
    <w:rsid w:val="00EB06A9"/>
    <w:rsid w:val="00EB0B56"/>
    <w:rsid w:val="00EB3B29"/>
    <w:rsid w:val="00EB7D91"/>
    <w:rsid w:val="00EC7848"/>
    <w:rsid w:val="00EE0924"/>
    <w:rsid w:val="00EE0CA0"/>
    <w:rsid w:val="00EE4C66"/>
    <w:rsid w:val="00EE5487"/>
    <w:rsid w:val="00EE6C14"/>
    <w:rsid w:val="00F11915"/>
    <w:rsid w:val="00F178F6"/>
    <w:rsid w:val="00F20439"/>
    <w:rsid w:val="00F44100"/>
    <w:rsid w:val="00F600DE"/>
    <w:rsid w:val="00F61D21"/>
    <w:rsid w:val="00F8606B"/>
    <w:rsid w:val="00F948B1"/>
    <w:rsid w:val="00F978E9"/>
    <w:rsid w:val="00FA04DC"/>
    <w:rsid w:val="00FB0C0B"/>
    <w:rsid w:val="00FC379F"/>
    <w:rsid w:val="00FC531F"/>
    <w:rsid w:val="00FC6B83"/>
    <w:rsid w:val="00FD4A8E"/>
    <w:rsid w:val="00FD7A28"/>
    <w:rsid w:val="00FE1ED5"/>
    <w:rsid w:val="00FE4D03"/>
    <w:rsid w:val="00FF2B09"/>
    <w:rsid w:val="00FF6A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1ffc9"/>
    </o:shapedefaults>
    <o:shapelayout v:ext="edit">
      <o:idmap v:ext="edit" data="2"/>
    </o:shapelayout>
  </w:shapeDefaults>
  <w:decimalSymbol w:val="."/>
  <w:listSeparator w:val=","/>
  <w14:docId w14:val="0175C747"/>
  <w15:docId w15:val="{972A1199-3964-4844-8A0D-021AB821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SPIE Body Text"/>
    <w:qFormat/>
    <w:rsid w:val="003D6701"/>
    <w:rPr>
      <w:szCs w:val="24"/>
      <w:lang w:eastAsia="en-US"/>
    </w:rPr>
  </w:style>
  <w:style w:type="paragraph" w:styleId="Heading1">
    <w:name w:val="heading 1"/>
    <w:aliases w:val="SPIE Section"/>
    <w:basedOn w:val="Normal"/>
    <w:next w:val="Normal"/>
    <w:autoRedefine/>
    <w:qFormat/>
    <w:rsid w:val="007F5099"/>
    <w:pPr>
      <w:keepNext/>
      <w:numPr>
        <w:numId w:val="3"/>
      </w:numPr>
      <w:spacing w:before="240" w:after="240"/>
      <w:jc w:val="center"/>
      <w:outlineLvl w:val="0"/>
    </w:pPr>
    <w:rPr>
      <w:rFonts w:cs="Arial"/>
      <w:b/>
      <w:bCs/>
      <w:caps/>
      <w:kern w:val="32"/>
      <w:sz w:val="22"/>
    </w:rPr>
  </w:style>
  <w:style w:type="paragraph" w:styleId="Heading2">
    <w:name w:val="heading 2"/>
    <w:aliases w:val="SPIE Subsection"/>
    <w:basedOn w:val="Heading1"/>
    <w:next w:val="SPIEbodytext"/>
    <w:autoRedefine/>
    <w:qFormat/>
    <w:rsid w:val="00C37175"/>
    <w:pPr>
      <w:numPr>
        <w:numId w:val="0"/>
      </w:numPr>
      <w:tabs>
        <w:tab w:val="left" w:pos="504"/>
        <w:tab w:val="left" w:pos="4140"/>
      </w:tabs>
      <w:spacing w:before="0"/>
      <w:jc w:val="both"/>
      <w:outlineLvl w:val="1"/>
    </w:pPr>
    <w:rPr>
      <w:caps w:val="0"/>
      <w:sz w:val="20"/>
      <w:szCs w:val="20"/>
    </w:rPr>
  </w:style>
  <w:style w:type="paragraph" w:styleId="Heading3">
    <w:name w:val="heading 3"/>
    <w:basedOn w:val="Normal"/>
    <w:next w:val="Normal"/>
    <w:qFormat/>
    <w:rsid w:val="000005B8"/>
    <w:pPr>
      <w:keepNext/>
      <w:outlineLvl w:val="2"/>
    </w:pPr>
    <w:rPr>
      <w:rFonts w:ascii="Times" w:hAnsi="Times"/>
      <w:b/>
      <w:sz w:val="22"/>
      <w:szCs w:val="20"/>
    </w:rPr>
  </w:style>
  <w:style w:type="paragraph" w:styleId="Heading4">
    <w:name w:val="heading 4"/>
    <w:basedOn w:val="Normal"/>
    <w:next w:val="Normal"/>
    <w:qFormat/>
    <w:rsid w:val="00DA775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NewsGoth BT" w:hAnsi="NewsGoth BT"/>
      <w:szCs w:val="20"/>
    </w:r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rPr>
      <w:rFonts w:ascii="Times" w:hAnsi="Times"/>
      <w:szCs w:val="20"/>
    </w:rPr>
  </w:style>
  <w:style w:type="paragraph" w:customStyle="1" w:styleId="PaperTitle">
    <w:name w:val="*Paper Title*"/>
    <w:basedOn w:val="Normal"/>
    <w:next w:val="BodyofPaper"/>
    <w:link w:val="PaperTitleChar"/>
    <w:semiHidden/>
    <w:pPr>
      <w:jc w:val="center"/>
    </w:pPr>
    <w:rPr>
      <w:b/>
      <w:sz w:val="32"/>
      <w:szCs w:val="20"/>
    </w:rPr>
  </w:style>
  <w:style w:type="paragraph" w:customStyle="1" w:styleId="BodyofPaper">
    <w:name w:val="*Body of Paper*"/>
    <w:basedOn w:val="Normal"/>
    <w:link w:val="BodyofPaperChar"/>
    <w:pPr>
      <w:jc w:val="both"/>
    </w:pPr>
    <w:rPr>
      <w:szCs w:val="20"/>
    </w:rPr>
  </w:style>
  <w:style w:type="character" w:customStyle="1" w:styleId="BodyofPaperChar">
    <w:name w:val="*Body of Paper* Char"/>
    <w:link w:val="BodyofPaper"/>
    <w:rsid w:val="00EE6C14"/>
    <w:rPr>
      <w:lang w:val="en-US" w:eastAsia="en-US" w:bidi="ar-SA"/>
    </w:rPr>
  </w:style>
  <w:style w:type="character" w:customStyle="1" w:styleId="PaperTitleChar">
    <w:name w:val="*Paper Title* Char"/>
    <w:link w:val="PaperTitle"/>
    <w:rsid w:val="00D80959"/>
    <w:rPr>
      <w:b/>
      <w:sz w:val="32"/>
      <w:lang w:val="en-US" w:eastAsia="en-US" w:bidi="ar-SA"/>
    </w:rPr>
  </w:style>
  <w:style w:type="paragraph" w:customStyle="1" w:styleId="SPIEAuthors-Affils">
    <w:name w:val="SPIE Authors-Affils"/>
    <w:basedOn w:val="BodyofPaper"/>
    <w:next w:val="BodyofPaper"/>
    <w:link w:val="SPIEAuthors-AffilsCharChar"/>
    <w:pPr>
      <w:jc w:val="center"/>
    </w:pPr>
    <w:rPr>
      <w:sz w:val="24"/>
    </w:rPr>
  </w:style>
  <w:style w:type="character" w:customStyle="1" w:styleId="SPIEAuthors-AffilsCharChar">
    <w:name w:val="SPIE Authors-Affils Char Char"/>
    <w:link w:val="SPIEAuthors-Affils"/>
    <w:rsid w:val="00BC6BE6"/>
    <w:rPr>
      <w:sz w:val="24"/>
      <w:lang w:val="en-US" w:eastAsia="en-US" w:bidi="ar-SA"/>
    </w:rPr>
  </w:style>
  <w:style w:type="paragraph" w:customStyle="1" w:styleId="PrincipalHding">
    <w:name w:val="*Principal Hding*"/>
    <w:basedOn w:val="Normal"/>
    <w:next w:val="BodyofPaper"/>
    <w:link w:val="PrincipalHdingChar"/>
    <w:semiHidden/>
    <w:pPr>
      <w:jc w:val="center"/>
    </w:pPr>
    <w:rPr>
      <w:b/>
      <w:caps/>
      <w:sz w:val="22"/>
      <w:szCs w:val="20"/>
    </w:rPr>
  </w:style>
  <w:style w:type="character" w:customStyle="1" w:styleId="PrincipalHdingChar">
    <w:name w:val="*Principal Hding* Char"/>
    <w:link w:val="PrincipalHding"/>
    <w:rsid w:val="00CD4EFF"/>
    <w:rPr>
      <w:b/>
      <w:caps/>
      <w:sz w:val="22"/>
      <w:lang w:val="en-US" w:eastAsia="en-US" w:bidi="ar-SA"/>
    </w:rPr>
  </w:style>
  <w:style w:type="paragraph" w:customStyle="1" w:styleId="Keywords">
    <w:name w:val="*Keywords*"/>
    <w:basedOn w:val="BodyofPaper"/>
    <w:next w:val="BodyofPaper"/>
    <w:pPr>
      <w:ind w:left="360" w:hanging="360"/>
    </w:pPr>
  </w:style>
  <w:style w:type="paragraph" w:customStyle="1" w:styleId="SPIEpapertitle">
    <w:name w:val="SPIE paper title"/>
    <w:basedOn w:val="PaperTitle"/>
    <w:link w:val="SPIEpapertitleCharChar"/>
    <w:rsid w:val="007E6440"/>
    <w:pPr>
      <w:outlineLvl w:val="0"/>
    </w:pPr>
  </w:style>
  <w:style w:type="character" w:customStyle="1" w:styleId="SPIEpapertitleCharChar">
    <w:name w:val="SPIE paper title Char Char"/>
    <w:link w:val="SPIEpapertitle"/>
    <w:rsid w:val="00D80959"/>
    <w:rPr>
      <w:b/>
      <w:sz w:val="32"/>
      <w:lang w:val="en-US" w:eastAsia="en-US" w:bidi="ar-SA"/>
    </w:rPr>
  </w:style>
  <w:style w:type="paragraph" w:customStyle="1" w:styleId="SPIEauthoraffils">
    <w:name w:val="SPIE author &amp; affils"/>
    <w:basedOn w:val="SPIEAuthors-Affils"/>
    <w:link w:val="SPIEauthoraffilsChar"/>
    <w:rsid w:val="007E6440"/>
    <w:pPr>
      <w:outlineLvl w:val="0"/>
    </w:pPr>
  </w:style>
  <w:style w:type="character" w:customStyle="1" w:styleId="SPIEauthoraffilsChar">
    <w:name w:val="SPIE author &amp; affils Char"/>
    <w:link w:val="SPIEauthoraffils"/>
    <w:rsid w:val="00BC6BE6"/>
    <w:rPr>
      <w:sz w:val="24"/>
      <w:lang w:val="en-US" w:eastAsia="en-US" w:bidi="ar-SA"/>
    </w:rPr>
  </w:style>
  <w:style w:type="paragraph" w:customStyle="1" w:styleId="SPIEabstracttitle">
    <w:name w:val="SPIE abstract title"/>
    <w:basedOn w:val="PrincipalHding"/>
    <w:link w:val="SPIEabstracttitleCharChar"/>
    <w:rsid w:val="00797858"/>
    <w:pPr>
      <w:spacing w:before="480" w:after="240"/>
      <w:outlineLvl w:val="0"/>
    </w:pPr>
  </w:style>
  <w:style w:type="character" w:customStyle="1" w:styleId="SPIEabstracttitleCharChar">
    <w:name w:val="SPIE abstract title Char Char"/>
    <w:link w:val="SPIEabstracttitle"/>
    <w:rsid w:val="00CD4EFF"/>
    <w:rPr>
      <w:b/>
      <w:caps/>
      <w:sz w:val="22"/>
      <w:lang w:val="en-US" w:eastAsia="en-US" w:bidi="ar-SA"/>
    </w:rPr>
  </w:style>
  <w:style w:type="paragraph" w:customStyle="1" w:styleId="SPIEbodytext">
    <w:name w:val="SPIE body text"/>
    <w:basedOn w:val="Normal"/>
    <w:link w:val="SPIEbodytextCharChar"/>
    <w:rsid w:val="00BC6BE6"/>
    <w:pPr>
      <w:spacing w:after="120"/>
      <w:jc w:val="both"/>
    </w:pPr>
  </w:style>
  <w:style w:type="character" w:customStyle="1" w:styleId="SPIEbodytextCharChar">
    <w:name w:val="SPIE body text Char Char"/>
    <w:link w:val="SPIEbodytext"/>
    <w:rsid w:val="00BC6BE6"/>
    <w:rPr>
      <w:szCs w:val="24"/>
      <w:lang w:val="en-US" w:eastAsia="en-US" w:bidi="ar-SA"/>
    </w:rPr>
  </w:style>
  <w:style w:type="paragraph" w:customStyle="1" w:styleId="SPIEkeywords">
    <w:name w:val="SPIE keywords"/>
    <w:basedOn w:val="Keywords"/>
    <w:rsid w:val="007E6440"/>
    <w:pPr>
      <w:ind w:left="0" w:firstLine="0"/>
      <w:outlineLvl w:val="0"/>
    </w:pPr>
  </w:style>
  <w:style w:type="paragraph" w:customStyle="1" w:styleId="SPIEfigurecaption">
    <w:name w:val="SPIE figure caption"/>
    <w:basedOn w:val="BodyofPaper"/>
    <w:next w:val="SPIEbodytext"/>
    <w:link w:val="SPIEfigurecaptionChar"/>
    <w:rsid w:val="00BE133D"/>
    <w:pPr>
      <w:spacing w:after="120"/>
      <w:ind w:left="360" w:right="360"/>
      <w:jc w:val="left"/>
    </w:pPr>
    <w:rPr>
      <w:sz w:val="18"/>
    </w:rPr>
  </w:style>
  <w:style w:type="character" w:customStyle="1" w:styleId="SPIEfigurecaptionChar">
    <w:name w:val="SPIE figure caption Char"/>
    <w:link w:val="SPIEfigurecaption"/>
    <w:rsid w:val="00BE133D"/>
    <w:rPr>
      <w:sz w:val="18"/>
      <w:lang w:val="en-US" w:eastAsia="en-US" w:bidi="ar-SA"/>
    </w:rPr>
  </w:style>
  <w:style w:type="paragraph" w:customStyle="1" w:styleId="SPIEreferences">
    <w:name w:val="SPIEreferences"/>
    <w:basedOn w:val="SPIEabstracttitle"/>
    <w:rsid w:val="00E62777"/>
    <w:pPr>
      <w:keepNext/>
    </w:pPr>
    <w:rPr>
      <w:szCs w:val="22"/>
    </w:rPr>
  </w:style>
  <w:style w:type="paragraph" w:customStyle="1" w:styleId="SPIEreferencelisting">
    <w:name w:val="SPIE reference listing"/>
    <w:basedOn w:val="BodyofPaper"/>
    <w:rsid w:val="00AA112B"/>
    <w:pPr>
      <w:numPr>
        <w:numId w:val="1"/>
      </w:numPr>
    </w:pPr>
  </w:style>
  <w:style w:type="paragraph" w:customStyle="1" w:styleId="SPIEfootnotetext">
    <w:name w:val="SPIE footnote text"/>
    <w:basedOn w:val="Normal"/>
    <w:rsid w:val="00BC6BE6"/>
    <w:rPr>
      <w:sz w:val="18"/>
    </w:rPr>
  </w:style>
  <w:style w:type="paragraph" w:styleId="Footer">
    <w:name w:val="footer"/>
    <w:basedOn w:val="Normal"/>
    <w:link w:val="FooterChar"/>
    <w:uiPriority w:val="99"/>
    <w:rsid w:val="003579F2"/>
    <w:pPr>
      <w:tabs>
        <w:tab w:val="center" w:pos="4320"/>
        <w:tab w:val="right" w:pos="8640"/>
      </w:tabs>
    </w:pPr>
  </w:style>
  <w:style w:type="paragraph" w:customStyle="1" w:styleId="SPIEfigure">
    <w:name w:val="SPIE figure"/>
    <w:basedOn w:val="SPIEbodytext"/>
    <w:next w:val="SPIEfigurecaption"/>
    <w:rsid w:val="0031785E"/>
    <w:pPr>
      <w:keepNext/>
      <w:spacing w:before="120"/>
      <w:jc w:val="center"/>
    </w:pPr>
  </w:style>
  <w:style w:type="paragraph" w:customStyle="1" w:styleId="SPIEfigureright">
    <w:name w:val="SPIE figure right"/>
    <w:basedOn w:val="SPIEfigure"/>
    <w:rsid w:val="00266386"/>
    <w:pPr>
      <w:jc w:val="right"/>
    </w:pPr>
  </w:style>
  <w:style w:type="paragraph" w:customStyle="1" w:styleId="SPIEheader">
    <w:name w:val="SPIE header"/>
    <w:basedOn w:val="SPIEbodytext"/>
    <w:next w:val="SPIEbodytext"/>
    <w:rsid w:val="00C438AD"/>
    <w:pPr>
      <w:spacing w:after="0"/>
      <w:ind w:left="360" w:right="360"/>
      <w:jc w:val="left"/>
    </w:pPr>
    <w:rPr>
      <w:sz w:val="18"/>
      <w:szCs w:val="18"/>
    </w:rPr>
  </w:style>
  <w:style w:type="paragraph" w:customStyle="1" w:styleId="SPIEtablecaption">
    <w:name w:val="SPIE table caption"/>
    <w:basedOn w:val="SPIEfigurecaption"/>
    <w:link w:val="SPIEtablecaptionChar"/>
    <w:rsid w:val="000309E9"/>
  </w:style>
  <w:style w:type="character" w:customStyle="1" w:styleId="SPIEtablecaptionChar">
    <w:name w:val="SPIE table caption Char"/>
    <w:link w:val="SPIEtablecaption"/>
    <w:rsid w:val="000166EA"/>
    <w:rPr>
      <w:sz w:val="18"/>
      <w:lang w:val="en-US" w:eastAsia="en-US" w:bidi="ar-SA"/>
    </w:rPr>
  </w:style>
  <w:style w:type="paragraph" w:customStyle="1" w:styleId="SPIEListBullet2">
    <w:name w:val="SPIE List Bullet 2"/>
    <w:basedOn w:val="SPIEbodytext"/>
    <w:rsid w:val="003611D5"/>
    <w:pPr>
      <w:numPr>
        <w:numId w:val="2"/>
      </w:numPr>
    </w:pPr>
  </w:style>
  <w:style w:type="paragraph" w:customStyle="1" w:styleId="SPIEabstractbodytext">
    <w:name w:val="SPIE abstract body text"/>
    <w:basedOn w:val="SPIEbodytext"/>
    <w:link w:val="SPIEabstractbodytextCharChar"/>
    <w:rsid w:val="004A400F"/>
  </w:style>
  <w:style w:type="character" w:customStyle="1" w:styleId="SPIEabstractbodytextCharChar">
    <w:name w:val="SPIE abstract body text Char Char"/>
    <w:link w:val="SPIEabstractbodytext"/>
    <w:rsid w:val="00CD4EFF"/>
    <w:rPr>
      <w:szCs w:val="24"/>
      <w:lang w:val="en-US" w:eastAsia="en-US" w:bidi="ar-SA"/>
    </w:rPr>
  </w:style>
  <w:style w:type="paragraph" w:styleId="BalloonText">
    <w:name w:val="Balloon Text"/>
    <w:basedOn w:val="Normal"/>
    <w:semiHidden/>
    <w:rsid w:val="00E00703"/>
    <w:rPr>
      <w:rFonts w:ascii="Tahoma" w:hAnsi="Tahoma" w:cs="Tahoma"/>
      <w:sz w:val="16"/>
      <w:szCs w:val="16"/>
    </w:rPr>
  </w:style>
  <w:style w:type="paragraph" w:customStyle="1" w:styleId="SPIEkeywordsbold">
    <w:name w:val="SPIE keywords bold"/>
    <w:basedOn w:val="Keywords"/>
    <w:rsid w:val="000166EA"/>
    <w:rPr>
      <w:b/>
      <w:bCs/>
    </w:rPr>
  </w:style>
  <w:style w:type="paragraph" w:customStyle="1" w:styleId="StyleSPIEfigurecaption">
    <w:name w:val="Style SPIE figure caption"/>
    <w:basedOn w:val="SPIEfigurecaption"/>
    <w:rsid w:val="000166EA"/>
    <w:pPr>
      <w:jc w:val="both"/>
    </w:pPr>
  </w:style>
  <w:style w:type="character" w:styleId="CommentReference">
    <w:name w:val="annotation reference"/>
    <w:semiHidden/>
    <w:rsid w:val="0019055E"/>
    <w:rPr>
      <w:sz w:val="16"/>
      <w:szCs w:val="16"/>
    </w:rPr>
  </w:style>
  <w:style w:type="paragraph" w:styleId="CommentText">
    <w:name w:val="annotation text"/>
    <w:basedOn w:val="Normal"/>
    <w:semiHidden/>
    <w:rsid w:val="0019055E"/>
    <w:rPr>
      <w:szCs w:val="20"/>
    </w:rPr>
  </w:style>
  <w:style w:type="paragraph" w:styleId="CommentSubject">
    <w:name w:val="annotation subject"/>
    <w:basedOn w:val="CommentText"/>
    <w:next w:val="CommentText"/>
    <w:semiHidden/>
    <w:rsid w:val="0019055E"/>
    <w:rPr>
      <w:b/>
      <w:bCs/>
    </w:rPr>
  </w:style>
  <w:style w:type="character" w:customStyle="1" w:styleId="body31">
    <w:name w:val="body31"/>
    <w:rsid w:val="004E1F48"/>
    <w:rPr>
      <w:rFonts w:ascii="Verdana" w:hAnsi="Verdana" w:hint="default"/>
      <w:color w:val="000000"/>
      <w:sz w:val="13"/>
      <w:szCs w:val="13"/>
    </w:rPr>
  </w:style>
  <w:style w:type="character" w:styleId="FollowedHyperlink">
    <w:name w:val="FollowedHyperlink"/>
    <w:rsid w:val="00E14BFF"/>
    <w:rPr>
      <w:color w:val="800080"/>
      <w:u w:val="single"/>
    </w:rPr>
  </w:style>
  <w:style w:type="table" w:styleId="TableGrid">
    <w:name w:val="Table Grid"/>
    <w:basedOn w:val="TableNormal"/>
    <w:rsid w:val="00361F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262961"/>
    <w:rPr>
      <w:b/>
      <w:bCs/>
    </w:rPr>
  </w:style>
  <w:style w:type="paragraph" w:styleId="EndnoteText">
    <w:name w:val="endnote text"/>
    <w:basedOn w:val="Normal"/>
    <w:link w:val="EndnoteTextChar"/>
    <w:rsid w:val="000C04F5"/>
    <w:rPr>
      <w:szCs w:val="20"/>
    </w:rPr>
  </w:style>
  <w:style w:type="character" w:customStyle="1" w:styleId="EndnoteTextChar">
    <w:name w:val="Endnote Text Char"/>
    <w:basedOn w:val="DefaultParagraphFont"/>
    <w:link w:val="EndnoteText"/>
    <w:rsid w:val="000C04F5"/>
  </w:style>
  <w:style w:type="character" w:styleId="EndnoteReference">
    <w:name w:val="endnote reference"/>
    <w:rsid w:val="000C04F5"/>
    <w:rPr>
      <w:vertAlign w:val="superscript"/>
    </w:rPr>
  </w:style>
  <w:style w:type="character" w:customStyle="1" w:styleId="HeaderChar">
    <w:name w:val="Header Char"/>
    <w:link w:val="Header"/>
    <w:uiPriority w:val="99"/>
    <w:rsid w:val="004830EA"/>
    <w:rPr>
      <w:rFonts w:ascii="Times" w:hAnsi="Times"/>
      <w:sz w:val="24"/>
    </w:rPr>
  </w:style>
  <w:style w:type="character" w:customStyle="1" w:styleId="FooterChar">
    <w:name w:val="Footer Char"/>
    <w:link w:val="Footer"/>
    <w:uiPriority w:val="99"/>
    <w:rsid w:val="004830EA"/>
    <w:rPr>
      <w:sz w:val="24"/>
      <w:szCs w:val="24"/>
    </w:rPr>
  </w:style>
  <w:style w:type="character" w:styleId="UnresolvedMention">
    <w:name w:val="Unresolved Mention"/>
    <w:basedOn w:val="DefaultParagraphFont"/>
    <w:uiPriority w:val="99"/>
    <w:semiHidden/>
    <w:unhideWhenUsed/>
    <w:rsid w:val="00C842E7"/>
    <w:rPr>
      <w:color w:val="605E5C"/>
      <w:shd w:val="clear" w:color="auto" w:fill="E1DFDD"/>
    </w:rPr>
  </w:style>
  <w:style w:type="character" w:customStyle="1" w:styleId="ui-provider">
    <w:name w:val="ui-provider"/>
    <w:basedOn w:val="DefaultParagraphFont"/>
    <w:rsid w:val="00BA631F"/>
  </w:style>
  <w:style w:type="paragraph" w:styleId="ListParagraph">
    <w:name w:val="List Paragraph"/>
    <w:aliases w:val="Reference List"/>
    <w:basedOn w:val="Normal"/>
    <w:uiPriority w:val="34"/>
    <w:qFormat/>
    <w:rsid w:val="003D6701"/>
    <w:pPr>
      <w:numPr>
        <w:numId w:val="7"/>
      </w:numPr>
      <w:ind w:left="360"/>
      <w:contextualSpacing/>
    </w:pPr>
  </w:style>
  <w:style w:type="paragraph" w:styleId="Subtitle">
    <w:name w:val="Subtitle"/>
    <w:aliases w:val="Captions and Footnotes"/>
    <w:basedOn w:val="Normal"/>
    <w:next w:val="Normal"/>
    <w:link w:val="SubtitleChar"/>
    <w:rsid w:val="005B6525"/>
    <w:pPr>
      <w:numPr>
        <w:ilvl w:val="1"/>
      </w:numPr>
      <w:spacing w:after="160"/>
      <w:ind w:left="720"/>
    </w:pPr>
    <w:rPr>
      <w:rFonts w:eastAsiaTheme="minorEastAsia" w:cstheme="minorBidi"/>
      <w:spacing w:val="15"/>
      <w:sz w:val="18"/>
      <w:szCs w:val="22"/>
    </w:rPr>
  </w:style>
  <w:style w:type="character" w:customStyle="1" w:styleId="SubtitleChar">
    <w:name w:val="Subtitle Char"/>
    <w:aliases w:val="Captions and Footnotes Char"/>
    <w:basedOn w:val="DefaultParagraphFont"/>
    <w:link w:val="Subtitle"/>
    <w:rsid w:val="005B6525"/>
    <w:rPr>
      <w:rFonts w:eastAsiaTheme="minorEastAsia" w:cstheme="minorBidi"/>
      <w:spacing w:val="15"/>
      <w:sz w:val="18"/>
      <w:szCs w:val="22"/>
      <w:lang w:eastAsia="en-US"/>
    </w:rPr>
  </w:style>
  <w:style w:type="paragraph" w:styleId="Title">
    <w:name w:val="Title"/>
    <w:basedOn w:val="Normal"/>
    <w:next w:val="Normal"/>
    <w:link w:val="TitleChar"/>
    <w:qFormat/>
    <w:rsid w:val="00C37175"/>
    <w:pPr>
      <w:contextualSpacing/>
      <w:jc w:val="center"/>
    </w:pPr>
    <w:rPr>
      <w:rFonts w:eastAsiaTheme="majorEastAsia" w:cstheme="majorBidi"/>
      <w:b/>
      <w:spacing w:val="-10"/>
      <w:kern w:val="28"/>
      <w:sz w:val="32"/>
      <w:szCs w:val="56"/>
    </w:rPr>
  </w:style>
  <w:style w:type="character" w:customStyle="1" w:styleId="TitleChar">
    <w:name w:val="Title Char"/>
    <w:basedOn w:val="DefaultParagraphFont"/>
    <w:link w:val="Title"/>
    <w:rsid w:val="00C37175"/>
    <w:rPr>
      <w:rFonts w:eastAsiaTheme="majorEastAsia" w:cstheme="majorBidi"/>
      <w:b/>
      <w:spacing w:val="-10"/>
      <w:kern w:val="28"/>
      <w:sz w:val="32"/>
      <w:szCs w:val="56"/>
      <w:lang w:eastAsia="en-US"/>
    </w:rPr>
  </w:style>
  <w:style w:type="paragraph" w:customStyle="1" w:styleId="Subtitles">
    <w:name w:val="Subtitles"/>
    <w:aliases w:val="SPIE captions and footnotes"/>
    <w:basedOn w:val="SPIEfigurecaption"/>
    <w:link w:val="SubtitlesChar"/>
    <w:qFormat/>
    <w:rsid w:val="005B6525"/>
  </w:style>
  <w:style w:type="character" w:customStyle="1" w:styleId="SubtitlesChar">
    <w:name w:val="Subtitles Char"/>
    <w:aliases w:val="SPIE captions and footnotes Char"/>
    <w:basedOn w:val="SPIEfigurecaptionChar"/>
    <w:link w:val="Subtitles"/>
    <w:rsid w:val="005B6525"/>
    <w:rPr>
      <w:sz w:val="18"/>
      <w:lang w:val="en-US" w:eastAsia="en-US" w:bidi="ar-SA"/>
    </w:rPr>
  </w:style>
  <w:style w:type="character" w:styleId="PlaceholderText">
    <w:name w:val="Placeholder Text"/>
    <w:basedOn w:val="DefaultParagraphFont"/>
    <w:uiPriority w:val="99"/>
    <w:semiHidden/>
    <w:rsid w:val="0007466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6693157">
      <w:bodyDiv w:val="1"/>
      <w:marLeft w:val="0"/>
      <w:marRight w:val="0"/>
      <w:marTop w:val="120"/>
      <w:marBottom w:val="120"/>
      <w:divBdr>
        <w:top w:val="none" w:sz="0" w:space="0" w:color="auto"/>
        <w:left w:val="none" w:sz="0" w:space="0" w:color="auto"/>
        <w:bottom w:val="none" w:sz="0" w:space="0" w:color="auto"/>
        <w:right w:val="none" w:sz="0" w:space="0" w:color="auto"/>
      </w:divBdr>
      <w:divsChild>
        <w:div w:id="1091051735">
          <w:marLeft w:val="0"/>
          <w:marRight w:val="0"/>
          <w:marTop w:val="100"/>
          <w:marBottom w:val="100"/>
          <w:divBdr>
            <w:top w:val="none" w:sz="0" w:space="0" w:color="auto"/>
            <w:left w:val="none" w:sz="0" w:space="0" w:color="auto"/>
            <w:bottom w:val="none" w:sz="0" w:space="0" w:color="auto"/>
            <w:right w:val="none" w:sz="0" w:space="0" w:color="auto"/>
          </w:divBdr>
          <w:divsChild>
            <w:div w:id="266691919">
              <w:marLeft w:val="144"/>
              <w:marRight w:val="144"/>
              <w:marTop w:val="96"/>
              <w:marBottom w:val="216"/>
              <w:divBdr>
                <w:top w:val="none" w:sz="0" w:space="0" w:color="auto"/>
                <w:left w:val="none" w:sz="0" w:space="0" w:color="auto"/>
                <w:bottom w:val="none" w:sz="0" w:space="0" w:color="auto"/>
                <w:right w:val="none" w:sz="0" w:space="0" w:color="auto"/>
              </w:divBdr>
              <w:divsChild>
                <w:div w:id="665476256">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yperlink" Target="https://doi.org/10.2151/sola.2025-031" TargetMode="External"/><Relationship Id="rId39" Type="http://schemas.openxmlformats.org/officeDocument/2006/relationships/hyperlink" Target="https://doi.org/10.3390/s20051492" TargetMode="External"/><Relationship Id="rId21" Type="http://schemas.openxmlformats.org/officeDocument/2006/relationships/image" Target="media/image14.png"/><Relationship Id="rId34" Type="http://schemas.openxmlformats.org/officeDocument/2006/relationships/hyperlink" Target="https://doi.org/10.5194/amt-7-4367-2014"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doi.org/10.1002/2013JD020344"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175/BAMS-D-16-0065.1" TargetMode="External"/><Relationship Id="rId32" Type="http://schemas.openxmlformats.org/officeDocument/2006/relationships/hyperlink" Target="https://www-cdn.eumetsat.int/files/2023-10/7.%20Francesc%20Lucas%20Carbo%2012.15.pdf" TargetMode="External"/><Relationship Id="rId37" Type="http://schemas.openxmlformats.org/officeDocument/2006/relationships/hyperlink" Target="https://doi.org/10.1175/1520-0450(2001)040%3C0365:AOPCAT%3E2.0.CO;2" TargetMode="External"/><Relationship Id="rId40" Type="http://schemas.openxmlformats.org/officeDocument/2006/relationships/hyperlink" Target="https://user.eumetsat.int/data/satellites/meteosat-third-generation/resources"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oi.org/10.1117/12.2599240" TargetMode="External"/><Relationship Id="rId28" Type="http://schemas.openxmlformats.org/officeDocument/2006/relationships/hyperlink" Target="https://doi.org/10.1109/TGRS.2019.2963085" TargetMode="External"/><Relationship Id="rId36" Type="http://schemas.openxmlformats.org/officeDocument/2006/relationships/hyperlink" Target="https://doi.org/10.1038/s41586-018-0747-1" TargetMode="Externa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hyperlink" Target="https://user.eumetsat.int/s3/eup-strapi-media/pdf_mtg_eurd_d7b503ecc4.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doi.org/10.1175/BAMS-D-19-0304.1" TargetMode="External"/><Relationship Id="rId27" Type="http://schemas.openxmlformats.org/officeDocument/2006/relationships/hyperlink" Target="https://doi.org/10.5194/acp-9-6041-2009" TargetMode="External"/><Relationship Id="rId30" Type="http://schemas.openxmlformats.org/officeDocument/2006/relationships/hyperlink" Target="https://user.eumetsat.int/s3/ope-eup-strapi-media/MTG_S_IRS_Science_Plan_47145497b0.pdf" TargetMode="External"/><Relationship Id="rId35" Type="http://schemas.openxmlformats.org/officeDocument/2006/relationships/hyperlink" Target="https://user.eumetsat.int/resources/user-guides/mtg-irs-level-1-data-guide"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nesdis.noaa.gov/our-satellites/future-programs/geoxo/geoxo-infrared-sounding" TargetMode="External"/><Relationship Id="rId33" Type="http://schemas.openxmlformats.org/officeDocument/2006/relationships/hyperlink" Target="https://www.eumetsat.int/features/see-earths-atmosphere-never" TargetMode="External"/><Relationship Id="rId38" Type="http://schemas.openxmlformats.org/officeDocument/2006/relationships/hyperlink" Target="https://doi.org/10.1016/j.jqsrt.2017.10.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812B7-1334-4B46-8F96-31B639F11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3985</Words>
  <Characters>22720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Sample manuscript showing specifications and style</vt:lpstr>
    </vt:vector>
  </TitlesOfParts>
  <Company>SPIE</Company>
  <LinksUpToDate>false</LinksUpToDate>
  <CharactersWithSpaces>26652</CharactersWithSpaces>
  <SharedDoc>false</SharedDoc>
  <HLinks>
    <vt:vector size="30" baseType="variant">
      <vt:variant>
        <vt:i4>8323197</vt:i4>
      </vt:variant>
      <vt:variant>
        <vt:i4>27</vt:i4>
      </vt:variant>
      <vt:variant>
        <vt:i4>0</vt:i4>
      </vt:variant>
      <vt:variant>
        <vt:i4>5</vt:i4>
      </vt:variant>
      <vt:variant>
        <vt:lpwstr>http://www.optics4yurresearch.com/7752.html</vt:lpwstr>
      </vt:variant>
      <vt:variant>
        <vt:lpwstr/>
      </vt:variant>
      <vt:variant>
        <vt:i4>4259958</vt:i4>
      </vt:variant>
      <vt:variant>
        <vt:i4>24</vt:i4>
      </vt:variant>
      <vt:variant>
        <vt:i4>0</vt:i4>
      </vt:variant>
      <vt:variant>
        <vt:i4>5</vt:i4>
      </vt:variant>
      <vt:variant>
        <vt:lpwstr>mailto:authorhelp@spie.org</vt:lpwstr>
      </vt:variant>
      <vt:variant>
        <vt:lpwstr/>
      </vt:variant>
      <vt:variant>
        <vt:i4>6750251</vt:i4>
      </vt:variant>
      <vt:variant>
        <vt:i4>21</vt:i4>
      </vt:variant>
      <vt:variant>
        <vt:i4>0</vt:i4>
      </vt:variant>
      <vt:variant>
        <vt:i4>5</vt:i4>
      </vt:variant>
      <vt:variant>
        <vt:lpwstr>http://spie.org/x14101.xml</vt:lpwstr>
      </vt:variant>
      <vt:variant>
        <vt:lpwstr/>
      </vt:variant>
      <vt:variant>
        <vt:i4>7667767</vt:i4>
      </vt:variant>
      <vt:variant>
        <vt:i4>9</vt:i4>
      </vt:variant>
      <vt:variant>
        <vt:i4>0</vt:i4>
      </vt:variant>
      <vt:variant>
        <vt:i4>5</vt:i4>
      </vt:variant>
      <vt:variant>
        <vt:lpwstr>http://dx.doi.org/doi.number.goes.here</vt:lpwstr>
      </vt:variant>
      <vt:variant>
        <vt:lpwstr/>
      </vt:variant>
      <vt:variant>
        <vt:i4>7667767</vt:i4>
      </vt:variant>
      <vt:variant>
        <vt:i4>3</vt:i4>
      </vt:variant>
      <vt:variant>
        <vt:i4>0</vt:i4>
      </vt:variant>
      <vt:variant>
        <vt:i4>5</vt:i4>
      </vt:variant>
      <vt:variant>
        <vt:lpwstr>http://dx.doi.org/doi.number.goes.here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manuscript showing specifications and style</dc:title>
  <dc:subject/>
  <dc:creator>mattn</dc:creator>
  <cp:keywords/>
  <cp:lastModifiedBy>Pierre Dussarrat</cp:lastModifiedBy>
  <cp:revision>2</cp:revision>
  <cp:lastPrinted>2023-08-08T17:56:00Z</cp:lastPrinted>
  <dcterms:created xsi:type="dcterms:W3CDTF">2026-08-31T08:32:00Z</dcterms:created>
  <dcterms:modified xsi:type="dcterms:W3CDTF">2026-08-31T08:32:00Z</dcterms:modified>
</cp:coreProperties>
</file>