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72CBB" w14:textId="5D692DEB" w:rsidR="00E272EB" w:rsidRPr="00614BDE" w:rsidRDefault="0005453D"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Factors Influencing the Development Time from TRL4 to TRL8 for CubeSat Subsystems at a University</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628C61D1" w:rsidR="00E272EB" w:rsidRPr="00614BDE" w:rsidRDefault="0005453D"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Evelyn Honoré-Livermore</w:t>
      </w:r>
      <w:r w:rsidR="00E272EB" w:rsidRPr="00614BDE">
        <w:rPr>
          <w:rFonts w:ascii="Arial" w:eastAsia="Arial Unicode MS" w:hAnsi="Arial" w:cs="Arial"/>
          <w:i/>
          <w:color w:val="000000" w:themeColor="text1"/>
          <w:spacing w:val="-2"/>
          <w:sz w:val="20"/>
          <w:vertAlign w:val="superscript"/>
          <w:lang w:val="en-GB"/>
        </w:rPr>
        <w:t>1</w:t>
      </w:r>
      <w:r w:rsidR="007208A1">
        <w:rPr>
          <w:rFonts w:ascii="Arial" w:eastAsia="Arial Unicode MS" w:hAnsi="Arial" w:cs="Arial"/>
          <w:i/>
          <w:color w:val="000000" w:themeColor="text1"/>
          <w:spacing w:val="-2"/>
          <w:sz w:val="20"/>
          <w:vertAlign w:val="superscript"/>
          <w:lang w:val="en-GB"/>
        </w:rPr>
        <w:t>*</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E. F.</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Prentice</w:t>
      </w:r>
      <w:r>
        <w:rPr>
          <w:rFonts w:ascii="Arial" w:eastAsia="Arial Unicode MS" w:hAnsi="Arial" w:cs="Arial"/>
          <w:i/>
          <w:color w:val="000000" w:themeColor="text1"/>
          <w:spacing w:val="-2"/>
          <w:sz w:val="20"/>
          <w:vertAlign w:val="superscript"/>
          <w:lang w:val="en-GB"/>
        </w:rPr>
        <w:t>1</w:t>
      </w:r>
      <w:r w:rsidR="0021043A" w:rsidRPr="00614BDE">
        <w:rPr>
          <w:rFonts w:ascii="Arial" w:eastAsia="Arial Unicode MS" w:hAnsi="Arial" w:cs="Arial"/>
          <w:i/>
          <w:color w:val="000000" w:themeColor="text1"/>
          <w:spacing w:val="-2"/>
          <w:sz w:val="20"/>
          <w:lang w:val="en-GB"/>
        </w:rPr>
        <w:t xml:space="preserve">, </w:t>
      </w:r>
      <w:r w:rsidR="00117AC1">
        <w:rPr>
          <w:rFonts w:ascii="Arial" w:eastAsia="Arial Unicode MS" w:hAnsi="Arial" w:cs="Arial"/>
          <w:i/>
          <w:color w:val="000000" w:themeColor="text1"/>
          <w:spacing w:val="-2"/>
          <w:sz w:val="20"/>
          <w:lang w:val="en-GB"/>
        </w:rPr>
        <w:t>S. Bakken</w:t>
      </w:r>
      <w:r>
        <w:rPr>
          <w:rFonts w:ascii="Arial" w:eastAsia="Arial Unicode MS" w:hAnsi="Arial" w:cs="Arial"/>
          <w:i/>
          <w:color w:val="000000" w:themeColor="text1"/>
          <w:spacing w:val="-2"/>
          <w:sz w:val="20"/>
          <w:vertAlign w:val="superscript"/>
          <w:lang w:val="en-GB"/>
        </w:rPr>
        <w:t>1</w:t>
      </w:r>
      <w:r w:rsidR="0021043A" w:rsidRPr="00614BDE">
        <w:rPr>
          <w:rFonts w:ascii="Arial" w:eastAsia="Arial Unicode MS" w:hAnsi="Arial" w:cs="Arial"/>
          <w:i/>
          <w:color w:val="000000" w:themeColor="text1"/>
          <w:spacing w:val="-2"/>
          <w:sz w:val="20"/>
          <w:lang w:val="en-GB"/>
        </w:rPr>
        <w:t>.</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45252500"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05453D">
        <w:rPr>
          <w:rFonts w:ascii="Arial" w:eastAsia="Arial Unicode MS" w:hAnsi="Arial" w:cs="Arial"/>
          <w:i/>
          <w:color w:val="000000" w:themeColor="text1"/>
          <w:spacing w:val="-2"/>
          <w:sz w:val="20"/>
          <w:lang w:val="en-GB"/>
        </w:rPr>
        <w:t>Norwegian University of Science and Technology, Trondheim, Norway</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 </w:t>
      </w:r>
      <w:r w:rsidR="007208A1">
        <w:rPr>
          <w:rFonts w:ascii="Arial" w:eastAsia="Arial Unicode MS" w:hAnsi="Arial" w:cs="Arial"/>
          <w:i/>
          <w:color w:val="000000" w:themeColor="text1"/>
          <w:spacing w:val="-2"/>
          <w:sz w:val="20"/>
          <w:lang w:val="en-GB"/>
        </w:rPr>
        <w:t xml:space="preserve"> </w:t>
      </w:r>
      <w:hyperlink r:id="rId10" w:history="1">
        <w:r w:rsidR="0005453D">
          <w:rPr>
            <w:rStyle w:val="Hyperlink"/>
            <w:rFonts w:ascii="Arial" w:eastAsia="Arial Unicode MS" w:hAnsi="Arial" w:cs="Arial"/>
            <w:i/>
            <w:spacing w:val="-2"/>
            <w:sz w:val="20"/>
            <w:lang w:val="en-GB"/>
          </w:rPr>
          <w:t>evelyn.livermore@ntnu.no</w:t>
        </w:r>
      </w:hyperlink>
      <w:r w:rsidR="007208A1">
        <w:rPr>
          <w:rFonts w:ascii="Arial" w:eastAsia="Arial Unicode MS" w:hAnsi="Arial" w:cs="Arial"/>
          <w:i/>
          <w:color w:val="000000" w:themeColor="text1"/>
          <w:spacing w:val="-2"/>
          <w:sz w:val="20"/>
          <w:lang w:val="en-GB"/>
        </w:rPr>
        <w:t xml:space="preserve"> </w:t>
      </w:r>
    </w:p>
    <w:p w14:paraId="3141D88D" w14:textId="3D0941D9"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64C37764" w14:textId="53B84857" w:rsidR="00D816B4" w:rsidRDefault="000105F6" w:rsidP="00207D4B">
      <w:pPr>
        <w:tabs>
          <w:tab w:val="left" w:pos="-720"/>
          <w:tab w:val="left" w:pos="0"/>
          <w:tab w:val="left" w:pos="3600"/>
        </w:tabs>
        <w:spacing w:after="120"/>
        <w:jc w:val="both"/>
        <w:rPr>
          <w:rFonts w:ascii="Arial" w:eastAsia="Arial Unicode MS" w:hAnsi="Arial" w:cs="Arial"/>
          <w:b/>
          <w:color w:val="000000" w:themeColor="text1"/>
          <w:spacing w:val="-2"/>
          <w:sz w:val="20"/>
          <w:lang w:val="en-GB"/>
        </w:rPr>
      </w:pPr>
      <w:r>
        <w:rPr>
          <w:rFonts w:ascii="Arial" w:eastAsia="Arial Unicode MS" w:hAnsi="Arial" w:cs="Arial"/>
          <w:color w:val="000000" w:themeColor="text1"/>
          <w:spacing w:val="-2"/>
          <w:sz w:val="20"/>
          <w:lang w:val="en-GB"/>
        </w:rPr>
        <w:t xml:space="preserve">CubeSat projects at university have gained tremendous popularity the past decades. The objectives of the projects have been two-fold, providing experience of space systems and project to students, and providing scientific data from CubeSat </w:t>
      </w:r>
      <w:r w:rsidR="008A5ECE">
        <w:rPr>
          <w:rFonts w:ascii="Arial" w:eastAsia="Arial Unicode MS" w:hAnsi="Arial" w:cs="Arial"/>
          <w:color w:val="000000" w:themeColor="text1"/>
          <w:spacing w:val="-2"/>
          <w:sz w:val="20"/>
          <w:lang w:val="en-GB"/>
        </w:rPr>
        <w:t xml:space="preserve">missions </w:t>
      </w:r>
      <w:r>
        <w:rPr>
          <w:rFonts w:ascii="Arial" w:eastAsia="Arial Unicode MS" w:hAnsi="Arial" w:cs="Arial"/>
          <w:color w:val="000000" w:themeColor="text1"/>
          <w:spacing w:val="-2"/>
          <w:sz w:val="20"/>
          <w:lang w:val="en-GB"/>
        </w:rPr>
        <w:t xml:space="preserve">such as Earth Observation. Some of the challenges these projects experience </w:t>
      </w:r>
      <w:proofErr w:type="gramStart"/>
      <w:r>
        <w:rPr>
          <w:rFonts w:ascii="Arial" w:eastAsia="Arial Unicode MS" w:hAnsi="Arial" w:cs="Arial"/>
          <w:color w:val="000000" w:themeColor="text1"/>
          <w:spacing w:val="-2"/>
          <w:sz w:val="20"/>
          <w:lang w:val="en-GB"/>
        </w:rPr>
        <w:t>are</w:t>
      </w:r>
      <w:proofErr w:type="gramEnd"/>
      <w:r>
        <w:rPr>
          <w:rFonts w:ascii="Arial" w:eastAsia="Arial Unicode MS" w:hAnsi="Arial" w:cs="Arial"/>
          <w:color w:val="000000" w:themeColor="text1"/>
          <w:spacing w:val="-2"/>
          <w:sz w:val="20"/>
          <w:lang w:val="en-GB"/>
        </w:rPr>
        <w:t xml:space="preserve"> </w:t>
      </w:r>
      <w:r w:rsidR="00E531D7">
        <w:rPr>
          <w:rFonts w:ascii="Arial" w:eastAsia="Arial Unicode MS" w:hAnsi="Arial" w:cs="Arial"/>
          <w:color w:val="000000" w:themeColor="text1"/>
          <w:spacing w:val="-2"/>
          <w:sz w:val="20"/>
          <w:lang w:val="en-GB"/>
        </w:rPr>
        <w:t xml:space="preserve">project management; balancing coursework and satellite work; high turnover; and ensuring mission success [1]. These challenges result in cost or schedule </w:t>
      </w:r>
      <w:r w:rsidR="0092587F">
        <w:rPr>
          <w:rFonts w:ascii="Arial" w:eastAsia="Arial Unicode MS" w:hAnsi="Arial" w:cs="Arial"/>
          <w:color w:val="000000" w:themeColor="text1"/>
          <w:spacing w:val="-2"/>
          <w:sz w:val="20"/>
          <w:lang w:val="en-GB"/>
        </w:rPr>
        <w:t>overruns and</w:t>
      </w:r>
      <w:r w:rsidR="00E531D7">
        <w:rPr>
          <w:rFonts w:ascii="Arial" w:eastAsia="Arial Unicode MS" w:hAnsi="Arial" w:cs="Arial"/>
          <w:color w:val="000000" w:themeColor="text1"/>
          <w:spacing w:val="-2"/>
          <w:sz w:val="20"/>
          <w:lang w:val="en-GB"/>
        </w:rPr>
        <w:t xml:space="preserve"> </w:t>
      </w:r>
      <w:r w:rsidR="008A5ECE">
        <w:rPr>
          <w:rFonts w:ascii="Arial" w:eastAsia="Arial Unicode MS" w:hAnsi="Arial" w:cs="Arial"/>
          <w:color w:val="000000" w:themeColor="text1"/>
          <w:spacing w:val="-2"/>
          <w:sz w:val="20"/>
          <w:lang w:val="en-GB"/>
        </w:rPr>
        <w:t>add to the difficulty</w:t>
      </w:r>
      <w:r w:rsidR="00E531D7">
        <w:rPr>
          <w:rFonts w:ascii="Arial" w:eastAsia="Arial Unicode MS" w:hAnsi="Arial" w:cs="Arial"/>
          <w:color w:val="000000" w:themeColor="text1"/>
          <w:spacing w:val="-2"/>
          <w:sz w:val="20"/>
          <w:lang w:val="en-GB"/>
        </w:rPr>
        <w:t xml:space="preserve"> to manage and enable estimation of the development time of CubeSat subsystems at university. To </w:t>
      </w:r>
      <w:r w:rsidR="008A5ECE">
        <w:rPr>
          <w:rFonts w:ascii="Arial" w:eastAsia="Arial Unicode MS" w:hAnsi="Arial" w:cs="Arial"/>
          <w:color w:val="000000" w:themeColor="text1"/>
          <w:spacing w:val="-2"/>
          <w:sz w:val="20"/>
          <w:lang w:val="en-GB"/>
        </w:rPr>
        <w:t>achieve better estimates</w:t>
      </w:r>
      <w:r w:rsidR="00E531D7">
        <w:rPr>
          <w:rFonts w:ascii="Arial" w:eastAsia="Arial Unicode MS" w:hAnsi="Arial" w:cs="Arial"/>
          <w:color w:val="000000" w:themeColor="text1"/>
          <w:spacing w:val="-2"/>
          <w:sz w:val="20"/>
          <w:lang w:val="en-GB"/>
        </w:rPr>
        <w:t>, we first need to understand the factors influencing the development time.</w:t>
      </w:r>
      <w:r w:rsidR="00207D4B">
        <w:rPr>
          <w:rFonts w:ascii="Arial" w:eastAsia="Arial Unicode MS" w:hAnsi="Arial" w:cs="Arial"/>
          <w:color w:val="000000" w:themeColor="text1"/>
          <w:spacing w:val="-2"/>
          <w:sz w:val="20"/>
          <w:lang w:val="en-GB"/>
        </w:rPr>
        <w:t xml:space="preserve"> </w:t>
      </w:r>
    </w:p>
    <w:p w14:paraId="1B1F3A0D" w14:textId="2DDAC2FF" w:rsidR="00D816B4" w:rsidRDefault="00E531D7"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Case study</w:t>
      </w:r>
    </w:p>
    <w:p w14:paraId="2A35A72A" w14:textId="47DDEA5D" w:rsidR="00D816B4" w:rsidRDefault="00E531D7" w:rsidP="00D816B4">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We have followed a university CubeSat team from Phase 0/A to Phase D/E, in which the payload subsystem has been developed from Technology Readiness Level 4 (TRL4) to TRL8</w:t>
      </w:r>
      <w:r w:rsidR="00D816B4" w:rsidRPr="00D816B4">
        <w:rPr>
          <w:rFonts w:ascii="Arial" w:eastAsia="Arial Unicode MS" w:hAnsi="Arial" w:cs="Arial"/>
          <w:color w:val="000000" w:themeColor="text1"/>
          <w:spacing w:val="-2"/>
          <w:sz w:val="20"/>
          <w:lang w:val="en-GB"/>
        </w:rPr>
        <w:t>.</w:t>
      </w:r>
      <w:r w:rsidR="00DD70F5">
        <w:rPr>
          <w:rFonts w:ascii="Arial" w:eastAsia="Arial Unicode MS" w:hAnsi="Arial" w:cs="Arial"/>
          <w:color w:val="000000" w:themeColor="text1"/>
          <w:spacing w:val="-2"/>
          <w:sz w:val="20"/>
          <w:lang w:val="en-GB"/>
        </w:rPr>
        <w:t xml:space="preserve"> The payload includes both software and optomechanical hardware. The university CubeSat team consists of ~20 students and 6-8 Ph.D. and Post.Doc. fellows. </w:t>
      </w:r>
      <w:r w:rsidR="00F13E2D">
        <w:rPr>
          <w:rFonts w:ascii="Arial" w:eastAsia="Arial Unicode MS" w:hAnsi="Arial" w:cs="Arial"/>
          <w:color w:val="000000" w:themeColor="text1"/>
          <w:spacing w:val="-2"/>
          <w:sz w:val="20"/>
          <w:lang w:val="en-GB"/>
        </w:rPr>
        <w:t xml:space="preserve">The students join for 1-2 semesters as part of their thesis. </w:t>
      </w:r>
      <w:r w:rsidR="00DD70F5">
        <w:rPr>
          <w:rFonts w:ascii="Arial" w:eastAsia="Arial Unicode MS" w:hAnsi="Arial" w:cs="Arial"/>
          <w:color w:val="000000" w:themeColor="text1"/>
          <w:spacing w:val="-2"/>
          <w:sz w:val="20"/>
          <w:lang w:val="en-GB"/>
        </w:rPr>
        <w:t>The method used for the case study has been action research.</w:t>
      </w:r>
      <w:r w:rsidR="00207D4B">
        <w:rPr>
          <w:rFonts w:ascii="Arial" w:eastAsia="Arial Unicode MS" w:hAnsi="Arial" w:cs="Arial"/>
          <w:color w:val="000000" w:themeColor="text1"/>
          <w:spacing w:val="-2"/>
          <w:sz w:val="20"/>
          <w:lang w:val="en-GB"/>
        </w:rPr>
        <w:t xml:space="preserve"> </w:t>
      </w:r>
    </w:p>
    <w:p w14:paraId="0FB26175" w14:textId="5627E307" w:rsidR="00DD70F5" w:rsidRPr="00DD70F5" w:rsidRDefault="00DD70F5" w:rsidP="00DD70F5">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color w:val="000000" w:themeColor="text1"/>
          <w:spacing w:val="-2"/>
          <w:sz w:val="20"/>
          <w:lang w:val="en-GB"/>
        </w:rPr>
      </w:pPr>
      <w:r w:rsidRPr="00DD70F5">
        <w:rPr>
          <w:rFonts w:ascii="Arial" w:eastAsia="Arial Unicode MS" w:hAnsi="Arial" w:cs="Arial"/>
          <w:b/>
          <w:color w:val="000000" w:themeColor="text1"/>
          <w:spacing w:val="-2"/>
          <w:sz w:val="20"/>
          <w:lang w:val="en-GB"/>
        </w:rPr>
        <w:t>Findings</w:t>
      </w:r>
    </w:p>
    <w:p w14:paraId="3EB793CD" w14:textId="106E3922" w:rsidR="00676244" w:rsidRPr="00DD70F5" w:rsidRDefault="00DD70F5" w:rsidP="00DD70F5">
      <w:pPr>
        <w:tabs>
          <w:tab w:val="left" w:pos="-720"/>
          <w:tab w:val="num" w:pos="0"/>
          <w:tab w:val="left" w:pos="284"/>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The project started in 2017 with a planned launch in mid-2019. This schedule has been delayed at several project gateways, and we have identified different factors that influence the development time from this experience. </w:t>
      </w:r>
      <w:r w:rsidR="00676244">
        <w:rPr>
          <w:rFonts w:ascii="Arial" w:eastAsia="Arial Unicode MS" w:hAnsi="Arial" w:cs="Arial"/>
          <w:color w:val="000000" w:themeColor="text1"/>
          <w:spacing w:val="-2"/>
          <w:sz w:val="20"/>
          <w:lang w:val="en-GB"/>
        </w:rPr>
        <w:t xml:space="preserve">On one hand, the technical </w:t>
      </w:r>
      <w:r w:rsidR="008A5ECE">
        <w:rPr>
          <w:rFonts w:ascii="Arial" w:eastAsia="Arial Unicode MS" w:hAnsi="Arial" w:cs="Arial"/>
          <w:color w:val="000000" w:themeColor="text1"/>
          <w:spacing w:val="-2"/>
          <w:sz w:val="20"/>
          <w:lang w:val="en-GB"/>
        </w:rPr>
        <w:t xml:space="preserve">attributes </w:t>
      </w:r>
      <w:r w:rsidR="00676244">
        <w:rPr>
          <w:rFonts w:ascii="Arial" w:eastAsia="Arial Unicode MS" w:hAnsi="Arial" w:cs="Arial"/>
          <w:color w:val="000000" w:themeColor="text1"/>
          <w:spacing w:val="-2"/>
          <w:sz w:val="20"/>
          <w:lang w:val="en-GB"/>
        </w:rPr>
        <w:t xml:space="preserve">of the payload </w:t>
      </w:r>
      <w:r w:rsidR="008A5ECE">
        <w:rPr>
          <w:rFonts w:ascii="Arial" w:eastAsia="Arial Unicode MS" w:hAnsi="Arial" w:cs="Arial"/>
          <w:color w:val="000000" w:themeColor="text1"/>
          <w:spacing w:val="-2"/>
          <w:sz w:val="20"/>
          <w:lang w:val="en-GB"/>
        </w:rPr>
        <w:t xml:space="preserve">were </w:t>
      </w:r>
      <w:r w:rsidR="00676244">
        <w:rPr>
          <w:rFonts w:ascii="Arial" w:eastAsia="Arial Unicode MS" w:hAnsi="Arial" w:cs="Arial"/>
          <w:color w:val="000000" w:themeColor="text1"/>
          <w:spacing w:val="-2"/>
          <w:sz w:val="20"/>
          <w:lang w:val="en-GB"/>
        </w:rPr>
        <w:t>more challenging than anticipated. On the other hand, managing knowledge</w:t>
      </w:r>
      <w:r w:rsidR="008A5ECE">
        <w:rPr>
          <w:rFonts w:ascii="Arial" w:eastAsia="Arial Unicode MS" w:hAnsi="Arial" w:cs="Arial"/>
          <w:color w:val="000000" w:themeColor="text1"/>
          <w:spacing w:val="-2"/>
          <w:sz w:val="20"/>
          <w:lang w:val="en-GB"/>
        </w:rPr>
        <w:t xml:space="preserve"> collection and dissemination within</w:t>
      </w:r>
      <w:r w:rsidR="00676244">
        <w:rPr>
          <w:rFonts w:ascii="Arial" w:eastAsia="Arial Unicode MS" w:hAnsi="Arial" w:cs="Arial"/>
          <w:color w:val="000000" w:themeColor="text1"/>
          <w:spacing w:val="-2"/>
          <w:sz w:val="20"/>
          <w:lang w:val="en-GB"/>
        </w:rPr>
        <w:t xml:space="preserve"> the team has shown to be critical to ensure mission success. </w:t>
      </w:r>
      <w:r w:rsidR="00207D4B">
        <w:rPr>
          <w:rFonts w:ascii="Arial" w:eastAsia="Arial Unicode MS" w:hAnsi="Arial" w:cs="Arial"/>
          <w:color w:val="000000" w:themeColor="text1"/>
          <w:spacing w:val="-2"/>
          <w:sz w:val="20"/>
          <w:lang w:val="en-GB"/>
        </w:rPr>
        <w:t xml:space="preserve">While TRL is used to measure the maturity of the technology itself, the Integration Readiness Level (IRL) is just as important when developing subsystems, because they will be integrated to build the satellite system [2]. Our findings show that to achieve a higher IRL concurrently with a higher TRL, knowledge and interface management is essential. </w:t>
      </w:r>
    </w:p>
    <w:p w14:paraId="6B28E05C" w14:textId="216E305D" w:rsidR="001C07E6" w:rsidRPr="00DD70F5" w:rsidRDefault="00DD70F5" w:rsidP="00DD70F5">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color w:val="000000" w:themeColor="text1"/>
          <w:spacing w:val="-2"/>
          <w:sz w:val="20"/>
          <w:lang w:val="en-GB"/>
        </w:rPr>
      </w:pPr>
      <w:r>
        <w:rPr>
          <w:rFonts w:ascii="Arial" w:eastAsia="Arial Unicode MS" w:hAnsi="Arial" w:cs="Arial"/>
          <w:b/>
          <w:color w:val="000000" w:themeColor="text1"/>
          <w:spacing w:val="-2"/>
          <w:sz w:val="20"/>
          <w:lang w:val="en-GB"/>
        </w:rPr>
        <w:t>Conclusion</w:t>
      </w:r>
    </w:p>
    <w:p w14:paraId="1B4221F3" w14:textId="4BE4C806" w:rsidR="00DD70F5" w:rsidRPr="00DD70F5" w:rsidRDefault="0092587F" w:rsidP="00DD70F5">
      <w:pPr>
        <w:tabs>
          <w:tab w:val="left" w:pos="-720"/>
          <w:tab w:val="num" w:pos="0"/>
          <w:tab w:val="left" w:pos="284"/>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M</w:t>
      </w:r>
      <w:r w:rsidR="008A5ECE">
        <w:rPr>
          <w:rFonts w:ascii="Arial" w:eastAsia="Arial Unicode MS" w:hAnsi="Arial" w:cs="Arial"/>
          <w:color w:val="000000" w:themeColor="text1"/>
          <w:spacing w:val="-2"/>
          <w:sz w:val="20"/>
          <w:lang w:val="en-GB"/>
        </w:rPr>
        <w:t>anaging the development time and cost is important t</w:t>
      </w:r>
      <w:r w:rsidR="00DD70F5">
        <w:rPr>
          <w:rFonts w:ascii="Arial" w:eastAsia="Arial Unicode MS" w:hAnsi="Arial" w:cs="Arial"/>
          <w:color w:val="000000" w:themeColor="text1"/>
          <w:spacing w:val="-2"/>
          <w:sz w:val="20"/>
          <w:lang w:val="en-GB"/>
        </w:rPr>
        <w:t xml:space="preserve">o satisfy stakeholders and </w:t>
      </w:r>
      <w:r w:rsidR="008A5ECE">
        <w:rPr>
          <w:rFonts w:ascii="Arial" w:eastAsia="Arial Unicode MS" w:hAnsi="Arial" w:cs="Arial"/>
          <w:color w:val="000000" w:themeColor="text1"/>
          <w:spacing w:val="-2"/>
          <w:sz w:val="20"/>
          <w:lang w:val="en-GB"/>
        </w:rPr>
        <w:t xml:space="preserve">secure additional </w:t>
      </w:r>
      <w:r w:rsidR="00DD70F5">
        <w:rPr>
          <w:rFonts w:ascii="Arial" w:eastAsia="Arial Unicode MS" w:hAnsi="Arial" w:cs="Arial"/>
          <w:color w:val="000000" w:themeColor="text1"/>
          <w:spacing w:val="-2"/>
          <w:sz w:val="20"/>
          <w:lang w:val="en-GB"/>
        </w:rPr>
        <w:t xml:space="preserve">funding for university CubeSat projects. </w:t>
      </w:r>
      <w:r w:rsidR="008A5ECE">
        <w:rPr>
          <w:rFonts w:ascii="Arial" w:eastAsia="Arial Unicode MS" w:hAnsi="Arial" w:cs="Arial"/>
          <w:color w:val="000000" w:themeColor="text1"/>
          <w:spacing w:val="-2"/>
          <w:sz w:val="20"/>
          <w:lang w:val="en-GB"/>
        </w:rPr>
        <w:t xml:space="preserve">When </w:t>
      </w:r>
      <w:r w:rsidR="00DD70F5">
        <w:rPr>
          <w:rFonts w:ascii="Arial" w:eastAsia="Arial Unicode MS" w:hAnsi="Arial" w:cs="Arial"/>
          <w:color w:val="000000" w:themeColor="text1"/>
          <w:spacing w:val="-2"/>
          <w:sz w:val="20"/>
          <w:lang w:val="en-GB"/>
        </w:rPr>
        <w:t xml:space="preserve">projects are </w:t>
      </w:r>
      <w:r w:rsidR="008A5ECE">
        <w:rPr>
          <w:rFonts w:ascii="Arial" w:eastAsia="Arial Unicode MS" w:hAnsi="Arial" w:cs="Arial"/>
          <w:color w:val="000000" w:themeColor="text1"/>
          <w:spacing w:val="-2"/>
          <w:sz w:val="20"/>
          <w:lang w:val="en-GB"/>
        </w:rPr>
        <w:t>delayed</w:t>
      </w:r>
      <w:r w:rsidR="00DD70F5">
        <w:rPr>
          <w:rFonts w:ascii="Arial" w:eastAsia="Arial Unicode MS" w:hAnsi="Arial" w:cs="Arial"/>
          <w:color w:val="000000" w:themeColor="text1"/>
          <w:spacing w:val="-2"/>
          <w:sz w:val="20"/>
          <w:lang w:val="en-GB"/>
        </w:rPr>
        <w:t>, the funding may run out or be taken away.</w:t>
      </w:r>
      <w:r w:rsidR="006A6DB8">
        <w:rPr>
          <w:rFonts w:ascii="Arial" w:eastAsia="Arial Unicode MS" w:hAnsi="Arial" w:cs="Arial"/>
          <w:color w:val="000000" w:themeColor="text1"/>
          <w:spacing w:val="-2"/>
          <w:sz w:val="20"/>
          <w:lang w:val="en-GB"/>
        </w:rPr>
        <w:t xml:space="preserve"> </w:t>
      </w:r>
      <w:r w:rsidR="008A5ECE">
        <w:rPr>
          <w:rFonts w:ascii="Arial" w:eastAsia="Arial Unicode MS" w:hAnsi="Arial" w:cs="Arial"/>
          <w:color w:val="000000" w:themeColor="text1"/>
          <w:spacing w:val="-2"/>
          <w:sz w:val="20"/>
          <w:lang w:val="en-GB"/>
        </w:rPr>
        <w:t>Our experience indicates that t</w:t>
      </w:r>
      <w:r w:rsidR="006A6DB8">
        <w:rPr>
          <w:rFonts w:ascii="Arial" w:eastAsia="Arial Unicode MS" w:hAnsi="Arial" w:cs="Arial"/>
          <w:color w:val="000000" w:themeColor="text1"/>
          <w:spacing w:val="-2"/>
          <w:sz w:val="20"/>
          <w:lang w:val="en-GB"/>
        </w:rPr>
        <w:t xml:space="preserve">here are two </w:t>
      </w:r>
      <w:r w:rsidR="008A5ECE">
        <w:rPr>
          <w:rFonts w:ascii="Arial" w:eastAsia="Arial Unicode MS" w:hAnsi="Arial" w:cs="Arial"/>
          <w:color w:val="000000" w:themeColor="text1"/>
          <w:spacing w:val="-2"/>
          <w:sz w:val="20"/>
          <w:lang w:val="en-GB"/>
        </w:rPr>
        <w:t xml:space="preserve">critical factors </w:t>
      </w:r>
      <w:r w:rsidR="006A6DB8">
        <w:rPr>
          <w:rFonts w:ascii="Arial" w:eastAsia="Arial Unicode MS" w:hAnsi="Arial" w:cs="Arial"/>
          <w:color w:val="000000" w:themeColor="text1"/>
          <w:spacing w:val="-2"/>
          <w:sz w:val="20"/>
          <w:lang w:val="en-GB"/>
        </w:rPr>
        <w:t xml:space="preserve">that must be considered, namely the people and the management of the technology itself. </w:t>
      </w: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1C122043" w:rsidR="003F0AF8" w:rsidRDefault="003F0AF8" w:rsidP="000105F6">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[1] </w:t>
      </w:r>
      <w:proofErr w:type="spellStart"/>
      <w:r w:rsidR="000105F6" w:rsidRPr="000105F6">
        <w:rPr>
          <w:rFonts w:ascii="Arial" w:hAnsi="Arial" w:cs="Arial"/>
          <w:color w:val="000000" w:themeColor="text1"/>
          <w:sz w:val="20"/>
          <w:lang w:val="en-GB"/>
        </w:rPr>
        <w:t>Alminde</w:t>
      </w:r>
      <w:proofErr w:type="spellEnd"/>
      <w:r w:rsidR="000105F6" w:rsidRPr="000105F6">
        <w:rPr>
          <w:rFonts w:ascii="Arial" w:hAnsi="Arial" w:cs="Arial"/>
          <w:color w:val="000000" w:themeColor="text1"/>
          <w:sz w:val="20"/>
          <w:lang w:val="en-GB"/>
        </w:rPr>
        <w:t xml:space="preserve">, L., Bisgaard, M., Nielsen, J.D., and </w:t>
      </w:r>
      <w:proofErr w:type="spellStart"/>
      <w:r w:rsidR="000105F6" w:rsidRPr="000105F6">
        <w:rPr>
          <w:rFonts w:ascii="Arial" w:hAnsi="Arial" w:cs="Arial"/>
          <w:color w:val="000000" w:themeColor="text1"/>
          <w:sz w:val="20"/>
          <w:lang w:val="en-GB"/>
        </w:rPr>
        <w:t>Bhanderi</w:t>
      </w:r>
      <w:proofErr w:type="spellEnd"/>
      <w:r w:rsidR="000105F6" w:rsidRPr="000105F6">
        <w:rPr>
          <w:rFonts w:ascii="Arial" w:hAnsi="Arial" w:cs="Arial"/>
          <w:color w:val="000000" w:themeColor="text1"/>
          <w:sz w:val="20"/>
          <w:lang w:val="en-GB"/>
        </w:rPr>
        <w:t>, D.D.V.</w:t>
      </w:r>
      <w:r w:rsidR="00462A1C">
        <w:rPr>
          <w:rFonts w:ascii="Arial" w:hAnsi="Arial" w:cs="Arial"/>
          <w:color w:val="000000" w:themeColor="text1"/>
          <w:sz w:val="20"/>
          <w:lang w:val="en-GB"/>
        </w:rPr>
        <w:t>:</w:t>
      </w:r>
      <w:r w:rsidR="000105F6" w:rsidRPr="000105F6">
        <w:rPr>
          <w:rFonts w:ascii="Arial" w:hAnsi="Arial" w:cs="Arial"/>
          <w:color w:val="000000" w:themeColor="text1"/>
          <w:sz w:val="20"/>
          <w:lang w:val="en-GB"/>
        </w:rPr>
        <w:t xml:space="preserve"> Experience and methodology gained from 4 years of student satellite</w:t>
      </w:r>
      <w:r w:rsidR="00E531D7">
        <w:rPr>
          <w:rFonts w:ascii="Arial" w:hAnsi="Arial" w:cs="Arial"/>
          <w:color w:val="000000" w:themeColor="text1"/>
          <w:sz w:val="20"/>
          <w:lang w:val="en-GB"/>
        </w:rPr>
        <w:t xml:space="preserve"> </w:t>
      </w:r>
      <w:r w:rsidR="000105F6" w:rsidRPr="000105F6">
        <w:rPr>
          <w:rFonts w:ascii="Arial" w:hAnsi="Arial" w:cs="Arial"/>
          <w:color w:val="000000" w:themeColor="text1"/>
          <w:sz w:val="20"/>
          <w:lang w:val="en-GB"/>
        </w:rPr>
        <w:t>projects</w:t>
      </w:r>
      <w:r w:rsidR="00462A1C">
        <w:rPr>
          <w:rFonts w:ascii="Arial" w:hAnsi="Arial" w:cs="Arial"/>
          <w:color w:val="000000" w:themeColor="text1"/>
          <w:sz w:val="20"/>
          <w:lang w:val="en-GB"/>
        </w:rPr>
        <w:t>,</w:t>
      </w:r>
      <w:r w:rsidR="000105F6" w:rsidRPr="000105F6">
        <w:rPr>
          <w:rFonts w:ascii="Arial" w:hAnsi="Arial" w:cs="Arial"/>
          <w:color w:val="000000" w:themeColor="text1"/>
          <w:sz w:val="20"/>
          <w:lang w:val="en-GB"/>
        </w:rPr>
        <w:t xml:space="preserve"> Proceedings of 2nd International Conference on Recent Advances in Space Technologies 1: </w:t>
      </w:r>
      <w:r w:rsidR="00207D4B">
        <w:rPr>
          <w:rFonts w:ascii="Arial" w:hAnsi="Arial" w:cs="Arial"/>
          <w:color w:val="000000" w:themeColor="text1"/>
          <w:sz w:val="20"/>
          <w:lang w:val="en-GB"/>
        </w:rPr>
        <w:t xml:space="preserve">pp. </w:t>
      </w:r>
      <w:r w:rsidR="000105F6" w:rsidRPr="000105F6">
        <w:rPr>
          <w:rFonts w:ascii="Arial" w:hAnsi="Arial" w:cs="Arial"/>
          <w:color w:val="000000" w:themeColor="text1"/>
          <w:sz w:val="20"/>
          <w:lang w:val="en-GB"/>
        </w:rPr>
        <w:t>94-99</w:t>
      </w:r>
      <w:r w:rsidR="00462A1C">
        <w:rPr>
          <w:rFonts w:ascii="Arial" w:hAnsi="Arial" w:cs="Arial"/>
          <w:color w:val="000000" w:themeColor="text1"/>
          <w:sz w:val="20"/>
          <w:lang w:val="en-GB"/>
        </w:rPr>
        <w:t>, 2019.</w:t>
      </w:r>
    </w:p>
    <w:p w14:paraId="0C8E1846" w14:textId="2774DD76" w:rsidR="00207D4B" w:rsidRPr="00207D4B" w:rsidRDefault="00207D4B" w:rsidP="000105F6">
      <w:pPr>
        <w:pStyle w:val="NoSpacing"/>
        <w:jc w:val="both"/>
        <w:rPr>
          <w:rFonts w:ascii="Arial" w:hAnsi="Arial" w:cs="Arial"/>
          <w:color w:val="000000" w:themeColor="text1"/>
          <w:sz w:val="20"/>
          <w:lang w:val="en-US"/>
        </w:rPr>
      </w:pPr>
      <w:r w:rsidRPr="00207D4B">
        <w:rPr>
          <w:rFonts w:ascii="Arial" w:hAnsi="Arial" w:cs="Arial"/>
          <w:color w:val="000000" w:themeColor="text1"/>
          <w:sz w:val="20"/>
          <w:lang w:val="en-US"/>
        </w:rPr>
        <w:t xml:space="preserve">[2] Tompkins, Z., </w:t>
      </w:r>
      <w:proofErr w:type="spellStart"/>
      <w:r w:rsidRPr="00207D4B">
        <w:rPr>
          <w:rFonts w:ascii="Arial" w:hAnsi="Arial" w:cs="Arial"/>
          <w:color w:val="000000" w:themeColor="text1"/>
          <w:sz w:val="20"/>
          <w:lang w:val="en-US"/>
        </w:rPr>
        <w:t>Grenn</w:t>
      </w:r>
      <w:proofErr w:type="spellEnd"/>
      <w:r w:rsidRPr="00207D4B">
        <w:rPr>
          <w:rFonts w:ascii="Arial" w:hAnsi="Arial" w:cs="Arial"/>
          <w:color w:val="000000" w:themeColor="text1"/>
          <w:sz w:val="20"/>
          <w:lang w:val="en-US"/>
        </w:rPr>
        <w:t>, M., and R</w:t>
      </w:r>
      <w:r>
        <w:rPr>
          <w:rFonts w:ascii="Arial" w:hAnsi="Arial" w:cs="Arial"/>
          <w:color w:val="000000" w:themeColor="text1"/>
          <w:sz w:val="20"/>
          <w:lang w:val="en-US"/>
        </w:rPr>
        <w:t>obert, B.</w:t>
      </w:r>
      <w:r w:rsidR="00462A1C">
        <w:rPr>
          <w:rFonts w:ascii="Arial" w:hAnsi="Arial" w:cs="Arial"/>
          <w:color w:val="000000" w:themeColor="text1"/>
          <w:sz w:val="20"/>
          <w:lang w:val="en-US"/>
        </w:rPr>
        <w:t>:</w:t>
      </w:r>
      <w:r>
        <w:rPr>
          <w:rFonts w:ascii="Arial" w:hAnsi="Arial" w:cs="Arial"/>
          <w:color w:val="000000" w:themeColor="text1"/>
          <w:sz w:val="20"/>
          <w:lang w:val="en-US"/>
        </w:rPr>
        <w:t xml:space="preserve"> Improving System Maturity Assessments by Incorporating a Design Structure Matrix”, IEEE Transactions on Engineering Management, Vol. 67, No. 1: pp. 122-140</w:t>
      </w:r>
      <w:r w:rsidR="00462A1C">
        <w:rPr>
          <w:rFonts w:ascii="Arial" w:hAnsi="Arial" w:cs="Arial"/>
          <w:color w:val="000000" w:themeColor="text1"/>
          <w:sz w:val="20"/>
          <w:lang w:val="en-US"/>
        </w:rPr>
        <w:t>, 2020</w:t>
      </w:r>
      <w:r w:rsidR="00F13E2D">
        <w:rPr>
          <w:rFonts w:ascii="Arial" w:hAnsi="Arial" w:cs="Arial"/>
          <w:color w:val="000000" w:themeColor="text1"/>
          <w:sz w:val="20"/>
          <w:lang w:val="en-US"/>
        </w:rPr>
        <w:t>.</w:t>
      </w:r>
    </w:p>
    <w:p w14:paraId="5AFACA3E" w14:textId="4EE2370D" w:rsidR="006E2678" w:rsidRPr="00207D4B" w:rsidRDefault="006E2678" w:rsidP="0045005F">
      <w:pPr>
        <w:pStyle w:val="NoSpacing"/>
        <w:jc w:val="both"/>
        <w:rPr>
          <w:rFonts w:ascii="Arial" w:hAnsi="Arial" w:cs="Arial"/>
          <w:color w:val="000000" w:themeColor="text1"/>
          <w:sz w:val="20"/>
          <w:lang w:val="en-US"/>
        </w:rPr>
      </w:pPr>
    </w:p>
    <w:sectPr w:rsidR="006E2678" w:rsidRPr="00207D4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1F217" w14:textId="77777777" w:rsidR="00480291" w:rsidRDefault="00480291" w:rsidP="002B3D2E">
      <w:r>
        <w:separator/>
      </w:r>
    </w:p>
  </w:endnote>
  <w:endnote w:type="continuationSeparator" w:id="0">
    <w:p w14:paraId="11ED4D40" w14:textId="77777777" w:rsidR="00480291" w:rsidRDefault="00480291"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D6B29" w14:textId="77777777" w:rsidR="00DD70F5" w:rsidRDefault="00DD7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4691C" w14:textId="77777777" w:rsidR="00DD70F5" w:rsidRDefault="00DD7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64CC0" w14:textId="77777777" w:rsidR="00DD70F5" w:rsidRDefault="00DD7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99B38" w14:textId="77777777" w:rsidR="00480291" w:rsidRDefault="00480291" w:rsidP="002B3D2E">
      <w:r>
        <w:separator/>
      </w:r>
    </w:p>
  </w:footnote>
  <w:footnote w:type="continuationSeparator" w:id="0">
    <w:p w14:paraId="4A3F71F9" w14:textId="77777777" w:rsidR="00480291" w:rsidRDefault="00480291"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F93B2" w14:textId="77777777" w:rsidR="00DD70F5" w:rsidRDefault="00DD7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1BABF" w14:textId="77777777" w:rsidR="00DD70F5" w:rsidRDefault="00DD7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55B6BDB6"/>
    <w:lvl w:ilvl="0">
      <w:start w:val="1"/>
      <w:numFmt w:val="decimal"/>
      <w:lvlText w:val="%1."/>
      <w:lvlJc w:val="left"/>
      <w:pPr>
        <w:tabs>
          <w:tab w:val="num" w:pos="340"/>
        </w:tabs>
        <w:ind w:left="340" w:firstLine="0"/>
      </w:pPr>
      <w:rPr>
        <w:rFonts w:hint="default"/>
        <w:b/>
        <w:bCs/>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05F6"/>
    <w:rsid w:val="00013214"/>
    <w:rsid w:val="0005453D"/>
    <w:rsid w:val="00067049"/>
    <w:rsid w:val="001062A3"/>
    <w:rsid w:val="00117AC1"/>
    <w:rsid w:val="0016733A"/>
    <w:rsid w:val="001A2217"/>
    <w:rsid w:val="001B0137"/>
    <w:rsid w:val="001B7EB8"/>
    <w:rsid w:val="001C07E6"/>
    <w:rsid w:val="001C53CE"/>
    <w:rsid w:val="001E5A02"/>
    <w:rsid w:val="00207D4B"/>
    <w:rsid w:val="0021043A"/>
    <w:rsid w:val="002551C5"/>
    <w:rsid w:val="0027138A"/>
    <w:rsid w:val="002B0E94"/>
    <w:rsid w:val="002B3D2E"/>
    <w:rsid w:val="00346EF7"/>
    <w:rsid w:val="003621EB"/>
    <w:rsid w:val="003F0AF8"/>
    <w:rsid w:val="0045005F"/>
    <w:rsid w:val="00462A1C"/>
    <w:rsid w:val="004719BC"/>
    <w:rsid w:val="00480291"/>
    <w:rsid w:val="0050245D"/>
    <w:rsid w:val="005028D7"/>
    <w:rsid w:val="00530AD7"/>
    <w:rsid w:val="00614BDE"/>
    <w:rsid w:val="00635748"/>
    <w:rsid w:val="00676244"/>
    <w:rsid w:val="00676A0D"/>
    <w:rsid w:val="006809E1"/>
    <w:rsid w:val="006A6DB8"/>
    <w:rsid w:val="006D31EF"/>
    <w:rsid w:val="006E2678"/>
    <w:rsid w:val="007208A1"/>
    <w:rsid w:val="007728AF"/>
    <w:rsid w:val="00781FA5"/>
    <w:rsid w:val="007F2301"/>
    <w:rsid w:val="008220AB"/>
    <w:rsid w:val="0082622D"/>
    <w:rsid w:val="00832B01"/>
    <w:rsid w:val="008A5ECE"/>
    <w:rsid w:val="008D25F1"/>
    <w:rsid w:val="00910260"/>
    <w:rsid w:val="0092587F"/>
    <w:rsid w:val="00955D18"/>
    <w:rsid w:val="00963135"/>
    <w:rsid w:val="00970F68"/>
    <w:rsid w:val="009B09EE"/>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DD70F5"/>
    <w:rsid w:val="00E06F9E"/>
    <w:rsid w:val="00E272EB"/>
    <w:rsid w:val="00E531D7"/>
    <w:rsid w:val="00E70430"/>
    <w:rsid w:val="00E713CC"/>
    <w:rsid w:val="00EA719C"/>
    <w:rsid w:val="00EB4338"/>
    <w:rsid w:val="00ED24A9"/>
    <w:rsid w:val="00EF6107"/>
    <w:rsid w:val="00F13E2D"/>
    <w:rsid w:val="00F352AE"/>
    <w:rsid w:val="00FA17A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velyn.livermore@ntnu.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2.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Evelyn Livermore</cp:lastModifiedBy>
  <cp:revision>2</cp:revision>
  <dcterms:created xsi:type="dcterms:W3CDTF">2020-06-02T11:14:00Z</dcterms:created>
  <dcterms:modified xsi:type="dcterms:W3CDTF">2020-06-02T11:14:00Z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