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154B0" w14:textId="3F9A7D5D" w:rsidR="00FF618A" w:rsidRDefault="00316BAC" w:rsidP="00FF618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 w:rsidRPr="00316BAC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Cis-lunar Transfer Vehicle (CLTV): a versatile vehicle to support future exploration missions</w:t>
      </w:r>
      <w:bookmarkStart w:id="0" w:name="_GoBack"/>
      <w:bookmarkEnd w:id="0"/>
    </w:p>
    <w:p w14:paraId="1D0AAC9F" w14:textId="77777777" w:rsidR="00FF618A" w:rsidRPr="00614BDE" w:rsidRDefault="00FF618A" w:rsidP="00FF618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3D8D0A95" w14:textId="77777777" w:rsidR="00FF618A" w:rsidRPr="007E2E3E" w:rsidRDefault="00FF618A" w:rsidP="00FF618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</w:rPr>
      </w:pPr>
      <w:r w:rsidRPr="007E2E3E">
        <w:rPr>
          <w:rFonts w:ascii="Arial" w:eastAsia="Arial Unicode MS" w:hAnsi="Arial" w:cs="Arial"/>
          <w:color w:val="000000" w:themeColor="text1"/>
          <w:spacing w:val="-2"/>
          <w:sz w:val="20"/>
          <w:u w:val="single"/>
        </w:rPr>
        <w:t>G. Cifani</w:t>
      </w:r>
      <w:r w:rsidRPr="007E2E3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1*</w:t>
      </w:r>
      <w:r w:rsidRPr="007E2E3E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.</w:t>
      </w:r>
    </w:p>
    <w:p w14:paraId="66DBC028" w14:textId="77777777" w:rsidR="00FF618A" w:rsidRPr="007E2E3E" w:rsidRDefault="00FF618A" w:rsidP="00FF618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</w:pPr>
    </w:p>
    <w:p w14:paraId="1767AA0E" w14:textId="77777777" w:rsidR="00FF618A" w:rsidRPr="009E1632" w:rsidRDefault="00FF618A" w:rsidP="00FF618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</w:rPr>
      </w:pP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</w:t>
      </w: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ESA-ESTEC, Noordwijk, The Netherlands, Giorgio.cifani@esa.int </w:t>
      </w:r>
    </w:p>
    <w:p w14:paraId="7EF3A7A9" w14:textId="77777777" w:rsidR="00FF618A" w:rsidRDefault="00FF618A" w:rsidP="00FF618A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</w:rPr>
      </w:pPr>
    </w:p>
    <w:p w14:paraId="6473F0A9" w14:textId="77777777" w:rsidR="00FF618A" w:rsidRDefault="00FF618A" w:rsidP="00FF618A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</w:rPr>
      </w:pPr>
    </w:p>
    <w:p w14:paraId="4EE45D62" w14:textId="77777777" w:rsidR="00FF618A" w:rsidRDefault="00FF618A" w:rsidP="00FF618A">
      <w:pPr>
        <w:tabs>
          <w:tab w:val="left" w:pos="-72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440E3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29DF5836" w14:textId="77777777" w:rsidR="00FF618A" w:rsidRPr="00AF5DA6" w:rsidRDefault="00FF618A" w:rsidP="00FF618A">
      <w:pPr>
        <w:tabs>
          <w:tab w:val="left" w:pos="-72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44BB5145" w14:textId="5CF455BE" w:rsidR="00424D01" w:rsidRDefault="00FF618A" w:rsidP="00424D01">
      <w:pPr>
        <w:widowControl/>
        <w:autoSpaceDE w:val="0"/>
        <w:autoSpaceDN w:val="0"/>
        <w:adjustRightInd w:val="0"/>
        <w:jc w:val="both"/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</w:pPr>
      <w:r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Following</w:t>
      </w:r>
      <w:r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 </w:t>
      </w:r>
      <w:r w:rsidR="00424D01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the</w:t>
      </w:r>
      <w:r w:rsidR="00F8118B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 </w:t>
      </w:r>
      <w:r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efforts</w:t>
      </w:r>
      <w:r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 </w:t>
      </w:r>
      <w:r w:rsidR="00424D01"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of the ATV</w:t>
      </w:r>
      <w:r w:rsidR="00424D01"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 </w:t>
      </w:r>
      <w:r w:rsidR="00424D01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(Autonomous Transfer Vehicle)</w:t>
      </w:r>
      <w:r w:rsidR="00424D01" w:rsidRPr="00424D01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 </w:t>
      </w:r>
      <w:r w:rsidR="00424D01"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development</w:t>
      </w:r>
      <w:r w:rsidR="00424D01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, Europe </w:t>
      </w:r>
      <w:r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acquired the capability of autonomously operating </w:t>
      </w:r>
      <w:r w:rsidR="00424D01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>space transportation system</w:t>
      </w:r>
      <w:r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, while opening up possibilities for its participation in the setting up and </w:t>
      </w:r>
      <w:r w:rsidR="004C6457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the </w:t>
      </w:r>
      <w:r w:rsidRPr="00FF618A">
        <w:rPr>
          <w:rFonts w:ascii="Arial" w:hAnsi="Arial" w:cs="Arial"/>
          <w:snapToGrid/>
          <w:color w:val="000000"/>
          <w:sz w:val="20"/>
          <w:szCs w:val="24"/>
          <w:lang w:val="en-GB" w:eastAsia="en-US"/>
        </w:rPr>
        <w:t xml:space="preserve">maintenance of an orbital infrastructure for human spaceflight. </w:t>
      </w:r>
    </w:p>
    <w:p w14:paraId="67A9E52D" w14:textId="77777777" w:rsidR="00316BAC" w:rsidRDefault="004C6457" w:rsidP="00FF618A">
      <w:pPr>
        <w:widowControl/>
        <w:autoSpaceDE w:val="0"/>
        <w:autoSpaceDN w:val="0"/>
        <w:adjustRightInd w:val="0"/>
        <w:spacing w:before="240"/>
        <w:jc w:val="both"/>
        <w:rPr>
          <w:rFonts w:ascii="Arial" w:hAnsi="Arial" w:cs="Arial"/>
          <w:snapToGrid/>
          <w:sz w:val="20"/>
          <w:szCs w:val="24"/>
          <w:lang w:val="en-GB" w:eastAsia="en-US"/>
        </w:rPr>
      </w:pPr>
      <w:r>
        <w:rPr>
          <w:rFonts w:ascii="Arial" w:hAnsi="Arial" w:cs="Arial"/>
          <w:snapToGrid/>
          <w:sz w:val="20"/>
          <w:szCs w:val="24"/>
          <w:lang w:val="en-GB" w:eastAsia="en-US"/>
        </w:rPr>
        <w:t>T</w:t>
      </w:r>
      <w:r w:rsidRPr="00FF618A">
        <w:rPr>
          <w:rFonts w:ascii="Arial" w:hAnsi="Arial" w:cs="Arial"/>
          <w:snapToGrid/>
          <w:sz w:val="20"/>
          <w:szCs w:val="24"/>
          <w:lang w:val="en-GB" w:eastAsia="en-US"/>
        </w:rPr>
        <w:t>he next step in human spaceflight</w:t>
      </w:r>
      <w:r>
        <w:rPr>
          <w:rFonts w:ascii="Arial" w:hAnsi="Arial" w:cs="Arial"/>
          <w:snapToGrid/>
          <w:sz w:val="20"/>
          <w:szCs w:val="24"/>
          <w:lang w:val="en-GB" w:eastAsia="en-US"/>
        </w:rPr>
        <w:t xml:space="preserve"> is a</w:t>
      </w:r>
      <w:r w:rsidR="00FF618A" w:rsidRPr="00FF618A">
        <w:rPr>
          <w:rFonts w:ascii="Arial" w:hAnsi="Arial" w:cs="Arial"/>
          <w:snapToGrid/>
          <w:sz w:val="20"/>
          <w:szCs w:val="24"/>
          <w:lang w:val="en-GB" w:eastAsia="en-US"/>
        </w:rPr>
        <w:t xml:space="preserve"> global initiative for human exploration of the Moon</w:t>
      </w:r>
      <w:r w:rsidR="009E70F8">
        <w:rPr>
          <w:rFonts w:ascii="Arial" w:hAnsi="Arial" w:cs="Arial"/>
          <w:snapToGrid/>
          <w:sz w:val="20"/>
          <w:szCs w:val="24"/>
          <w:lang w:val="en-GB" w:eastAsia="en-US"/>
        </w:rPr>
        <w:t>, based on the development</w:t>
      </w:r>
      <w:r w:rsidR="00FF618A" w:rsidRPr="00FF618A">
        <w:rPr>
          <w:rFonts w:ascii="Arial" w:hAnsi="Arial" w:cs="Arial"/>
          <w:snapToGrid/>
          <w:sz w:val="20"/>
          <w:szCs w:val="24"/>
          <w:lang w:val="en-GB" w:eastAsia="en-US"/>
        </w:rPr>
        <w:t xml:space="preserve"> of the Gateway staging post, as an intermediate step towards deep space travel. </w:t>
      </w:r>
    </w:p>
    <w:p w14:paraId="60EEBE78" w14:textId="5F4B5287" w:rsidR="00F8118B" w:rsidRDefault="00FF618A" w:rsidP="00FF618A">
      <w:pPr>
        <w:widowControl/>
        <w:autoSpaceDE w:val="0"/>
        <w:autoSpaceDN w:val="0"/>
        <w:adjustRightInd w:val="0"/>
        <w:spacing w:before="240"/>
        <w:jc w:val="both"/>
        <w:rPr>
          <w:rFonts w:ascii="Arial" w:hAnsi="Arial" w:cs="Arial"/>
          <w:snapToGrid/>
          <w:sz w:val="20"/>
          <w:szCs w:val="24"/>
          <w:lang w:val="en-GB" w:eastAsia="en-US"/>
        </w:rPr>
      </w:pPr>
      <w:r w:rsidRPr="00FF618A">
        <w:rPr>
          <w:rFonts w:ascii="Arial" w:hAnsi="Arial" w:cs="Arial"/>
          <w:snapToGrid/>
          <w:sz w:val="20"/>
          <w:szCs w:val="24"/>
          <w:lang w:val="en-GB" w:eastAsia="en-US"/>
        </w:rPr>
        <w:t xml:space="preserve">The Gateway, placed in a Near Rectilinear Halo Orbit (NRHO), would be hosting crews on their way to the Moon surface; also it would serve as an assembly point for the various elements of lunar landers, safe haven in case of contingency situations and, potentially, as a propellant depot. Unlike lower lunar orbits, the NRHO allows in principle to access any landing site on the Moon. It is also accessible from Earth via low delta-v transfers, so launch service providers can choose propellant-optimised staging strategies. </w:t>
      </w:r>
    </w:p>
    <w:p w14:paraId="51E1B841" w14:textId="04DBD862" w:rsidR="003D7B72" w:rsidRDefault="00D60151" w:rsidP="00D60151">
      <w:pPr>
        <w:widowControl/>
        <w:autoSpaceDE w:val="0"/>
        <w:autoSpaceDN w:val="0"/>
        <w:adjustRightInd w:val="0"/>
        <w:spacing w:before="240"/>
        <w:jc w:val="both"/>
        <w:rPr>
          <w:rFonts w:ascii="Arial" w:hAnsi="Arial" w:cs="Arial"/>
          <w:snapToGrid/>
          <w:sz w:val="20"/>
          <w:szCs w:val="24"/>
          <w:lang w:val="en-US" w:eastAsia="en-US"/>
        </w:rPr>
      </w:pPr>
      <w:r>
        <w:rPr>
          <w:rFonts w:ascii="Arial" w:hAnsi="Arial" w:cs="Arial"/>
          <w:snapToGrid/>
          <w:sz w:val="20"/>
          <w:szCs w:val="24"/>
          <w:lang w:val="en-GB" w:eastAsia="en-US"/>
        </w:rPr>
        <w:t xml:space="preserve">Within this international framework, </w:t>
      </w:r>
      <w:r w:rsidR="00FF618A" w:rsidRPr="00FF618A">
        <w:rPr>
          <w:rFonts w:ascii="Arial" w:hAnsi="Arial" w:cs="Arial"/>
          <w:snapToGrid/>
          <w:sz w:val="20"/>
          <w:szCs w:val="24"/>
          <w:lang w:val="en-GB" w:eastAsia="en-US"/>
        </w:rPr>
        <w:t xml:space="preserve">Europe could provide the Gateway with complementary deep space transportation functions, needed for sustainable exploration. </w:t>
      </w:r>
      <w:r w:rsidR="00FF618A" w:rsidRPr="00FF618A">
        <w:rPr>
          <w:rFonts w:ascii="Arial" w:hAnsi="Arial" w:cs="Arial"/>
          <w:snapToGrid/>
          <w:sz w:val="20"/>
          <w:szCs w:val="24"/>
          <w:lang w:val="en-US" w:eastAsia="en-US"/>
        </w:rPr>
        <w:t xml:space="preserve">In particular, </w:t>
      </w:r>
      <w:r w:rsidR="00FF618A">
        <w:rPr>
          <w:rFonts w:ascii="Arial" w:hAnsi="Arial" w:cs="Arial"/>
          <w:snapToGrid/>
          <w:sz w:val="20"/>
          <w:szCs w:val="24"/>
          <w:lang w:val="en-US" w:eastAsia="en-US"/>
        </w:rPr>
        <w:t xml:space="preserve">the </w:t>
      </w:r>
      <w:r w:rsidR="00FF618A" w:rsidRPr="00FF618A">
        <w:rPr>
          <w:rFonts w:ascii="Arial" w:hAnsi="Arial" w:cs="Arial"/>
          <w:snapToGrid/>
          <w:sz w:val="20"/>
          <w:szCs w:val="24"/>
          <w:lang w:val="en-US" w:eastAsia="en-US"/>
        </w:rPr>
        <w:t>study of a multi-user capability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 xml:space="preserve"> vehicle</w:t>
      </w:r>
      <w:r w:rsidR="00FF618A" w:rsidRPr="00FF618A">
        <w:rPr>
          <w:rFonts w:ascii="Arial" w:hAnsi="Arial" w:cs="Arial"/>
          <w:snapToGrid/>
          <w:sz w:val="20"/>
          <w:szCs w:val="24"/>
          <w:lang w:val="en-US" w:eastAsia="en-US"/>
        </w:rPr>
        <w:t>, named the Cis-lunar Transfer Vehicle (CLTV), for un-crewed missions to the Moon’s vicinity, bu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 xml:space="preserve">t compatible with crew presence, </w:t>
      </w:r>
      <w:r w:rsidR="009E70F8" w:rsidRPr="00FF618A">
        <w:rPr>
          <w:rFonts w:ascii="Arial" w:hAnsi="Arial" w:cs="Arial"/>
          <w:snapToGrid/>
          <w:sz w:val="20"/>
          <w:szCs w:val="24"/>
          <w:lang w:val="en-US" w:eastAsia="en-US"/>
        </w:rPr>
        <w:t>could become a strategic capability to support sustainable human lunar exploration starting in 2026-2027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>.</w:t>
      </w:r>
      <w:r w:rsidR="009E70F8" w:rsidRPr="009E70F8">
        <w:rPr>
          <w:rFonts w:ascii="Arial" w:hAnsi="Arial" w:cs="Arial"/>
          <w:snapToGrid/>
          <w:sz w:val="20"/>
          <w:szCs w:val="24"/>
          <w:lang w:val="en-US" w:eastAsia="en-US"/>
        </w:rPr>
        <w:t xml:space="preserve"> 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>Moreo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>ver, CLTV development could be exploited on further applications such as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 xml:space="preserve"> m</w:t>
      </w:r>
      <w:r w:rsidR="009E70F8" w:rsidRPr="004C6457">
        <w:rPr>
          <w:rFonts w:ascii="Arial" w:hAnsi="Arial" w:cs="Arial"/>
          <w:snapToGrid/>
          <w:sz w:val="20"/>
          <w:szCs w:val="24"/>
          <w:lang w:val="en-US" w:eastAsia="en-US"/>
        </w:rPr>
        <w:t>issions to a post-ISS orbital infrastructure in LEO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 xml:space="preserve"> and m</w:t>
      </w:r>
      <w:r w:rsidR="009E70F8" w:rsidRPr="004C6457">
        <w:rPr>
          <w:rFonts w:ascii="Arial" w:hAnsi="Arial" w:cs="Arial"/>
          <w:snapToGrid/>
          <w:sz w:val="20"/>
          <w:szCs w:val="24"/>
          <w:lang w:val="en-US" w:eastAsia="en-US"/>
        </w:rPr>
        <w:t>issions enhancing European autonomy</w:t>
      </w:r>
      <w:r w:rsidR="009E70F8">
        <w:rPr>
          <w:rFonts w:ascii="Arial" w:hAnsi="Arial" w:cs="Arial"/>
          <w:snapToGrid/>
          <w:sz w:val="20"/>
          <w:szCs w:val="24"/>
          <w:lang w:val="en-US" w:eastAsia="en-US"/>
        </w:rPr>
        <w:t xml:space="preserve">. </w:t>
      </w:r>
    </w:p>
    <w:p w14:paraId="37AA5B91" w14:textId="6348149A" w:rsidR="00FF618A" w:rsidRPr="009E70F8" w:rsidRDefault="009E70F8" w:rsidP="009E70F8">
      <w:pPr>
        <w:widowControl/>
        <w:autoSpaceDE w:val="0"/>
        <w:autoSpaceDN w:val="0"/>
        <w:adjustRightInd w:val="0"/>
        <w:spacing w:before="240"/>
        <w:jc w:val="both"/>
        <w:rPr>
          <w:rFonts w:ascii="Arial" w:hAnsi="Arial" w:cs="Arial"/>
          <w:snapToGrid/>
          <w:sz w:val="20"/>
          <w:szCs w:val="24"/>
          <w:lang w:val="en-US" w:eastAsia="en-US"/>
        </w:rPr>
      </w:pPr>
      <w:r>
        <w:rPr>
          <w:rFonts w:ascii="Arial" w:hAnsi="Arial" w:cs="Arial"/>
          <w:snapToGrid/>
          <w:sz w:val="20"/>
          <w:szCs w:val="24"/>
          <w:lang w:val="en-US" w:eastAsia="en-US"/>
        </w:rPr>
        <w:t xml:space="preserve">CLTV development will enter into Phase A/B1 in 2020 and 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>this paper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 xml:space="preserve"> addresses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 xml:space="preserve"> the approach and </w:t>
      </w:r>
      <w:r w:rsidR="00316BAC">
        <w:rPr>
          <w:rFonts w:ascii="Arial" w:hAnsi="Arial" w:cs="Arial"/>
          <w:snapToGrid/>
          <w:sz w:val="20"/>
          <w:szCs w:val="24"/>
          <w:lang w:val="en-US" w:eastAsia="en-US"/>
        </w:rPr>
        <w:t xml:space="preserve">challenges faced during 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>its feasibility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 xml:space="preserve"> </w:t>
      </w:r>
      <w:r w:rsidRPr="00FF618A">
        <w:rPr>
          <w:rFonts w:ascii="Arial" w:hAnsi="Arial" w:cs="Arial"/>
          <w:snapToGrid/>
          <w:sz w:val="20"/>
          <w:szCs w:val="24"/>
          <w:lang w:val="en-US" w:eastAsia="en-US"/>
        </w:rPr>
        <w:t>study</w:t>
      </w:r>
      <w:r>
        <w:rPr>
          <w:rFonts w:ascii="Arial" w:hAnsi="Arial" w:cs="Arial"/>
          <w:snapToGrid/>
          <w:sz w:val="20"/>
          <w:szCs w:val="24"/>
          <w:lang w:val="en-US" w:eastAsia="en-US"/>
        </w:rPr>
        <w:t>.</w:t>
      </w:r>
    </w:p>
    <w:p w14:paraId="1D878DF0" w14:textId="7894108B" w:rsidR="00FF618A" w:rsidRDefault="00FF618A" w:rsidP="00FF618A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sectPr w:rsidR="00FF61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B46C1" w14:textId="77777777" w:rsidR="00795992" w:rsidRDefault="00795992" w:rsidP="002B3D2E">
      <w:r>
        <w:separator/>
      </w:r>
    </w:p>
  </w:endnote>
  <w:endnote w:type="continuationSeparator" w:id="0">
    <w:p w14:paraId="5A7D054D" w14:textId="77777777" w:rsidR="00795992" w:rsidRDefault="00795992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4EEF" w14:textId="77777777" w:rsidR="00795992" w:rsidRDefault="00795992" w:rsidP="002B3D2E">
      <w:r>
        <w:separator/>
      </w:r>
    </w:p>
  </w:footnote>
  <w:footnote w:type="continuationSeparator" w:id="0">
    <w:p w14:paraId="7F680F40" w14:textId="77777777" w:rsidR="00795992" w:rsidRDefault="00795992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4C7D28CF"/>
    <w:multiLevelType w:val="hybridMultilevel"/>
    <w:tmpl w:val="8E0CEB58"/>
    <w:lvl w:ilvl="0" w:tplc="6D548A1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214"/>
    <w:rsid w:val="00067049"/>
    <w:rsid w:val="001062A3"/>
    <w:rsid w:val="0016733A"/>
    <w:rsid w:val="001A2217"/>
    <w:rsid w:val="001B0137"/>
    <w:rsid w:val="001B7EB8"/>
    <w:rsid w:val="001C07E6"/>
    <w:rsid w:val="001C53CE"/>
    <w:rsid w:val="001E5A02"/>
    <w:rsid w:val="0021043A"/>
    <w:rsid w:val="002551C5"/>
    <w:rsid w:val="0027138A"/>
    <w:rsid w:val="002B0E94"/>
    <w:rsid w:val="002B3D2E"/>
    <w:rsid w:val="00316BAC"/>
    <w:rsid w:val="00346EF7"/>
    <w:rsid w:val="003621EB"/>
    <w:rsid w:val="003D7B72"/>
    <w:rsid w:val="003F0AF8"/>
    <w:rsid w:val="00424D01"/>
    <w:rsid w:val="0045005F"/>
    <w:rsid w:val="004719BC"/>
    <w:rsid w:val="004C6457"/>
    <w:rsid w:val="0050245D"/>
    <w:rsid w:val="005028D7"/>
    <w:rsid w:val="00522384"/>
    <w:rsid w:val="00530AD7"/>
    <w:rsid w:val="00614BDE"/>
    <w:rsid w:val="00635748"/>
    <w:rsid w:val="00676A0D"/>
    <w:rsid w:val="006809E1"/>
    <w:rsid w:val="006D31EF"/>
    <w:rsid w:val="006E2678"/>
    <w:rsid w:val="007208A1"/>
    <w:rsid w:val="007728AF"/>
    <w:rsid w:val="00781FA5"/>
    <w:rsid w:val="00795992"/>
    <w:rsid w:val="007F2301"/>
    <w:rsid w:val="008220AB"/>
    <w:rsid w:val="008D25F1"/>
    <w:rsid w:val="00904881"/>
    <w:rsid w:val="00910260"/>
    <w:rsid w:val="00955D18"/>
    <w:rsid w:val="00963135"/>
    <w:rsid w:val="00970F68"/>
    <w:rsid w:val="009B09EE"/>
    <w:rsid w:val="009E70F8"/>
    <w:rsid w:val="00A04231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82299"/>
    <w:rsid w:val="00B91303"/>
    <w:rsid w:val="00BC0956"/>
    <w:rsid w:val="00C26E50"/>
    <w:rsid w:val="00C45485"/>
    <w:rsid w:val="00CA2574"/>
    <w:rsid w:val="00CB6CA7"/>
    <w:rsid w:val="00CD0286"/>
    <w:rsid w:val="00D60151"/>
    <w:rsid w:val="00D816B4"/>
    <w:rsid w:val="00D82FE6"/>
    <w:rsid w:val="00DB37B6"/>
    <w:rsid w:val="00DC44CA"/>
    <w:rsid w:val="00E06F9E"/>
    <w:rsid w:val="00E272EB"/>
    <w:rsid w:val="00E70430"/>
    <w:rsid w:val="00E713CC"/>
    <w:rsid w:val="00EA719C"/>
    <w:rsid w:val="00EB4338"/>
    <w:rsid w:val="00ED24A9"/>
    <w:rsid w:val="00F352AE"/>
    <w:rsid w:val="00F8118B"/>
    <w:rsid w:val="00FA17A0"/>
    <w:rsid w:val="00FD14FE"/>
    <w:rsid w:val="00FD7318"/>
    <w:rsid w:val="00FF39BD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Giorgio Cifani</cp:lastModifiedBy>
  <cp:revision>3</cp:revision>
  <dcterms:created xsi:type="dcterms:W3CDTF">2020-05-20T18:10:00Z</dcterms:created>
  <dcterms:modified xsi:type="dcterms:W3CDTF">2020-05-20T18:12:00Z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