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972CBB" w14:textId="5E391509" w:rsidR="00E272EB" w:rsidRPr="00614BDE" w:rsidRDefault="00E10F69" w:rsidP="00AD0253">
      <w:pPr>
        <w:tabs>
          <w:tab w:val="left" w:pos="-720"/>
          <w:tab w:val="left" w:pos="851"/>
          <w:tab w:val="left" w:pos="3600"/>
        </w:tabs>
        <w:rPr>
          <w:rFonts w:ascii="Arial" w:eastAsia="Arial Unicode MS" w:hAnsi="Arial" w:cs="Arial"/>
          <w:b/>
          <w:color w:val="000000" w:themeColor="text1"/>
          <w:spacing w:val="-2"/>
          <w:sz w:val="22"/>
          <w:lang w:val="en-GB"/>
        </w:rPr>
      </w:pPr>
      <w:r>
        <w:rPr>
          <w:rFonts w:ascii="Arial" w:eastAsia="Arial Unicode MS" w:hAnsi="Arial" w:cs="Arial"/>
          <w:b/>
          <w:color w:val="000000" w:themeColor="text1"/>
          <w:spacing w:val="-2"/>
          <w:sz w:val="22"/>
          <w:lang w:val="en-GB"/>
        </w:rPr>
        <w:t xml:space="preserve">Extensive Cost Estimating methodologies for the CDF </w:t>
      </w:r>
      <w:proofErr w:type="spellStart"/>
      <w:r>
        <w:rPr>
          <w:rFonts w:ascii="Arial" w:eastAsia="Arial Unicode MS" w:hAnsi="Arial" w:cs="Arial"/>
          <w:b/>
          <w:color w:val="000000" w:themeColor="text1"/>
          <w:spacing w:val="-2"/>
          <w:sz w:val="22"/>
          <w:lang w:val="en-GB"/>
        </w:rPr>
        <w:t>GaiaNIR</w:t>
      </w:r>
      <w:proofErr w:type="spellEnd"/>
      <w:r w:rsidR="0089542E">
        <w:rPr>
          <w:rFonts w:ascii="Arial" w:eastAsia="Arial Unicode MS" w:hAnsi="Arial" w:cs="Arial"/>
          <w:b/>
          <w:color w:val="000000" w:themeColor="text1"/>
          <w:spacing w:val="-2"/>
          <w:sz w:val="22"/>
          <w:lang w:val="en-GB"/>
        </w:rPr>
        <w:t xml:space="preserve"> study</w:t>
      </w:r>
    </w:p>
    <w:p w14:paraId="58FD9A57" w14:textId="77777777" w:rsidR="00970F68" w:rsidRPr="00614BDE" w:rsidRDefault="00970F68" w:rsidP="00A86753">
      <w:pPr>
        <w:tabs>
          <w:tab w:val="left" w:pos="-720"/>
          <w:tab w:val="left" w:pos="0"/>
          <w:tab w:val="left" w:pos="851"/>
          <w:tab w:val="left" w:pos="3600"/>
        </w:tabs>
        <w:rPr>
          <w:rFonts w:ascii="Arial" w:eastAsia="Arial Unicode MS" w:hAnsi="Arial" w:cs="Arial"/>
          <w:color w:val="000000" w:themeColor="text1"/>
          <w:spacing w:val="-2"/>
          <w:sz w:val="20"/>
          <w:u w:val="single"/>
          <w:lang w:val="en-GB"/>
        </w:rPr>
      </w:pPr>
    </w:p>
    <w:p w14:paraId="789BD83F" w14:textId="013E2EB5" w:rsidR="00E272EB" w:rsidRPr="00614BDE" w:rsidRDefault="00E3136C"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E3136C">
        <w:rPr>
          <w:rFonts w:ascii="Arial" w:eastAsia="Arial Unicode MS" w:hAnsi="Arial" w:cs="Arial"/>
          <w:color w:val="000000" w:themeColor="text1"/>
          <w:spacing w:val="-2"/>
          <w:sz w:val="20"/>
          <w:u w:val="single"/>
          <w:lang w:val="en-GB"/>
        </w:rPr>
        <w:t>E.Lamboglia</w:t>
      </w:r>
      <w:r>
        <w:rPr>
          <w:rFonts w:ascii="Arial" w:eastAsia="Arial Unicode MS" w:hAnsi="Arial" w:cs="Arial"/>
          <w:i/>
          <w:color w:val="000000" w:themeColor="text1"/>
          <w:spacing w:val="-2"/>
          <w:sz w:val="20"/>
          <w:vertAlign w:val="superscript"/>
          <w:lang w:val="en-GB"/>
        </w:rPr>
        <w:t>1</w:t>
      </w:r>
      <w:r w:rsidR="007208A1">
        <w:rPr>
          <w:rFonts w:ascii="Arial" w:eastAsia="Arial Unicode MS" w:hAnsi="Arial" w:cs="Arial"/>
          <w:i/>
          <w:color w:val="000000" w:themeColor="text1"/>
          <w:spacing w:val="-2"/>
          <w:sz w:val="20"/>
          <w:vertAlign w:val="superscript"/>
          <w:lang w:val="en-GB"/>
        </w:rPr>
        <w:t>*</w:t>
      </w:r>
      <w:r w:rsidR="009C1608">
        <w:rPr>
          <w:rFonts w:ascii="Arial" w:eastAsia="Arial Unicode MS" w:hAnsi="Arial" w:cs="Arial"/>
          <w:i/>
          <w:color w:val="000000" w:themeColor="text1"/>
          <w:spacing w:val="-2"/>
          <w:sz w:val="20"/>
          <w:lang w:val="en-GB"/>
        </w:rPr>
        <w:t xml:space="preserve">; M. </w:t>
      </w:r>
      <w:r>
        <w:rPr>
          <w:rFonts w:ascii="Arial" w:eastAsia="Arial Unicode MS" w:hAnsi="Arial" w:cs="Arial"/>
          <w:i/>
          <w:color w:val="000000" w:themeColor="text1"/>
          <w:spacing w:val="-2"/>
          <w:sz w:val="20"/>
          <w:lang w:val="en-GB"/>
        </w:rPr>
        <w:t>Van Pelt</w:t>
      </w:r>
      <w:r>
        <w:rPr>
          <w:rFonts w:ascii="Arial" w:eastAsia="Arial Unicode MS" w:hAnsi="Arial" w:cs="Arial"/>
          <w:i/>
          <w:color w:val="000000" w:themeColor="text1"/>
          <w:spacing w:val="-2"/>
          <w:sz w:val="20"/>
          <w:vertAlign w:val="superscript"/>
          <w:lang w:val="en-GB"/>
        </w:rPr>
        <w:t>2</w:t>
      </w:r>
      <w:r>
        <w:rPr>
          <w:rFonts w:ascii="Arial" w:eastAsia="Arial Unicode MS" w:hAnsi="Arial" w:cs="Arial"/>
          <w:i/>
          <w:color w:val="000000" w:themeColor="text1"/>
          <w:spacing w:val="-2"/>
          <w:sz w:val="20"/>
          <w:lang w:val="en-GB"/>
        </w:rPr>
        <w:t>,</w:t>
      </w:r>
      <w:r w:rsidRPr="00E3136C">
        <w:rPr>
          <w:rFonts w:ascii="Arial" w:eastAsia="Arial Unicode MS" w:hAnsi="Arial" w:cs="Arial"/>
          <w:i/>
          <w:color w:val="000000" w:themeColor="text1"/>
          <w:spacing w:val="-2"/>
          <w:sz w:val="20"/>
          <w:lang w:val="en-GB"/>
        </w:rPr>
        <w:t xml:space="preserve"> </w:t>
      </w:r>
      <w:r w:rsidR="00C635D7">
        <w:rPr>
          <w:rFonts w:ascii="Arial" w:eastAsia="Arial Unicode MS" w:hAnsi="Arial" w:cs="Arial"/>
          <w:i/>
          <w:color w:val="000000" w:themeColor="text1"/>
          <w:spacing w:val="-2"/>
          <w:sz w:val="20"/>
          <w:lang w:val="en-GB"/>
        </w:rPr>
        <w:t>A. Cotun</w:t>
      </w:r>
      <w:r>
        <w:rPr>
          <w:rFonts w:ascii="Arial" w:eastAsia="Arial Unicode MS" w:hAnsi="Arial" w:cs="Arial"/>
          <w:i/>
          <w:color w:val="000000" w:themeColor="text1"/>
          <w:spacing w:val="-2"/>
          <w:sz w:val="20"/>
          <w:lang w:val="en-GB"/>
        </w:rPr>
        <w:t>a</w:t>
      </w:r>
      <w:r>
        <w:rPr>
          <w:rFonts w:ascii="Arial" w:eastAsia="Arial Unicode MS" w:hAnsi="Arial" w:cs="Arial"/>
          <w:i/>
          <w:color w:val="000000" w:themeColor="text1"/>
          <w:spacing w:val="-2"/>
          <w:sz w:val="20"/>
          <w:vertAlign w:val="superscript"/>
          <w:lang w:val="en-GB"/>
        </w:rPr>
        <w:t>3</w:t>
      </w:r>
    </w:p>
    <w:p w14:paraId="1416E9AE" w14:textId="77777777" w:rsidR="00970F68" w:rsidRPr="00614BDE" w:rsidRDefault="00970F68" w:rsidP="00A86753">
      <w:pPr>
        <w:tabs>
          <w:tab w:val="left" w:pos="-720"/>
          <w:tab w:val="left" w:pos="0"/>
          <w:tab w:val="left" w:pos="851"/>
          <w:tab w:val="left" w:pos="3600"/>
        </w:tabs>
        <w:rPr>
          <w:rFonts w:ascii="Arial" w:eastAsia="Arial Unicode MS" w:hAnsi="Arial" w:cs="Arial"/>
          <w:i/>
          <w:color w:val="000000" w:themeColor="text1"/>
          <w:spacing w:val="-2"/>
          <w:sz w:val="20"/>
          <w:vertAlign w:val="superscript"/>
          <w:lang w:val="en-GB"/>
        </w:rPr>
      </w:pPr>
    </w:p>
    <w:p w14:paraId="0DC3F2AF" w14:textId="0EBE6CBE" w:rsidR="00E272EB" w:rsidRPr="00614BDE" w:rsidRDefault="00E272EB" w:rsidP="00A86753">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1</w:t>
      </w:r>
      <w:r w:rsidR="00E3136C">
        <w:rPr>
          <w:rFonts w:ascii="Arial" w:eastAsia="Arial Unicode MS" w:hAnsi="Arial" w:cs="Arial"/>
          <w:i/>
          <w:color w:val="000000" w:themeColor="text1"/>
          <w:spacing w:val="-2"/>
          <w:sz w:val="20"/>
          <w:lang w:val="en-GB"/>
        </w:rPr>
        <w:t>European Space Agency</w:t>
      </w:r>
      <w:r w:rsidR="007208A1">
        <w:rPr>
          <w:rFonts w:ascii="Arial" w:eastAsia="Arial Unicode MS" w:hAnsi="Arial" w:cs="Arial"/>
          <w:i/>
          <w:color w:val="000000" w:themeColor="text1"/>
          <w:spacing w:val="-2"/>
          <w:sz w:val="20"/>
          <w:lang w:val="en-GB"/>
        </w:rPr>
        <w:t>,</w:t>
      </w:r>
      <w:r w:rsidR="005028D7">
        <w:rPr>
          <w:rFonts w:ascii="Arial" w:eastAsia="Arial Unicode MS" w:hAnsi="Arial" w:cs="Arial"/>
          <w:i/>
          <w:color w:val="000000" w:themeColor="text1"/>
          <w:spacing w:val="-2"/>
          <w:sz w:val="20"/>
          <w:lang w:val="en-GB"/>
        </w:rPr>
        <w:t xml:space="preserve"> *Primary author contact details: </w:t>
      </w:r>
      <w:r w:rsidR="007208A1">
        <w:rPr>
          <w:rFonts w:ascii="Arial" w:eastAsia="Arial Unicode MS" w:hAnsi="Arial" w:cs="Arial"/>
          <w:i/>
          <w:color w:val="000000" w:themeColor="text1"/>
          <w:spacing w:val="-2"/>
          <w:sz w:val="20"/>
          <w:lang w:val="en-GB"/>
        </w:rPr>
        <w:t xml:space="preserve"> </w:t>
      </w:r>
      <w:hyperlink r:id="rId10" w:history="1">
        <w:r w:rsidR="00C635D7" w:rsidRPr="00E322BB">
          <w:rPr>
            <w:rStyle w:val="Hyperlink"/>
            <w:rFonts w:ascii="Arial" w:eastAsia="Arial Unicode MS" w:hAnsi="Arial" w:cs="Arial"/>
            <w:i/>
            <w:spacing w:val="-2"/>
            <w:sz w:val="20"/>
            <w:lang w:val="en-GB"/>
          </w:rPr>
          <w:t>Elisabetta.Lamboglia@esa.int</w:t>
        </w:r>
      </w:hyperlink>
    </w:p>
    <w:p w14:paraId="4EE21DB0" w14:textId="5624EE80" w:rsidR="00E3136C" w:rsidRPr="00614BDE" w:rsidRDefault="00E272EB" w:rsidP="00E3136C">
      <w:pPr>
        <w:tabs>
          <w:tab w:val="left" w:pos="-720"/>
          <w:tab w:val="left" w:pos="0"/>
          <w:tab w:val="left" w:pos="851"/>
          <w:tab w:val="left" w:pos="3600"/>
        </w:tabs>
        <w:rPr>
          <w:rFonts w:ascii="Arial" w:eastAsia="Arial Unicode MS" w:hAnsi="Arial" w:cs="Arial"/>
          <w:i/>
          <w:color w:val="000000" w:themeColor="text1"/>
          <w:spacing w:val="-2"/>
          <w:sz w:val="20"/>
          <w:lang w:val="en-GB"/>
        </w:rPr>
      </w:pPr>
      <w:r w:rsidRPr="00614BDE">
        <w:rPr>
          <w:rFonts w:ascii="Arial" w:eastAsia="Arial Unicode MS" w:hAnsi="Arial" w:cs="Arial"/>
          <w:i/>
          <w:color w:val="000000" w:themeColor="text1"/>
          <w:spacing w:val="-2"/>
          <w:sz w:val="20"/>
          <w:vertAlign w:val="superscript"/>
          <w:lang w:val="en-GB"/>
        </w:rPr>
        <w:t>2</w:t>
      </w:r>
      <w:r w:rsidR="00ED3BF2">
        <w:rPr>
          <w:rFonts w:ascii="Arial" w:eastAsia="Arial Unicode MS" w:hAnsi="Arial" w:cs="Arial"/>
          <w:i/>
          <w:color w:val="000000" w:themeColor="text1"/>
          <w:spacing w:val="-2"/>
          <w:sz w:val="20"/>
          <w:lang w:val="en-GB"/>
        </w:rPr>
        <w:t xml:space="preserve">European Space Agency, </w:t>
      </w:r>
      <w:r w:rsidR="00E3136C">
        <w:rPr>
          <w:rFonts w:ascii="Arial" w:eastAsia="Arial Unicode MS" w:hAnsi="Arial" w:cs="Arial"/>
          <w:i/>
          <w:color w:val="000000" w:themeColor="text1"/>
          <w:spacing w:val="-2"/>
          <w:sz w:val="20"/>
          <w:lang w:val="en-GB"/>
        </w:rPr>
        <w:t xml:space="preserve">Co-author contact details:  </w:t>
      </w:r>
      <w:hyperlink r:id="rId11" w:history="1">
        <w:r w:rsidR="00C635D7" w:rsidRPr="00E322BB">
          <w:rPr>
            <w:rStyle w:val="Hyperlink"/>
            <w:rFonts w:ascii="Arial" w:eastAsia="Arial Unicode MS" w:hAnsi="Arial" w:cs="Arial"/>
            <w:i/>
            <w:spacing w:val="-2"/>
            <w:sz w:val="20"/>
            <w:lang w:val="en-GB"/>
          </w:rPr>
          <w:t>Michel.van.Pelt@esa.int</w:t>
        </w:r>
      </w:hyperlink>
    </w:p>
    <w:p w14:paraId="103CA336" w14:textId="30EF1247" w:rsidR="00E272EB" w:rsidRDefault="00316958" w:rsidP="00E3136C">
      <w:pPr>
        <w:tabs>
          <w:tab w:val="left" w:pos="-720"/>
          <w:tab w:val="left" w:pos="0"/>
          <w:tab w:val="left" w:pos="851"/>
          <w:tab w:val="left" w:pos="3600"/>
        </w:tabs>
        <w:rPr>
          <w:rFonts w:ascii="Arial" w:eastAsia="Arial Unicode MS" w:hAnsi="Arial" w:cs="Arial"/>
          <w:i/>
          <w:spacing w:val="-2"/>
          <w:sz w:val="20"/>
          <w:lang w:val="en-GB"/>
        </w:rPr>
      </w:pPr>
      <w:r w:rsidRPr="00CE6BAB">
        <w:rPr>
          <w:rFonts w:ascii="Arial" w:eastAsia="Arial Unicode MS" w:hAnsi="Arial" w:cs="Arial"/>
          <w:i/>
          <w:color w:val="000000" w:themeColor="text1"/>
          <w:spacing w:val="-2"/>
          <w:sz w:val="20"/>
          <w:vertAlign w:val="superscript"/>
          <w:lang w:val="en-GB"/>
        </w:rPr>
        <w:t>3</w:t>
      </w:r>
      <w:r w:rsidR="00ED3BF2">
        <w:rPr>
          <w:rFonts w:ascii="Arial" w:eastAsia="Arial Unicode MS" w:hAnsi="Arial" w:cs="Arial"/>
          <w:i/>
          <w:color w:val="000000" w:themeColor="text1"/>
          <w:spacing w:val="-2"/>
          <w:sz w:val="20"/>
          <w:lang w:val="en-GB"/>
        </w:rPr>
        <w:t xml:space="preserve">European Space Agency, </w:t>
      </w:r>
      <w:r w:rsidRPr="00CE6BAB">
        <w:rPr>
          <w:rFonts w:ascii="Arial" w:eastAsia="Arial Unicode MS" w:hAnsi="Arial" w:cs="Arial"/>
          <w:i/>
          <w:color w:val="000000" w:themeColor="text1"/>
          <w:spacing w:val="-2"/>
          <w:sz w:val="20"/>
          <w:lang w:val="en-GB"/>
        </w:rPr>
        <w:t xml:space="preserve">Co-author contact details:  </w:t>
      </w:r>
      <w:hyperlink r:id="rId12" w:history="1">
        <w:r w:rsidR="00C635D7" w:rsidRPr="00CE6BAB">
          <w:rPr>
            <w:rStyle w:val="Hyperlink"/>
            <w:rFonts w:ascii="Arial" w:eastAsia="Arial Unicode MS" w:hAnsi="Arial" w:cs="Arial"/>
            <w:i/>
            <w:spacing w:val="-2"/>
            <w:sz w:val="20"/>
            <w:lang w:val="en-GB"/>
          </w:rPr>
          <w:t>Adina.Cotuna@esa.int</w:t>
        </w:r>
      </w:hyperlink>
    </w:p>
    <w:p w14:paraId="35D8B8F1" w14:textId="77777777" w:rsidR="00316958" w:rsidRPr="00614BDE" w:rsidRDefault="00316958" w:rsidP="00E3136C">
      <w:pPr>
        <w:tabs>
          <w:tab w:val="left" w:pos="-720"/>
          <w:tab w:val="left" w:pos="0"/>
          <w:tab w:val="left" w:pos="851"/>
          <w:tab w:val="left" w:pos="3600"/>
        </w:tabs>
        <w:rPr>
          <w:rFonts w:ascii="Arial" w:eastAsia="Arial Unicode MS" w:hAnsi="Arial" w:cs="Arial"/>
          <w:color w:val="000000" w:themeColor="text1"/>
          <w:spacing w:val="-2"/>
          <w:sz w:val="18"/>
          <w:szCs w:val="18"/>
          <w:lang w:val="en-GB"/>
        </w:rPr>
      </w:pPr>
    </w:p>
    <w:p w14:paraId="379E9E21" w14:textId="0EB3EFB0" w:rsidR="00910260" w:rsidRPr="004719BC" w:rsidRDefault="00E272EB" w:rsidP="00910260">
      <w:pPr>
        <w:pStyle w:val="ListParagraph"/>
        <w:numPr>
          <w:ilvl w:val="0"/>
          <w:numId w:val="2"/>
        </w:numPr>
        <w:tabs>
          <w:tab w:val="left" w:pos="-720"/>
          <w:tab w:val="left" w:pos="0"/>
          <w:tab w:val="left" w:pos="3600"/>
        </w:tabs>
        <w:spacing w:after="120"/>
        <w:ind w:left="425" w:hanging="425"/>
        <w:jc w:val="both"/>
        <w:rPr>
          <w:rFonts w:ascii="Arial" w:eastAsia="Arial Unicode MS" w:hAnsi="Arial" w:cs="Arial"/>
          <w:b/>
          <w:color w:val="000000" w:themeColor="text1"/>
          <w:spacing w:val="-2"/>
          <w:sz w:val="20"/>
          <w:lang w:val="en-GB"/>
        </w:rPr>
      </w:pPr>
      <w:r w:rsidRPr="004719BC">
        <w:rPr>
          <w:rFonts w:ascii="Arial" w:eastAsia="Arial Unicode MS" w:hAnsi="Arial" w:cs="Arial"/>
          <w:b/>
          <w:color w:val="000000" w:themeColor="text1"/>
          <w:spacing w:val="-2"/>
          <w:sz w:val="20"/>
          <w:lang w:val="en-GB"/>
        </w:rPr>
        <w:t>Introduction</w:t>
      </w:r>
    </w:p>
    <w:p w14:paraId="4BA0CA95" w14:textId="77777777" w:rsidR="008D7034" w:rsidRPr="00CE6BAB" w:rsidRDefault="008D7034" w:rsidP="008D703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8D7034">
        <w:rPr>
          <w:rFonts w:ascii="Arial" w:eastAsia="Arial Unicode MS" w:hAnsi="Arial" w:cs="Arial"/>
          <w:color w:val="000000" w:themeColor="text1"/>
          <w:spacing w:val="-2"/>
          <w:sz w:val="20"/>
          <w:lang w:val="en-GB"/>
        </w:rPr>
        <w:t xml:space="preserve">In the frame of the </w:t>
      </w:r>
      <w:proofErr w:type="spellStart"/>
      <w:r w:rsidRPr="008D7034">
        <w:rPr>
          <w:rFonts w:ascii="Arial" w:eastAsia="Arial Unicode MS" w:hAnsi="Arial" w:cs="Arial"/>
          <w:color w:val="000000" w:themeColor="text1"/>
          <w:spacing w:val="-2"/>
          <w:sz w:val="20"/>
          <w:lang w:val="en-GB"/>
        </w:rPr>
        <w:t>GaiaNIR</w:t>
      </w:r>
      <w:proofErr w:type="spellEnd"/>
      <w:r w:rsidRPr="008D7034">
        <w:rPr>
          <w:rFonts w:ascii="Arial" w:eastAsia="Arial Unicode MS" w:hAnsi="Arial" w:cs="Arial"/>
          <w:color w:val="000000" w:themeColor="text1"/>
          <w:spacing w:val="-2"/>
          <w:sz w:val="20"/>
          <w:lang w:val="en-GB"/>
        </w:rPr>
        <w:t xml:space="preserve"> Concurrent Design Study, this paper shows the wide range of cost estimating methodologies adopted at various stages of the study, converging to the final programmatic assessment. The main objective of the appointed cost chair was “design-to-cost” and evaluation of the compatibility of the CDF </w:t>
      </w:r>
      <w:proofErr w:type="spellStart"/>
      <w:r w:rsidRPr="008D7034">
        <w:rPr>
          <w:rFonts w:ascii="Arial" w:eastAsia="Arial Unicode MS" w:hAnsi="Arial" w:cs="Arial"/>
          <w:color w:val="000000" w:themeColor="text1"/>
          <w:spacing w:val="-2"/>
          <w:sz w:val="20"/>
          <w:lang w:val="en-GB"/>
        </w:rPr>
        <w:t>GaiaNIR</w:t>
      </w:r>
      <w:proofErr w:type="spellEnd"/>
      <w:r w:rsidRPr="008D7034">
        <w:rPr>
          <w:rFonts w:ascii="Arial" w:eastAsia="Arial Unicode MS" w:hAnsi="Arial" w:cs="Arial"/>
          <w:color w:val="000000" w:themeColor="text1"/>
          <w:spacing w:val="-2"/>
          <w:sz w:val="20"/>
          <w:lang w:val="en-GB"/>
        </w:rPr>
        <w:t xml:space="preserve"> concept with respect to the Cost at Completio</w:t>
      </w:r>
      <w:bookmarkStart w:id="0" w:name="_GoBack"/>
      <w:bookmarkEnd w:id="0"/>
      <w:r w:rsidRPr="008D7034">
        <w:rPr>
          <w:rFonts w:ascii="Arial" w:eastAsia="Arial Unicode MS" w:hAnsi="Arial" w:cs="Arial"/>
          <w:color w:val="000000" w:themeColor="text1"/>
          <w:spacing w:val="-2"/>
          <w:sz w:val="20"/>
          <w:lang w:val="en-GB"/>
        </w:rPr>
        <w:t>n budget constraints.</w:t>
      </w:r>
      <w:r>
        <w:rPr>
          <w:rFonts w:ascii="Arial" w:eastAsia="Arial Unicode MS" w:hAnsi="Arial" w:cs="Arial"/>
          <w:color w:val="000000" w:themeColor="text1"/>
          <w:spacing w:val="-2"/>
          <w:sz w:val="20"/>
          <w:lang w:val="en-GB"/>
        </w:rPr>
        <w:t xml:space="preserve"> </w:t>
      </w:r>
      <w:r w:rsidRPr="008D7034">
        <w:rPr>
          <w:rFonts w:ascii="Arial" w:eastAsia="Arial Unicode MS" w:hAnsi="Arial" w:cs="Arial"/>
          <w:color w:val="000000" w:themeColor="text1"/>
          <w:spacing w:val="-2"/>
          <w:sz w:val="20"/>
          <w:lang w:val="en-GB"/>
        </w:rPr>
        <w:t xml:space="preserve">Thanks to strong similarities with the ESA Gaia mission, the estimate exercise for the CDF </w:t>
      </w:r>
      <w:proofErr w:type="spellStart"/>
      <w:r w:rsidRPr="008D7034">
        <w:rPr>
          <w:rFonts w:ascii="Arial" w:eastAsia="Arial Unicode MS" w:hAnsi="Arial" w:cs="Arial"/>
          <w:color w:val="000000" w:themeColor="text1"/>
          <w:spacing w:val="-2"/>
          <w:sz w:val="20"/>
          <w:lang w:val="en-GB"/>
        </w:rPr>
        <w:t>GaiaNIR</w:t>
      </w:r>
      <w:proofErr w:type="spellEnd"/>
      <w:r w:rsidRPr="008D7034">
        <w:rPr>
          <w:rFonts w:ascii="Arial" w:eastAsia="Arial Unicode MS" w:hAnsi="Arial" w:cs="Arial"/>
          <w:color w:val="000000" w:themeColor="text1"/>
          <w:spacing w:val="-2"/>
          <w:sz w:val="20"/>
          <w:lang w:val="en-GB"/>
        </w:rPr>
        <w:t xml:space="preserve"> study could start with </w:t>
      </w:r>
      <w:r w:rsidRPr="00CE6BAB">
        <w:rPr>
          <w:rFonts w:ascii="Arial" w:eastAsia="Arial Unicode MS" w:hAnsi="Arial" w:cs="Arial"/>
          <w:color w:val="000000" w:themeColor="text1"/>
          <w:spacing w:val="-2"/>
          <w:sz w:val="20"/>
          <w:lang w:val="en-GB"/>
        </w:rPr>
        <w:t xml:space="preserve">a bottom up approach, which is very unusual for the type of early estimates performed in pre-Phase </w:t>
      </w:r>
      <w:proofErr w:type="gramStart"/>
      <w:r w:rsidRPr="00CE6BAB">
        <w:rPr>
          <w:rFonts w:ascii="Arial" w:eastAsia="Arial Unicode MS" w:hAnsi="Arial" w:cs="Arial"/>
          <w:color w:val="000000" w:themeColor="text1"/>
          <w:spacing w:val="-2"/>
          <w:sz w:val="20"/>
          <w:lang w:val="en-GB"/>
        </w:rPr>
        <w:t>A</w:t>
      </w:r>
      <w:proofErr w:type="gramEnd"/>
      <w:r w:rsidRPr="00CE6BAB">
        <w:rPr>
          <w:rFonts w:ascii="Arial" w:eastAsia="Arial Unicode MS" w:hAnsi="Arial" w:cs="Arial"/>
          <w:color w:val="000000" w:themeColor="text1"/>
          <w:spacing w:val="-2"/>
          <w:sz w:val="20"/>
          <w:lang w:val="en-GB"/>
        </w:rPr>
        <w:t xml:space="preserve"> stages. This exercise continued evolving with a wide range of methodologies and a series of analyses for which the required details are usually not available during CDF iterations. Detailed knowledge of the Gaia design, the participation of the (former) Gaia project team to the sessions, in combination with access to the project cost details allowed to perform a very complete programmatic evaluation. </w:t>
      </w:r>
    </w:p>
    <w:p w14:paraId="2828F732" w14:textId="45579B26" w:rsidR="00EB4338" w:rsidRDefault="008D7034" w:rsidP="008D7034">
      <w:pPr>
        <w:tabs>
          <w:tab w:val="left" w:pos="-720"/>
          <w:tab w:val="left" w:pos="0"/>
          <w:tab w:val="left" w:pos="3600"/>
        </w:tabs>
        <w:spacing w:after="120"/>
        <w:jc w:val="both"/>
        <w:rPr>
          <w:rFonts w:ascii="Arial" w:eastAsia="Arial Unicode MS" w:hAnsi="Arial" w:cs="Arial"/>
          <w:color w:val="000000" w:themeColor="text1"/>
          <w:spacing w:val="-2"/>
          <w:sz w:val="20"/>
          <w:lang w:val="en-GB"/>
        </w:rPr>
      </w:pPr>
      <w:r w:rsidRPr="00CE6BAB">
        <w:rPr>
          <w:rFonts w:ascii="Arial" w:eastAsia="Arial Unicode MS" w:hAnsi="Arial" w:cs="Arial"/>
          <w:color w:val="000000" w:themeColor="text1"/>
          <w:spacing w:val="-2"/>
          <w:sz w:val="20"/>
          <w:lang w:val="en-GB"/>
        </w:rPr>
        <w:t>This paper describes the estimating process, the procurement approach consistently with geo distribution assumptions, as well as the various cost and related sy</w:t>
      </w:r>
      <w:r w:rsidR="001D5092">
        <w:rPr>
          <w:rFonts w:ascii="Arial" w:eastAsia="Arial Unicode MS" w:hAnsi="Arial" w:cs="Arial"/>
          <w:color w:val="000000" w:themeColor="text1"/>
          <w:spacing w:val="-2"/>
          <w:sz w:val="20"/>
          <w:lang w:val="en-GB"/>
        </w:rPr>
        <w:t xml:space="preserve">stem-engineering considerations: </w:t>
      </w:r>
      <w:r w:rsidRPr="00CE6BAB">
        <w:rPr>
          <w:rFonts w:ascii="Arial" w:eastAsia="Arial Unicode MS" w:hAnsi="Arial" w:cs="Arial"/>
          <w:color w:val="000000" w:themeColor="text1"/>
          <w:spacing w:val="-2"/>
          <w:sz w:val="20"/>
          <w:lang w:val="en-GB"/>
        </w:rPr>
        <w:t xml:space="preserve">obsolescence due to the considerable time gap between Gaia and </w:t>
      </w:r>
      <w:proofErr w:type="spellStart"/>
      <w:r w:rsidRPr="00CE6BAB">
        <w:rPr>
          <w:rFonts w:ascii="Arial" w:eastAsia="Arial Unicode MS" w:hAnsi="Arial" w:cs="Arial"/>
          <w:color w:val="000000" w:themeColor="text1"/>
          <w:spacing w:val="-2"/>
          <w:sz w:val="20"/>
          <w:lang w:val="en-GB"/>
        </w:rPr>
        <w:t>GaiaNIR</w:t>
      </w:r>
      <w:proofErr w:type="spellEnd"/>
      <w:r w:rsidRPr="00CE6BAB">
        <w:rPr>
          <w:rFonts w:ascii="Arial" w:eastAsia="Arial Unicode MS" w:hAnsi="Arial" w:cs="Arial"/>
          <w:color w:val="000000" w:themeColor="text1"/>
          <w:spacing w:val="-2"/>
          <w:sz w:val="20"/>
          <w:lang w:val="en-GB"/>
        </w:rPr>
        <w:t xml:space="preserve"> and </w:t>
      </w:r>
      <w:r w:rsidR="00583263" w:rsidRPr="00CE6BAB">
        <w:rPr>
          <w:rFonts w:ascii="Arial" w:eastAsia="Arial Unicode MS" w:hAnsi="Arial" w:cs="Arial"/>
          <w:color w:val="000000" w:themeColor="text1"/>
          <w:spacing w:val="-2"/>
          <w:sz w:val="20"/>
          <w:lang w:val="en-GB"/>
        </w:rPr>
        <w:t xml:space="preserve">its </w:t>
      </w:r>
      <w:r w:rsidRPr="00CE6BAB">
        <w:rPr>
          <w:rFonts w:ascii="Arial" w:eastAsia="Arial Unicode MS" w:hAnsi="Arial" w:cs="Arial"/>
          <w:color w:val="000000" w:themeColor="text1"/>
          <w:spacing w:val="-2"/>
          <w:sz w:val="20"/>
          <w:lang w:val="en-GB"/>
        </w:rPr>
        <w:t>impact on the implementation schedule, major science requirement differences between the two missions, equipment capabilities evolution, and various cost reduction options</w:t>
      </w:r>
      <w:r w:rsidR="00B91303" w:rsidRPr="00CE6BAB">
        <w:rPr>
          <w:rFonts w:ascii="Arial" w:eastAsia="Arial Unicode MS" w:hAnsi="Arial" w:cs="Arial"/>
          <w:color w:val="000000" w:themeColor="text1"/>
          <w:spacing w:val="-2"/>
          <w:sz w:val="20"/>
          <w:lang w:val="en-GB"/>
        </w:rPr>
        <w:t>.</w:t>
      </w:r>
    </w:p>
    <w:p w14:paraId="18E07680" w14:textId="1D5331E8" w:rsidR="001C07E6" w:rsidRPr="00A04231" w:rsidRDefault="001C07E6" w:rsidP="00A04231">
      <w:pPr>
        <w:pStyle w:val="NoSpacing"/>
        <w:tabs>
          <w:tab w:val="left" w:pos="0"/>
        </w:tabs>
        <w:spacing w:after="120"/>
        <w:jc w:val="both"/>
        <w:rPr>
          <w:rFonts w:ascii="Arial" w:hAnsi="Arial" w:cs="Arial"/>
          <w:color w:val="000000" w:themeColor="text1"/>
          <w:sz w:val="20"/>
          <w:lang w:val="en-GB"/>
        </w:rPr>
      </w:pPr>
    </w:p>
    <w:p w14:paraId="076CBFD5" w14:textId="23093CAB" w:rsidR="00D816B4" w:rsidRDefault="00D816B4" w:rsidP="001E5A02">
      <w:pPr>
        <w:pStyle w:val="ListParagraph"/>
        <w:numPr>
          <w:ilvl w:val="0"/>
          <w:numId w:val="2"/>
        </w:numPr>
        <w:tabs>
          <w:tab w:val="clear" w:pos="340"/>
          <w:tab w:val="left" w:pos="-720"/>
          <w:tab w:val="num" w:pos="0"/>
          <w:tab w:val="left" w:pos="284"/>
        </w:tabs>
        <w:spacing w:after="120"/>
        <w:ind w:left="0"/>
        <w:jc w:val="both"/>
        <w:rPr>
          <w:rFonts w:ascii="Arial" w:eastAsia="Arial Unicode MS" w:hAnsi="Arial" w:cs="Arial"/>
          <w:b/>
          <w:color w:val="000000" w:themeColor="text1"/>
          <w:spacing w:val="-2"/>
          <w:sz w:val="20"/>
          <w:lang w:val="en-GB"/>
        </w:rPr>
      </w:pPr>
      <w:r>
        <w:rPr>
          <w:rFonts w:ascii="Arial" w:eastAsia="Arial Unicode MS" w:hAnsi="Arial" w:cs="Arial"/>
          <w:b/>
          <w:color w:val="000000" w:themeColor="text1"/>
          <w:spacing w:val="-2"/>
          <w:sz w:val="20"/>
          <w:lang w:val="en-GB"/>
        </w:rPr>
        <w:t>References</w:t>
      </w:r>
    </w:p>
    <w:p w14:paraId="6DB87104" w14:textId="3EA38EC7" w:rsidR="00C66B4D" w:rsidRPr="00CE6BAB" w:rsidRDefault="00C66B4D" w:rsidP="00C66B4D">
      <w:pPr>
        <w:pStyle w:val="NoSpacing"/>
        <w:jc w:val="both"/>
        <w:rPr>
          <w:rFonts w:ascii="Arial" w:hAnsi="Arial" w:cs="Arial"/>
          <w:color w:val="000000" w:themeColor="text1"/>
          <w:sz w:val="20"/>
          <w:lang w:val="en-GB"/>
        </w:rPr>
      </w:pPr>
      <w:r w:rsidRPr="00CE6BAB">
        <w:rPr>
          <w:rFonts w:ascii="Arial" w:hAnsi="Arial" w:cs="Arial"/>
          <w:color w:val="000000" w:themeColor="text1"/>
          <w:sz w:val="20"/>
          <w:lang w:val="en-GB"/>
        </w:rPr>
        <w:t xml:space="preserve">[1] CDF </w:t>
      </w:r>
      <w:r w:rsidR="00CE6BAB" w:rsidRPr="00CE6BAB">
        <w:rPr>
          <w:rFonts w:ascii="Arial" w:hAnsi="Arial" w:cs="Arial"/>
          <w:color w:val="000000" w:themeColor="text1"/>
          <w:sz w:val="20"/>
          <w:lang w:val="en-GB"/>
        </w:rPr>
        <w:t xml:space="preserve">Study Report, </w:t>
      </w:r>
      <w:proofErr w:type="spellStart"/>
      <w:r w:rsidRPr="00CE6BAB">
        <w:rPr>
          <w:rFonts w:ascii="Arial" w:hAnsi="Arial" w:cs="Arial"/>
          <w:color w:val="000000" w:themeColor="text1"/>
          <w:sz w:val="20"/>
          <w:lang w:val="en-GB"/>
        </w:rPr>
        <w:t>GaiaNIR</w:t>
      </w:r>
      <w:proofErr w:type="spellEnd"/>
      <w:r w:rsidRPr="00CE6BAB">
        <w:rPr>
          <w:rFonts w:ascii="Arial" w:hAnsi="Arial" w:cs="Arial"/>
          <w:color w:val="000000" w:themeColor="text1"/>
          <w:sz w:val="20"/>
          <w:lang w:val="en-GB"/>
        </w:rPr>
        <w:t xml:space="preserve"> </w:t>
      </w:r>
      <w:r w:rsidR="00CE6BAB" w:rsidRPr="00CE6BAB">
        <w:rPr>
          <w:rFonts w:ascii="Arial" w:hAnsi="Arial" w:cs="Arial"/>
          <w:color w:val="000000" w:themeColor="text1"/>
          <w:sz w:val="20"/>
          <w:lang w:val="en-GB"/>
        </w:rPr>
        <w:t>Study to Enlarge the Achievements of GAIA with NIR Survey, CDF-175 (A), October 2017</w:t>
      </w:r>
    </w:p>
    <w:p w14:paraId="5F926A3E" w14:textId="2C1B662D" w:rsidR="00CE6BAB" w:rsidRPr="00CE6BAB" w:rsidRDefault="00C66B4D" w:rsidP="00CE6BAB">
      <w:pPr>
        <w:pStyle w:val="NoSpacing"/>
        <w:jc w:val="both"/>
        <w:rPr>
          <w:rFonts w:ascii="Arial" w:hAnsi="Arial" w:cs="Arial"/>
          <w:color w:val="000000" w:themeColor="text1"/>
          <w:sz w:val="20"/>
          <w:lang w:val="en-GB"/>
        </w:rPr>
      </w:pPr>
      <w:r w:rsidRPr="00CE6BAB">
        <w:rPr>
          <w:rFonts w:ascii="Arial" w:hAnsi="Arial" w:cs="Arial"/>
          <w:color w:val="000000" w:themeColor="text1"/>
          <w:sz w:val="20"/>
          <w:lang w:val="en-GB"/>
        </w:rPr>
        <w:t xml:space="preserve">[2] </w:t>
      </w:r>
      <w:r w:rsidR="00CE6BAB" w:rsidRPr="00CE6BAB">
        <w:rPr>
          <w:rFonts w:ascii="Arial" w:hAnsi="Arial" w:cs="Arial"/>
          <w:color w:val="000000" w:themeColor="text1"/>
          <w:sz w:val="20"/>
          <w:lang w:val="en-GB"/>
        </w:rPr>
        <w:t xml:space="preserve">CDF Study Report, </w:t>
      </w:r>
      <w:proofErr w:type="spellStart"/>
      <w:r w:rsidR="00CE6BAB" w:rsidRPr="00CE6BAB">
        <w:rPr>
          <w:rFonts w:ascii="Arial" w:hAnsi="Arial" w:cs="Arial"/>
          <w:color w:val="000000" w:themeColor="text1"/>
          <w:sz w:val="20"/>
          <w:lang w:val="en-GB"/>
        </w:rPr>
        <w:t>GaiaNIR</w:t>
      </w:r>
      <w:proofErr w:type="spellEnd"/>
      <w:r w:rsidR="00CE6BAB" w:rsidRPr="00CE6BAB">
        <w:rPr>
          <w:rFonts w:ascii="Arial" w:hAnsi="Arial" w:cs="Arial"/>
          <w:color w:val="000000" w:themeColor="text1"/>
          <w:sz w:val="20"/>
          <w:lang w:val="en-GB"/>
        </w:rPr>
        <w:t xml:space="preserve"> Industrial and Operations Cost Estimate, CDF-175 (B), October 2017 </w:t>
      </w:r>
    </w:p>
    <w:p w14:paraId="64B3B80B" w14:textId="4060E087" w:rsidR="00C66B4D" w:rsidRDefault="00C66B4D" w:rsidP="00C66B4D">
      <w:pPr>
        <w:pStyle w:val="NoSpacing"/>
        <w:jc w:val="both"/>
        <w:rPr>
          <w:rFonts w:ascii="Arial" w:hAnsi="Arial" w:cs="Arial"/>
          <w:color w:val="000000" w:themeColor="text1"/>
          <w:sz w:val="20"/>
          <w:lang w:val="en-GB"/>
        </w:rPr>
      </w:pPr>
      <w:r w:rsidRPr="00CE6BAB">
        <w:rPr>
          <w:rFonts w:ascii="Arial" w:hAnsi="Arial" w:cs="Arial"/>
          <w:color w:val="000000" w:themeColor="text1"/>
          <w:sz w:val="20"/>
          <w:lang w:val="en-GB"/>
        </w:rPr>
        <w:t>[3] TEC-ESSB-HB-E-002, issue 1, rev.0, Guidelines for the use of TRLs in ESA programmes, 21 August 2013</w:t>
      </w:r>
    </w:p>
    <w:p w14:paraId="5DA863DC" w14:textId="61BE0AC2" w:rsidR="00C66B4D" w:rsidRDefault="00C66B4D" w:rsidP="00C66B4D">
      <w:pPr>
        <w:pStyle w:val="NoSpacing"/>
        <w:jc w:val="both"/>
        <w:rPr>
          <w:rFonts w:ascii="Arial" w:hAnsi="Arial" w:cs="Arial"/>
          <w:color w:val="000000" w:themeColor="text1"/>
          <w:sz w:val="20"/>
          <w:lang w:val="en-GB"/>
        </w:rPr>
      </w:pPr>
      <w:r>
        <w:rPr>
          <w:rFonts w:ascii="Arial" w:hAnsi="Arial" w:cs="Arial"/>
          <w:color w:val="000000" w:themeColor="text1"/>
          <w:sz w:val="20"/>
          <w:lang w:val="en-GB"/>
        </w:rPr>
        <w:t>[4</w:t>
      </w:r>
      <w:r w:rsidRPr="00C66B4D">
        <w:rPr>
          <w:rFonts w:ascii="Arial" w:hAnsi="Arial" w:cs="Arial"/>
          <w:color w:val="000000" w:themeColor="text1"/>
          <w:sz w:val="20"/>
          <w:lang w:val="en-GB"/>
        </w:rPr>
        <w:t>] M.O. van Pelt</w:t>
      </w:r>
      <w:r>
        <w:rPr>
          <w:rFonts w:ascii="Arial" w:hAnsi="Arial" w:cs="Arial"/>
          <w:color w:val="000000" w:themeColor="text1"/>
          <w:sz w:val="20"/>
          <w:lang w:val="en-GB"/>
        </w:rPr>
        <w:t xml:space="preserve">, </w:t>
      </w:r>
      <w:r w:rsidRPr="00C66B4D">
        <w:rPr>
          <w:rFonts w:ascii="Arial" w:hAnsi="Arial" w:cs="Arial"/>
          <w:color w:val="000000" w:themeColor="text1"/>
          <w:sz w:val="20"/>
          <w:lang w:val="en-GB"/>
        </w:rPr>
        <w:t>The RACE Model: a tool for fast and early cost estimates in the CDF</w:t>
      </w:r>
      <w:r>
        <w:rPr>
          <w:rFonts w:ascii="Arial" w:hAnsi="Arial" w:cs="Arial"/>
          <w:color w:val="000000" w:themeColor="text1"/>
          <w:sz w:val="20"/>
          <w:lang w:val="en-GB"/>
        </w:rPr>
        <w:t xml:space="preserve">, </w:t>
      </w:r>
      <w:r w:rsidRPr="00C66B4D">
        <w:rPr>
          <w:rFonts w:ascii="Arial" w:hAnsi="Arial" w:cs="Arial"/>
          <w:color w:val="000000" w:themeColor="text1"/>
          <w:sz w:val="20"/>
          <w:lang w:val="en-GB"/>
        </w:rPr>
        <w:t>CESpace04, 30th Sept –1st Oct 2004, ESTEC, The Netherlands</w:t>
      </w:r>
    </w:p>
    <w:p w14:paraId="52AFA099" w14:textId="00596562" w:rsidR="00EE09DB" w:rsidRDefault="00EE09DB" w:rsidP="00EE09DB">
      <w:pPr>
        <w:pStyle w:val="NoSpacing"/>
        <w:jc w:val="both"/>
        <w:rPr>
          <w:rFonts w:ascii="Arial" w:hAnsi="Arial" w:cs="Arial"/>
          <w:color w:val="000000" w:themeColor="text1"/>
          <w:sz w:val="20"/>
          <w:lang w:val="en-GB"/>
        </w:rPr>
      </w:pPr>
      <w:r>
        <w:rPr>
          <w:rFonts w:ascii="Arial" w:hAnsi="Arial" w:cs="Arial"/>
          <w:color w:val="000000" w:themeColor="text1"/>
          <w:sz w:val="20"/>
          <w:lang w:val="en-GB"/>
        </w:rPr>
        <w:t>[5</w:t>
      </w:r>
      <w:r w:rsidRPr="00C66B4D">
        <w:rPr>
          <w:rFonts w:ascii="Arial" w:hAnsi="Arial" w:cs="Arial"/>
          <w:color w:val="000000" w:themeColor="text1"/>
          <w:sz w:val="20"/>
          <w:lang w:val="en-GB"/>
        </w:rPr>
        <w:t xml:space="preserve">] </w:t>
      </w:r>
      <w:r w:rsidRPr="00EE09DB">
        <w:rPr>
          <w:rFonts w:ascii="Arial" w:hAnsi="Arial" w:cs="Arial"/>
          <w:color w:val="000000" w:themeColor="text1"/>
          <w:sz w:val="20"/>
          <w:lang w:val="en-GB"/>
        </w:rPr>
        <w:t>Elisabetta Lamboglia</w:t>
      </w:r>
      <w:r>
        <w:rPr>
          <w:rFonts w:ascii="Arial" w:hAnsi="Arial" w:cs="Arial"/>
          <w:color w:val="000000" w:themeColor="text1"/>
          <w:sz w:val="20"/>
          <w:lang w:val="en-GB"/>
        </w:rPr>
        <w:t>,</w:t>
      </w:r>
      <w:r w:rsidRPr="00EE09DB">
        <w:rPr>
          <w:rFonts w:ascii="Arial" w:hAnsi="Arial" w:cs="Arial"/>
          <w:color w:val="000000" w:themeColor="text1"/>
          <w:sz w:val="20"/>
          <w:lang w:val="en-GB"/>
        </w:rPr>
        <w:t xml:space="preserve"> RACE with ME: modelling the ma</w:t>
      </w:r>
      <w:r>
        <w:rPr>
          <w:rFonts w:ascii="Arial" w:hAnsi="Arial" w:cs="Arial"/>
          <w:color w:val="000000" w:themeColor="text1"/>
          <w:sz w:val="20"/>
          <w:lang w:val="en-GB"/>
        </w:rPr>
        <w:t xml:space="preserve">rket effects on space projects, </w:t>
      </w:r>
      <w:r w:rsidR="00551B6D">
        <w:rPr>
          <w:rFonts w:ascii="Arial" w:hAnsi="Arial" w:cs="Arial"/>
          <w:color w:val="000000" w:themeColor="text1"/>
          <w:sz w:val="20"/>
          <w:lang w:val="en-GB"/>
        </w:rPr>
        <w:t>Project Control Professional, pp. 16-24</w:t>
      </w:r>
      <w:r w:rsidR="00551B6D" w:rsidRPr="004719BC">
        <w:rPr>
          <w:rFonts w:ascii="Arial" w:hAnsi="Arial" w:cs="Arial"/>
          <w:color w:val="000000" w:themeColor="text1"/>
          <w:sz w:val="20"/>
          <w:lang w:val="en-GB"/>
        </w:rPr>
        <w:t>,</w:t>
      </w:r>
      <w:r w:rsidR="00551B6D">
        <w:rPr>
          <w:rFonts w:ascii="Arial" w:hAnsi="Arial" w:cs="Arial"/>
          <w:color w:val="000000" w:themeColor="text1"/>
          <w:sz w:val="20"/>
          <w:lang w:val="en-GB"/>
        </w:rPr>
        <w:t xml:space="preserve"> </w:t>
      </w:r>
      <w:proofErr w:type="spellStart"/>
      <w:r w:rsidR="00551B6D">
        <w:rPr>
          <w:rFonts w:ascii="Arial" w:hAnsi="Arial" w:cs="Arial"/>
          <w:color w:val="000000" w:themeColor="text1"/>
          <w:sz w:val="20"/>
          <w:lang w:val="en-GB"/>
        </w:rPr>
        <w:t>ACostE</w:t>
      </w:r>
      <w:proofErr w:type="spellEnd"/>
      <w:r w:rsidR="00551B6D">
        <w:rPr>
          <w:rFonts w:ascii="Arial" w:hAnsi="Arial" w:cs="Arial"/>
          <w:color w:val="000000" w:themeColor="text1"/>
          <w:sz w:val="20"/>
          <w:lang w:val="en-GB"/>
        </w:rPr>
        <w:t xml:space="preserve">, </w:t>
      </w:r>
      <w:r w:rsidRPr="00EE09DB">
        <w:rPr>
          <w:rFonts w:ascii="Arial" w:hAnsi="Arial" w:cs="Arial"/>
          <w:color w:val="000000" w:themeColor="text1"/>
          <w:sz w:val="20"/>
          <w:lang w:val="en-GB"/>
        </w:rPr>
        <w:t>November 2011</w:t>
      </w:r>
    </w:p>
    <w:p w14:paraId="6056BAEC" w14:textId="322E67DF" w:rsidR="00EE09DB" w:rsidRDefault="00EE09DB" w:rsidP="00EE09DB">
      <w:pPr>
        <w:pStyle w:val="NoSpacing"/>
        <w:jc w:val="both"/>
        <w:rPr>
          <w:rFonts w:ascii="Arial" w:hAnsi="Arial" w:cs="Arial"/>
          <w:color w:val="000000" w:themeColor="text1"/>
          <w:sz w:val="20"/>
          <w:lang w:val="en-GB"/>
        </w:rPr>
      </w:pPr>
      <w:r>
        <w:rPr>
          <w:rFonts w:ascii="Arial" w:hAnsi="Arial" w:cs="Arial"/>
          <w:color w:val="000000" w:themeColor="text1"/>
          <w:sz w:val="20"/>
          <w:lang w:val="en-GB"/>
        </w:rPr>
        <w:t>[6</w:t>
      </w:r>
      <w:r w:rsidRPr="00C66B4D">
        <w:rPr>
          <w:rFonts w:ascii="Arial" w:hAnsi="Arial" w:cs="Arial"/>
          <w:color w:val="000000" w:themeColor="text1"/>
          <w:sz w:val="20"/>
          <w:lang w:val="en-GB"/>
        </w:rPr>
        <w:t xml:space="preserve">] </w:t>
      </w:r>
      <w:r w:rsidRPr="00EE09DB">
        <w:rPr>
          <w:rFonts w:ascii="Arial" w:hAnsi="Arial" w:cs="Arial"/>
          <w:color w:val="000000" w:themeColor="text1"/>
          <w:sz w:val="20"/>
          <w:lang w:val="en-GB"/>
        </w:rPr>
        <w:t>Elisabetta Lamboglia</w:t>
      </w:r>
      <w:r>
        <w:rPr>
          <w:rFonts w:ascii="Arial" w:hAnsi="Arial" w:cs="Arial"/>
          <w:color w:val="000000" w:themeColor="text1"/>
          <w:sz w:val="20"/>
          <w:lang w:val="en-GB"/>
        </w:rPr>
        <w:t xml:space="preserve">, </w:t>
      </w:r>
      <w:r w:rsidRPr="00EE09DB">
        <w:rPr>
          <w:rFonts w:ascii="Arial" w:hAnsi="Arial" w:cs="Arial"/>
          <w:color w:val="000000" w:themeColor="text1"/>
          <w:sz w:val="20"/>
          <w:lang w:val="en-GB"/>
        </w:rPr>
        <w:t>A tool for rapid and early schedule estimates</w:t>
      </w:r>
      <w:r>
        <w:rPr>
          <w:rFonts w:ascii="Arial" w:hAnsi="Arial" w:cs="Arial"/>
          <w:color w:val="000000" w:themeColor="text1"/>
          <w:sz w:val="20"/>
          <w:lang w:val="en-GB"/>
        </w:rPr>
        <w:t>,</w:t>
      </w:r>
      <w:r w:rsidRPr="00EE09DB">
        <w:rPr>
          <w:rFonts w:ascii="Arial" w:hAnsi="Arial" w:cs="Arial"/>
          <w:color w:val="000000" w:themeColor="text1"/>
          <w:sz w:val="20"/>
          <w:lang w:val="en-GB"/>
        </w:rPr>
        <w:t xml:space="preserve"> Project Con</w:t>
      </w:r>
      <w:r>
        <w:rPr>
          <w:rFonts w:ascii="Arial" w:hAnsi="Arial" w:cs="Arial"/>
          <w:color w:val="000000" w:themeColor="text1"/>
          <w:sz w:val="20"/>
          <w:lang w:val="en-GB"/>
        </w:rPr>
        <w:t xml:space="preserve">trol Professional, </w:t>
      </w:r>
      <w:r w:rsidR="00551B6D">
        <w:rPr>
          <w:rFonts w:ascii="Arial" w:hAnsi="Arial" w:cs="Arial"/>
          <w:color w:val="000000" w:themeColor="text1"/>
          <w:sz w:val="20"/>
          <w:lang w:val="en-GB"/>
        </w:rPr>
        <w:t>pp. 16-24</w:t>
      </w:r>
      <w:r w:rsidR="00551B6D" w:rsidRPr="004719BC">
        <w:rPr>
          <w:rFonts w:ascii="Arial" w:hAnsi="Arial" w:cs="Arial"/>
          <w:color w:val="000000" w:themeColor="text1"/>
          <w:sz w:val="20"/>
          <w:lang w:val="en-GB"/>
        </w:rPr>
        <w:t>,</w:t>
      </w:r>
      <w:r w:rsidR="00551B6D">
        <w:rPr>
          <w:rFonts w:ascii="Arial" w:hAnsi="Arial" w:cs="Arial"/>
          <w:color w:val="000000" w:themeColor="text1"/>
          <w:sz w:val="20"/>
          <w:lang w:val="en-GB"/>
        </w:rPr>
        <w:t xml:space="preserve"> </w:t>
      </w:r>
      <w:proofErr w:type="spellStart"/>
      <w:r w:rsidR="00551B6D">
        <w:rPr>
          <w:rFonts w:ascii="Arial" w:hAnsi="Arial" w:cs="Arial"/>
          <w:color w:val="000000" w:themeColor="text1"/>
          <w:sz w:val="20"/>
          <w:lang w:val="en-GB"/>
        </w:rPr>
        <w:t>ACostE</w:t>
      </w:r>
      <w:proofErr w:type="spellEnd"/>
      <w:r w:rsidR="00551B6D">
        <w:rPr>
          <w:rFonts w:ascii="Arial" w:hAnsi="Arial" w:cs="Arial"/>
          <w:color w:val="000000" w:themeColor="text1"/>
          <w:sz w:val="20"/>
          <w:lang w:val="en-GB"/>
        </w:rPr>
        <w:t>, May</w:t>
      </w:r>
      <w:r>
        <w:rPr>
          <w:rFonts w:ascii="Arial" w:hAnsi="Arial" w:cs="Arial"/>
          <w:color w:val="000000" w:themeColor="text1"/>
          <w:sz w:val="20"/>
          <w:lang w:val="en-GB"/>
        </w:rPr>
        <w:t xml:space="preserve"> 2014</w:t>
      </w:r>
    </w:p>
    <w:p w14:paraId="41C8BF27" w14:textId="18D5E249" w:rsidR="00EE09DB" w:rsidRPr="00EE09DB" w:rsidRDefault="00EE09DB" w:rsidP="00EE09DB">
      <w:pPr>
        <w:pStyle w:val="NoSpacing"/>
        <w:jc w:val="both"/>
        <w:rPr>
          <w:rFonts w:ascii="Arial" w:hAnsi="Arial" w:cs="Arial"/>
          <w:color w:val="000000" w:themeColor="text1"/>
          <w:sz w:val="20"/>
          <w:lang w:val="en-GB"/>
        </w:rPr>
      </w:pPr>
    </w:p>
    <w:p w14:paraId="3DFE2672" w14:textId="77777777" w:rsidR="00C66B4D" w:rsidRDefault="00C66B4D" w:rsidP="00C66B4D">
      <w:pPr>
        <w:pStyle w:val="NoSpacing"/>
        <w:jc w:val="both"/>
        <w:rPr>
          <w:rFonts w:ascii="Arial" w:hAnsi="Arial" w:cs="Arial"/>
          <w:color w:val="000000" w:themeColor="text1"/>
          <w:sz w:val="20"/>
          <w:lang w:val="en-GB"/>
        </w:rPr>
      </w:pPr>
    </w:p>
    <w:p w14:paraId="213AB80E" w14:textId="77777777" w:rsidR="00C66B4D" w:rsidRDefault="00C66B4D" w:rsidP="00C66B4D">
      <w:pPr>
        <w:pStyle w:val="NoSpacing"/>
        <w:jc w:val="both"/>
        <w:rPr>
          <w:rFonts w:ascii="Arial" w:hAnsi="Arial" w:cs="Arial"/>
          <w:color w:val="000000" w:themeColor="text1"/>
          <w:sz w:val="20"/>
          <w:lang w:val="en-GB"/>
        </w:rPr>
      </w:pPr>
    </w:p>
    <w:p w14:paraId="504B93CC" w14:textId="77777777" w:rsidR="00C66B4D" w:rsidRDefault="00C66B4D" w:rsidP="00C66B4D">
      <w:pPr>
        <w:pStyle w:val="NoSpacing"/>
        <w:jc w:val="both"/>
        <w:rPr>
          <w:rFonts w:ascii="Arial" w:hAnsi="Arial" w:cs="Arial"/>
          <w:color w:val="000000" w:themeColor="text1"/>
          <w:sz w:val="20"/>
          <w:lang w:val="en-GB"/>
        </w:rPr>
      </w:pPr>
    </w:p>
    <w:p w14:paraId="3FEFCDD6" w14:textId="77777777" w:rsidR="00C66B4D" w:rsidRDefault="00C66B4D" w:rsidP="00C66B4D">
      <w:pPr>
        <w:tabs>
          <w:tab w:val="left" w:pos="-720"/>
          <w:tab w:val="left" w:pos="284"/>
        </w:tabs>
        <w:spacing w:after="120"/>
        <w:jc w:val="both"/>
        <w:rPr>
          <w:rFonts w:ascii="Arial" w:hAnsi="Arial" w:cs="Arial"/>
          <w:color w:val="000000" w:themeColor="text1"/>
          <w:sz w:val="20"/>
          <w:lang w:val="en-GB"/>
        </w:rPr>
      </w:pPr>
    </w:p>
    <w:p w14:paraId="5AFACA3E" w14:textId="4EE2370D" w:rsidR="006E2678" w:rsidRPr="0045005F" w:rsidRDefault="006E2678" w:rsidP="0045005F">
      <w:pPr>
        <w:pStyle w:val="NoSpacing"/>
        <w:jc w:val="both"/>
        <w:rPr>
          <w:rFonts w:ascii="Arial" w:hAnsi="Arial" w:cs="Arial"/>
          <w:color w:val="000000" w:themeColor="text1"/>
          <w:sz w:val="20"/>
          <w:lang w:val="en-GB"/>
        </w:rPr>
      </w:pPr>
    </w:p>
    <w:sectPr w:rsidR="006E2678" w:rsidRPr="0045005F">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2A05B5" w14:textId="77777777" w:rsidR="004F17B8" w:rsidRDefault="004F17B8" w:rsidP="002B3D2E">
      <w:r>
        <w:separator/>
      </w:r>
    </w:p>
  </w:endnote>
  <w:endnote w:type="continuationSeparator" w:id="0">
    <w:p w14:paraId="60530CAA" w14:textId="77777777" w:rsidR="004F17B8" w:rsidRDefault="004F17B8" w:rsidP="002B3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A19311" w14:textId="77777777" w:rsidR="004F17B8" w:rsidRDefault="004F17B8" w:rsidP="002B3D2E">
      <w:r>
        <w:separator/>
      </w:r>
    </w:p>
  </w:footnote>
  <w:footnote w:type="continuationSeparator" w:id="0">
    <w:p w14:paraId="28EAF29C" w14:textId="77777777" w:rsidR="004F17B8" w:rsidRDefault="004F17B8" w:rsidP="002B3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31393" w14:textId="77D21A8A" w:rsidR="001A2217" w:rsidRPr="00A86753" w:rsidRDefault="00FD7318" w:rsidP="00A86753">
    <w:pPr>
      <w:tabs>
        <w:tab w:val="left" w:pos="-720"/>
        <w:tab w:val="left" w:pos="851"/>
        <w:tab w:val="left" w:pos="3600"/>
      </w:tabs>
      <w:rPr>
        <w:rFonts w:ascii="Arial" w:eastAsia="Arial Unicode MS" w:hAnsi="Arial" w:cs="Arial"/>
        <w:b/>
        <w:i/>
        <w:noProof/>
        <w:color w:val="000000" w:themeColor="text1"/>
        <w:spacing w:val="-2"/>
        <w:szCs w:val="18"/>
        <w:lang w:val="en-GB"/>
      </w:rPr>
    </w:pPr>
    <w:r>
      <w:rPr>
        <w:rFonts w:ascii="Arial" w:eastAsia="Arial Unicode MS" w:hAnsi="Arial" w:cs="Arial"/>
        <w:b/>
        <w:i/>
        <w:noProof/>
        <w:color w:val="000000" w:themeColor="text1"/>
        <w:spacing w:val="-2"/>
        <w:sz w:val="20"/>
        <w:lang w:val="en-GB"/>
      </w:rPr>
      <w:t>SECESA 2018</w:t>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r w:rsidR="001A2217">
      <w:rPr>
        <w:rFonts w:ascii="Arial" w:eastAsia="Arial Unicode MS" w:hAnsi="Arial" w:cs="Arial"/>
        <w:b/>
        <w:i/>
        <w:noProof/>
        <w:color w:val="000000" w:themeColor="text1"/>
        <w:spacing w:val="-2"/>
        <w:szCs w:val="18"/>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0E698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1" w15:restartNumberingAfterBreak="0">
    <w:nsid w:val="311A7272"/>
    <w:multiLevelType w:val="multilevel"/>
    <w:tmpl w:val="F384B112"/>
    <w:lvl w:ilvl="0">
      <w:start w:val="1"/>
      <w:numFmt w:val="decimal"/>
      <w:lvlText w:val="%1."/>
      <w:lvlJc w:val="left"/>
      <w:pPr>
        <w:ind w:left="340" w:firstLine="0"/>
      </w:pPr>
      <w:rPr>
        <w:rFonts w:hint="default"/>
      </w:rPr>
    </w:lvl>
    <w:lvl w:ilvl="1">
      <w:start w:val="1"/>
      <w:numFmt w:val="decimal"/>
      <w:lvlText w:val="%1.%2."/>
      <w:lvlJc w:val="left"/>
      <w:pPr>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2" w15:restartNumberingAfterBreak="0">
    <w:nsid w:val="39AC479F"/>
    <w:multiLevelType w:val="hybridMultilevel"/>
    <w:tmpl w:val="CF988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A5C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783366E"/>
    <w:multiLevelType w:val="multilevel"/>
    <w:tmpl w:val="8A2A0F4E"/>
    <w:lvl w:ilvl="0">
      <w:start w:val="1"/>
      <w:numFmt w:val="decimal"/>
      <w:lvlText w:val="%1."/>
      <w:lvlJc w:val="left"/>
      <w:pPr>
        <w:tabs>
          <w:tab w:val="num" w:pos="340"/>
        </w:tabs>
        <w:ind w:left="340" w:firstLine="0"/>
      </w:pPr>
      <w:rPr>
        <w:rFonts w:hint="default"/>
      </w:rPr>
    </w:lvl>
    <w:lvl w:ilvl="1">
      <w:start w:val="1"/>
      <w:numFmt w:val="decimal"/>
      <w:lvlText w:val="%1.%2."/>
      <w:lvlJc w:val="left"/>
      <w:pPr>
        <w:tabs>
          <w:tab w:val="num" w:pos="340"/>
        </w:tabs>
        <w:ind w:left="340" w:firstLine="0"/>
      </w:pPr>
      <w:rPr>
        <w:rFonts w:hint="default"/>
      </w:rPr>
    </w:lvl>
    <w:lvl w:ilvl="2">
      <w:start w:val="1"/>
      <w:numFmt w:val="decimal"/>
      <w:lvlText w:val="%1.%2.%3."/>
      <w:lvlJc w:val="left"/>
      <w:pPr>
        <w:tabs>
          <w:tab w:val="num" w:pos="340"/>
        </w:tabs>
        <w:ind w:left="340" w:firstLine="0"/>
      </w:pPr>
      <w:rPr>
        <w:rFonts w:hint="default"/>
      </w:rPr>
    </w:lvl>
    <w:lvl w:ilvl="3">
      <w:start w:val="1"/>
      <w:numFmt w:val="decimal"/>
      <w:lvlText w:val="%1.%2.%3.%4."/>
      <w:lvlJc w:val="left"/>
      <w:pPr>
        <w:tabs>
          <w:tab w:val="num" w:pos="340"/>
        </w:tabs>
        <w:ind w:left="340" w:firstLine="0"/>
      </w:pPr>
      <w:rPr>
        <w:rFonts w:hint="default"/>
      </w:rPr>
    </w:lvl>
    <w:lvl w:ilvl="4">
      <w:start w:val="1"/>
      <w:numFmt w:val="decimal"/>
      <w:lvlText w:val="%1.%2.%3.%4.%5."/>
      <w:lvlJc w:val="left"/>
      <w:pPr>
        <w:tabs>
          <w:tab w:val="num" w:pos="340"/>
        </w:tabs>
        <w:ind w:left="340" w:firstLine="0"/>
      </w:pPr>
      <w:rPr>
        <w:rFonts w:hint="default"/>
      </w:rPr>
    </w:lvl>
    <w:lvl w:ilvl="5">
      <w:start w:val="1"/>
      <w:numFmt w:val="decimal"/>
      <w:lvlText w:val="%1.%2.%3.%4.%5.%6."/>
      <w:lvlJc w:val="left"/>
      <w:pPr>
        <w:tabs>
          <w:tab w:val="num" w:pos="340"/>
        </w:tabs>
        <w:ind w:left="340" w:firstLine="0"/>
      </w:pPr>
      <w:rPr>
        <w:rFonts w:hint="default"/>
      </w:rPr>
    </w:lvl>
    <w:lvl w:ilvl="6">
      <w:start w:val="1"/>
      <w:numFmt w:val="decimal"/>
      <w:lvlText w:val="%1.%2.%3.%4.%5.%6.%7."/>
      <w:lvlJc w:val="left"/>
      <w:pPr>
        <w:tabs>
          <w:tab w:val="num" w:pos="340"/>
        </w:tabs>
        <w:ind w:left="340" w:firstLine="0"/>
      </w:pPr>
      <w:rPr>
        <w:rFonts w:hint="default"/>
      </w:rPr>
    </w:lvl>
    <w:lvl w:ilvl="7">
      <w:start w:val="1"/>
      <w:numFmt w:val="decimal"/>
      <w:lvlText w:val="%1.%2.%3.%4.%5.%6.%7.%8."/>
      <w:lvlJc w:val="left"/>
      <w:pPr>
        <w:ind w:left="340" w:firstLine="0"/>
      </w:pPr>
      <w:rPr>
        <w:rFonts w:hint="default"/>
      </w:rPr>
    </w:lvl>
    <w:lvl w:ilvl="8">
      <w:start w:val="1"/>
      <w:numFmt w:val="decimal"/>
      <w:lvlText w:val="%1.%2.%3.%4.%5.%6.%7.%8.%9."/>
      <w:lvlJc w:val="left"/>
      <w:pPr>
        <w:ind w:left="340" w:firstLine="0"/>
      </w:pPr>
      <w:rPr>
        <w:rFonts w:hint="default"/>
      </w:rPr>
    </w:lvl>
  </w:abstractNum>
  <w:abstractNum w:abstractNumId="5" w15:restartNumberingAfterBreak="0">
    <w:nsid w:val="71010DB8"/>
    <w:multiLevelType w:val="multilevel"/>
    <w:tmpl w:val="BA5CE4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5"/>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2EB"/>
    <w:rsid w:val="00013214"/>
    <w:rsid w:val="00067049"/>
    <w:rsid w:val="001062A3"/>
    <w:rsid w:val="00141778"/>
    <w:rsid w:val="001475A6"/>
    <w:rsid w:val="001549ED"/>
    <w:rsid w:val="0016733A"/>
    <w:rsid w:val="001A2217"/>
    <w:rsid w:val="001B0137"/>
    <w:rsid w:val="001B7EB8"/>
    <w:rsid w:val="001C07E6"/>
    <w:rsid w:val="001C53CE"/>
    <w:rsid w:val="001D5092"/>
    <w:rsid w:val="001E161C"/>
    <w:rsid w:val="001E5A02"/>
    <w:rsid w:val="0021043A"/>
    <w:rsid w:val="002551C5"/>
    <w:rsid w:val="0027138A"/>
    <w:rsid w:val="00283242"/>
    <w:rsid w:val="002B0E94"/>
    <w:rsid w:val="002B3D2E"/>
    <w:rsid w:val="00316958"/>
    <w:rsid w:val="00346EF7"/>
    <w:rsid w:val="003621EB"/>
    <w:rsid w:val="003E5686"/>
    <w:rsid w:val="003F0AF8"/>
    <w:rsid w:val="0045005F"/>
    <w:rsid w:val="004719BC"/>
    <w:rsid w:val="004F17B8"/>
    <w:rsid w:val="0050245D"/>
    <w:rsid w:val="005028D7"/>
    <w:rsid w:val="00530AD7"/>
    <w:rsid w:val="0053674D"/>
    <w:rsid w:val="00551B6D"/>
    <w:rsid w:val="00583263"/>
    <w:rsid w:val="00614BDE"/>
    <w:rsid w:val="00635748"/>
    <w:rsid w:val="00676A0D"/>
    <w:rsid w:val="006809E1"/>
    <w:rsid w:val="006D31EF"/>
    <w:rsid w:val="006E2678"/>
    <w:rsid w:val="007208A1"/>
    <w:rsid w:val="007465A5"/>
    <w:rsid w:val="007728AF"/>
    <w:rsid w:val="00781FA5"/>
    <w:rsid w:val="007F2301"/>
    <w:rsid w:val="008220AB"/>
    <w:rsid w:val="0089542E"/>
    <w:rsid w:val="008D25F1"/>
    <w:rsid w:val="008D7034"/>
    <w:rsid w:val="00910260"/>
    <w:rsid w:val="00955D18"/>
    <w:rsid w:val="00963135"/>
    <w:rsid w:val="00970F68"/>
    <w:rsid w:val="009B09EE"/>
    <w:rsid w:val="009C1608"/>
    <w:rsid w:val="00A04231"/>
    <w:rsid w:val="00A81977"/>
    <w:rsid w:val="00A86753"/>
    <w:rsid w:val="00AA2605"/>
    <w:rsid w:val="00AB3DF0"/>
    <w:rsid w:val="00AC5B81"/>
    <w:rsid w:val="00AD0253"/>
    <w:rsid w:val="00AE29AC"/>
    <w:rsid w:val="00B3099F"/>
    <w:rsid w:val="00B325B2"/>
    <w:rsid w:val="00B82299"/>
    <w:rsid w:val="00B91303"/>
    <w:rsid w:val="00BC0956"/>
    <w:rsid w:val="00C26E50"/>
    <w:rsid w:val="00C45485"/>
    <w:rsid w:val="00C635D7"/>
    <w:rsid w:val="00C66B4D"/>
    <w:rsid w:val="00CA2574"/>
    <w:rsid w:val="00CB6CA7"/>
    <w:rsid w:val="00CD0286"/>
    <w:rsid w:val="00CD27C7"/>
    <w:rsid w:val="00CE6BAB"/>
    <w:rsid w:val="00D816B4"/>
    <w:rsid w:val="00D82FE6"/>
    <w:rsid w:val="00DB37B6"/>
    <w:rsid w:val="00DC44CA"/>
    <w:rsid w:val="00E06F9E"/>
    <w:rsid w:val="00E10F69"/>
    <w:rsid w:val="00E272EB"/>
    <w:rsid w:val="00E3136C"/>
    <w:rsid w:val="00E70430"/>
    <w:rsid w:val="00E713CC"/>
    <w:rsid w:val="00EA719C"/>
    <w:rsid w:val="00EB4338"/>
    <w:rsid w:val="00ED24A9"/>
    <w:rsid w:val="00ED3BF2"/>
    <w:rsid w:val="00EE09DB"/>
    <w:rsid w:val="00F352AE"/>
    <w:rsid w:val="00FD14FE"/>
    <w:rsid w:val="00FD3D7E"/>
    <w:rsid w:val="00FD7318"/>
    <w:rsid w:val="00FF39BD"/>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4E7BF5"/>
  <w15:docId w15:val="{CF6A41AE-5067-4923-910C-9B4CC6CE2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72EB"/>
    <w:pPr>
      <w:widowControl w:val="0"/>
      <w:spacing w:after="0" w:line="240" w:lineRule="auto"/>
    </w:pPr>
    <w:rPr>
      <w:rFonts w:ascii="Courier New" w:eastAsia="Times New Roman" w:hAnsi="Courier New" w:cs="Times New Roman"/>
      <w:snapToGrid w:val="0"/>
      <w:sz w:val="24"/>
      <w:szCs w:val="20"/>
      <w:lang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ext">
    <w:name w:val="Section_text"/>
    <w:basedOn w:val="Normal"/>
    <w:qFormat/>
    <w:rsid w:val="00E272EB"/>
    <w:pPr>
      <w:widowControl/>
      <w:autoSpaceDE w:val="0"/>
      <w:autoSpaceDN w:val="0"/>
      <w:adjustRightInd w:val="0"/>
      <w:spacing w:after="240"/>
      <w:jc w:val="both"/>
    </w:pPr>
    <w:rPr>
      <w:rFonts w:ascii="Times New Roman" w:eastAsia="SimSun" w:hAnsi="Times New Roman"/>
      <w:snapToGrid/>
      <w:sz w:val="20"/>
      <w:lang w:val="en-US" w:eastAsia="zh-CN"/>
    </w:rPr>
  </w:style>
  <w:style w:type="paragraph" w:customStyle="1" w:styleId="Figurecaption">
    <w:name w:val="Figure_caption"/>
    <w:basedOn w:val="Sectiontext"/>
    <w:rsid w:val="00E272EB"/>
    <w:pPr>
      <w:jc w:val="center"/>
    </w:pPr>
  </w:style>
  <w:style w:type="paragraph" w:styleId="BalloonText">
    <w:name w:val="Balloon Text"/>
    <w:basedOn w:val="Normal"/>
    <w:link w:val="BalloonTextChar"/>
    <w:uiPriority w:val="99"/>
    <w:semiHidden/>
    <w:unhideWhenUsed/>
    <w:rsid w:val="00E272EB"/>
    <w:rPr>
      <w:rFonts w:ascii="Tahoma" w:hAnsi="Tahoma" w:cs="Tahoma"/>
      <w:sz w:val="16"/>
      <w:szCs w:val="16"/>
    </w:rPr>
  </w:style>
  <w:style w:type="character" w:customStyle="1" w:styleId="BalloonTextChar">
    <w:name w:val="Balloon Text Char"/>
    <w:basedOn w:val="DefaultParagraphFont"/>
    <w:link w:val="BalloonText"/>
    <w:uiPriority w:val="99"/>
    <w:semiHidden/>
    <w:rsid w:val="00E272EB"/>
    <w:rPr>
      <w:rFonts w:ascii="Tahoma" w:eastAsia="Times New Roman" w:hAnsi="Tahoma" w:cs="Tahoma"/>
      <w:snapToGrid w:val="0"/>
      <w:sz w:val="16"/>
      <w:szCs w:val="16"/>
      <w:lang w:eastAsia="nl-NL"/>
    </w:rPr>
  </w:style>
  <w:style w:type="paragraph" w:customStyle="1" w:styleId="Equation">
    <w:name w:val="Equation"/>
    <w:basedOn w:val="Normal"/>
    <w:rsid w:val="003F0AF8"/>
    <w:pPr>
      <w:widowControl/>
      <w:autoSpaceDE w:val="0"/>
      <w:autoSpaceDN w:val="0"/>
      <w:adjustRightInd w:val="0"/>
      <w:spacing w:after="240"/>
      <w:jc w:val="right"/>
    </w:pPr>
    <w:rPr>
      <w:rFonts w:ascii="Times New Roman" w:eastAsia="SimSun" w:hAnsi="Times New Roman"/>
      <w:snapToGrid/>
      <w:sz w:val="20"/>
      <w:lang w:val="en-US" w:eastAsia="zh-CN"/>
    </w:rPr>
  </w:style>
  <w:style w:type="paragraph" w:styleId="NoSpacing">
    <w:name w:val="No Spacing"/>
    <w:uiPriority w:val="1"/>
    <w:qFormat/>
    <w:rsid w:val="003F0AF8"/>
    <w:pPr>
      <w:widowControl w:val="0"/>
      <w:spacing w:after="0" w:line="240" w:lineRule="auto"/>
    </w:pPr>
    <w:rPr>
      <w:rFonts w:ascii="Courier New" w:eastAsia="Times New Roman" w:hAnsi="Courier New" w:cs="Times New Roman"/>
      <w:snapToGrid w:val="0"/>
      <w:sz w:val="24"/>
      <w:szCs w:val="20"/>
      <w:lang w:eastAsia="nl-NL"/>
    </w:rPr>
  </w:style>
  <w:style w:type="paragraph" w:customStyle="1" w:styleId="References">
    <w:name w:val="References"/>
    <w:basedOn w:val="Normal"/>
    <w:rsid w:val="003F0AF8"/>
    <w:pPr>
      <w:widowControl/>
      <w:autoSpaceDE w:val="0"/>
      <w:autoSpaceDN w:val="0"/>
      <w:adjustRightInd w:val="0"/>
      <w:spacing w:after="240"/>
      <w:jc w:val="both"/>
    </w:pPr>
    <w:rPr>
      <w:rFonts w:ascii="Times New Roman" w:eastAsia="SimSun" w:hAnsi="Times New Roman"/>
      <w:snapToGrid/>
      <w:sz w:val="18"/>
      <w:lang w:val="en-US" w:eastAsia="zh-CN"/>
    </w:rPr>
  </w:style>
  <w:style w:type="paragraph" w:styleId="Header">
    <w:name w:val="header"/>
    <w:basedOn w:val="Normal"/>
    <w:link w:val="HeaderChar"/>
    <w:uiPriority w:val="99"/>
    <w:unhideWhenUsed/>
    <w:rsid w:val="002B3D2E"/>
    <w:pPr>
      <w:tabs>
        <w:tab w:val="center" w:pos="4536"/>
        <w:tab w:val="right" w:pos="9072"/>
      </w:tabs>
    </w:pPr>
  </w:style>
  <w:style w:type="character" w:customStyle="1" w:styleId="HeaderChar">
    <w:name w:val="Header Char"/>
    <w:basedOn w:val="DefaultParagraphFont"/>
    <w:link w:val="Header"/>
    <w:uiPriority w:val="99"/>
    <w:rsid w:val="002B3D2E"/>
    <w:rPr>
      <w:rFonts w:ascii="Courier New" w:eastAsia="Times New Roman" w:hAnsi="Courier New" w:cs="Times New Roman"/>
      <w:snapToGrid w:val="0"/>
      <w:sz w:val="24"/>
      <w:szCs w:val="20"/>
      <w:lang w:eastAsia="nl-NL"/>
    </w:rPr>
  </w:style>
  <w:style w:type="paragraph" w:styleId="Footer">
    <w:name w:val="footer"/>
    <w:basedOn w:val="Normal"/>
    <w:link w:val="FooterChar"/>
    <w:uiPriority w:val="99"/>
    <w:unhideWhenUsed/>
    <w:rsid w:val="002B3D2E"/>
    <w:pPr>
      <w:tabs>
        <w:tab w:val="center" w:pos="4536"/>
        <w:tab w:val="right" w:pos="9072"/>
      </w:tabs>
    </w:pPr>
  </w:style>
  <w:style w:type="character" w:customStyle="1" w:styleId="FooterChar">
    <w:name w:val="Footer Char"/>
    <w:basedOn w:val="DefaultParagraphFont"/>
    <w:link w:val="Footer"/>
    <w:uiPriority w:val="99"/>
    <w:rsid w:val="002B3D2E"/>
    <w:rPr>
      <w:rFonts w:ascii="Courier New" w:eastAsia="Times New Roman" w:hAnsi="Courier New" w:cs="Times New Roman"/>
      <w:snapToGrid w:val="0"/>
      <w:sz w:val="24"/>
      <w:szCs w:val="20"/>
      <w:lang w:eastAsia="nl-NL"/>
    </w:rPr>
  </w:style>
  <w:style w:type="character" w:styleId="PlaceholderText">
    <w:name w:val="Placeholder Text"/>
    <w:basedOn w:val="DefaultParagraphFont"/>
    <w:uiPriority w:val="99"/>
    <w:semiHidden/>
    <w:rsid w:val="00A86753"/>
    <w:rPr>
      <w:color w:val="808080"/>
    </w:rPr>
  </w:style>
  <w:style w:type="paragraph" w:styleId="ListParagraph">
    <w:name w:val="List Paragraph"/>
    <w:basedOn w:val="Normal"/>
    <w:uiPriority w:val="34"/>
    <w:qFormat/>
    <w:rsid w:val="00CB6CA7"/>
    <w:pPr>
      <w:ind w:left="720"/>
      <w:contextualSpacing/>
    </w:pPr>
  </w:style>
  <w:style w:type="character" w:styleId="Hyperlink">
    <w:name w:val="Hyperlink"/>
    <w:basedOn w:val="DefaultParagraphFont"/>
    <w:uiPriority w:val="99"/>
    <w:unhideWhenUsed/>
    <w:rsid w:val="007208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58340">
      <w:bodyDiv w:val="1"/>
      <w:marLeft w:val="0"/>
      <w:marRight w:val="0"/>
      <w:marTop w:val="0"/>
      <w:marBottom w:val="0"/>
      <w:divBdr>
        <w:top w:val="none" w:sz="0" w:space="0" w:color="auto"/>
        <w:left w:val="none" w:sz="0" w:space="0" w:color="auto"/>
        <w:bottom w:val="none" w:sz="0" w:space="0" w:color="auto"/>
        <w:right w:val="none" w:sz="0" w:space="0" w:color="auto"/>
      </w:divBdr>
    </w:div>
    <w:div w:id="334184941">
      <w:bodyDiv w:val="1"/>
      <w:marLeft w:val="0"/>
      <w:marRight w:val="0"/>
      <w:marTop w:val="0"/>
      <w:marBottom w:val="0"/>
      <w:divBdr>
        <w:top w:val="none" w:sz="0" w:space="0" w:color="auto"/>
        <w:left w:val="none" w:sz="0" w:space="0" w:color="auto"/>
        <w:bottom w:val="none" w:sz="0" w:space="0" w:color="auto"/>
        <w:right w:val="none" w:sz="0" w:space="0" w:color="auto"/>
      </w:divBdr>
    </w:div>
    <w:div w:id="1584996277">
      <w:bodyDiv w:val="1"/>
      <w:marLeft w:val="0"/>
      <w:marRight w:val="0"/>
      <w:marTop w:val="0"/>
      <w:marBottom w:val="0"/>
      <w:divBdr>
        <w:top w:val="none" w:sz="0" w:space="0" w:color="auto"/>
        <w:left w:val="none" w:sz="0" w:space="0" w:color="auto"/>
        <w:bottom w:val="none" w:sz="0" w:space="0" w:color="auto"/>
        <w:right w:val="none" w:sz="0" w:space="0" w:color="auto"/>
      </w:divBdr>
    </w:div>
    <w:div w:id="195409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ina.Cotuna@esa.in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ichel.van.Pelt@esa.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Elisabetta.Lamboglia@esa.i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ECFF845D979C4E999CD4BFB9630BFA" ma:contentTypeVersion="0" ma:contentTypeDescription="Create a new document." ma:contentTypeScope="" ma:versionID="811b775ac9652bc6e8893582ad6f43dd">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2A162F-AB3D-45A0-A9C8-AE3A8FAC77A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8DEEE7-F950-4F6E-B51D-A0F2C2346817}">
  <ds:schemaRefs>
    <ds:schemaRef ds:uri="http://schemas.microsoft.com/sharepoint/v3/contenttype/forms"/>
  </ds:schemaRefs>
</ds:datastoreItem>
</file>

<file path=customXml/itemProps3.xml><?xml version="1.0" encoding="utf-8"?>
<ds:datastoreItem xmlns:ds="http://schemas.openxmlformats.org/officeDocument/2006/customXml" ds:itemID="{C099C8EA-892A-414A-BD94-C91FFF58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ATPi</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Di Blasio</dc:creator>
  <cp:lastModifiedBy>Elisabetta Lamboglia</cp:lastModifiedBy>
  <cp:revision>4</cp:revision>
  <dcterms:created xsi:type="dcterms:W3CDTF">2018-04-18T09:01:00Z</dcterms:created>
  <dcterms:modified xsi:type="dcterms:W3CDTF">2018-04-18T09:15:00Z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0x01010040ECFF845D979C4E999CD4BFB9630BFA</vt:lpwstr>
  </property>
</Properties>
</file>