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C691" w14:textId="7288496A" w:rsidR="00136030" w:rsidRPr="00F83F3E" w:rsidRDefault="00F83F3E" w:rsidP="00FC3F16">
      <w:pPr>
        <w:pStyle w:val="Style2"/>
        <w:spacing w:line="240" w:lineRule="auto"/>
        <w:rPr>
          <w:sz w:val="18"/>
          <w:szCs w:val="18"/>
        </w:rPr>
      </w:pPr>
      <w:r>
        <w:rPr>
          <w:sz w:val="18"/>
          <w:szCs w:val="18"/>
        </w:rPr>
        <w:t xml:space="preserve">Title: </w:t>
      </w:r>
      <w:proofErr w:type="spellStart"/>
      <w:r w:rsidRPr="00F83F3E">
        <w:rPr>
          <w:sz w:val="18"/>
          <w:szCs w:val="18"/>
        </w:rPr>
        <w:t>Liveability</w:t>
      </w:r>
      <w:proofErr w:type="spellEnd"/>
      <w:r w:rsidRPr="00F83F3E">
        <w:rPr>
          <w:sz w:val="18"/>
          <w:szCs w:val="18"/>
        </w:rPr>
        <w:t xml:space="preserve"> and Growth of Turkey Poults Fed Honey Early Post Hatch</w:t>
      </w:r>
    </w:p>
    <w:p w14:paraId="2AA63561" w14:textId="7C0FB67F" w:rsidR="00FC3FA1" w:rsidRPr="00F83F3E" w:rsidRDefault="00F83F3E" w:rsidP="00FC3F16">
      <w:pPr>
        <w:pStyle w:val="Style2"/>
        <w:spacing w:line="240" w:lineRule="auto"/>
        <w:rPr>
          <w:b w:val="0"/>
          <w:bCs/>
          <w:sz w:val="18"/>
          <w:szCs w:val="18"/>
        </w:rPr>
      </w:pPr>
      <w:r>
        <w:rPr>
          <w:b w:val="0"/>
          <w:bCs/>
          <w:sz w:val="18"/>
          <w:szCs w:val="18"/>
        </w:rPr>
        <w:t xml:space="preserve">Authors: </w:t>
      </w:r>
      <w:r w:rsidR="00FC3FA1" w:rsidRPr="00F83F3E">
        <w:rPr>
          <w:b w:val="0"/>
          <w:bCs/>
          <w:sz w:val="18"/>
          <w:szCs w:val="18"/>
        </w:rPr>
        <w:t>R</w:t>
      </w:r>
      <w:r w:rsidR="00735318">
        <w:rPr>
          <w:b w:val="0"/>
          <w:bCs/>
          <w:sz w:val="18"/>
          <w:szCs w:val="18"/>
        </w:rPr>
        <w:t xml:space="preserve">. </w:t>
      </w:r>
      <w:r w:rsidR="00FC3FA1" w:rsidRPr="00F83F3E">
        <w:rPr>
          <w:b w:val="0"/>
          <w:bCs/>
          <w:sz w:val="18"/>
          <w:szCs w:val="18"/>
        </w:rPr>
        <w:t>Adejumo</w:t>
      </w:r>
      <w:r w:rsidRPr="00F83F3E">
        <w:rPr>
          <w:b w:val="0"/>
          <w:bCs/>
          <w:sz w:val="18"/>
          <w:szCs w:val="18"/>
          <w:vertAlign w:val="superscript"/>
        </w:rPr>
        <w:t>1,</w:t>
      </w:r>
      <w:proofErr w:type="gramStart"/>
      <w:r w:rsidR="00735318">
        <w:rPr>
          <w:b w:val="0"/>
          <w:bCs/>
          <w:sz w:val="18"/>
          <w:szCs w:val="18"/>
          <w:vertAlign w:val="superscript"/>
        </w:rPr>
        <w:t>2,</w:t>
      </w:r>
      <w:r w:rsidRPr="00F83F3E">
        <w:rPr>
          <w:b w:val="0"/>
          <w:bCs/>
          <w:sz w:val="18"/>
          <w:szCs w:val="18"/>
          <w:vertAlign w:val="superscript"/>
        </w:rPr>
        <w:t>a</w:t>
      </w:r>
      <w:proofErr w:type="gramEnd"/>
      <w:r w:rsidR="00FC3FA1" w:rsidRPr="00F83F3E">
        <w:rPr>
          <w:b w:val="0"/>
          <w:bCs/>
          <w:sz w:val="18"/>
          <w:szCs w:val="18"/>
        </w:rPr>
        <w:t>, T. Makanju</w:t>
      </w:r>
      <w:r w:rsidR="00735318" w:rsidRPr="00735318">
        <w:rPr>
          <w:b w:val="0"/>
          <w:bCs/>
          <w:sz w:val="18"/>
          <w:szCs w:val="18"/>
          <w:vertAlign w:val="superscript"/>
        </w:rPr>
        <w:t>2</w:t>
      </w:r>
      <w:r w:rsidR="00735318">
        <w:rPr>
          <w:b w:val="0"/>
          <w:bCs/>
          <w:sz w:val="18"/>
          <w:szCs w:val="18"/>
          <w:vertAlign w:val="superscript"/>
        </w:rPr>
        <w:t>,</w:t>
      </w:r>
      <w:r w:rsidRPr="00F83F3E">
        <w:rPr>
          <w:b w:val="0"/>
          <w:bCs/>
          <w:sz w:val="18"/>
          <w:szCs w:val="18"/>
          <w:vertAlign w:val="superscript"/>
        </w:rPr>
        <w:t>3</w:t>
      </w:r>
      <w:r w:rsidR="00735318">
        <w:rPr>
          <w:b w:val="0"/>
          <w:bCs/>
          <w:sz w:val="18"/>
          <w:szCs w:val="18"/>
        </w:rPr>
        <w:t>, I. Adebowale</w:t>
      </w:r>
      <w:r w:rsidR="00735318" w:rsidRPr="00735318">
        <w:rPr>
          <w:b w:val="0"/>
          <w:bCs/>
          <w:sz w:val="18"/>
          <w:szCs w:val="18"/>
          <w:vertAlign w:val="superscript"/>
        </w:rPr>
        <w:t>2</w:t>
      </w:r>
      <w:r w:rsidR="00735318">
        <w:rPr>
          <w:b w:val="0"/>
          <w:bCs/>
          <w:sz w:val="18"/>
          <w:szCs w:val="18"/>
        </w:rPr>
        <w:t xml:space="preserve"> </w:t>
      </w:r>
      <w:r w:rsidR="00FC3FA1" w:rsidRPr="00F83F3E">
        <w:rPr>
          <w:b w:val="0"/>
          <w:bCs/>
          <w:sz w:val="18"/>
          <w:szCs w:val="18"/>
        </w:rPr>
        <w:t>and A. Agboola</w:t>
      </w:r>
      <w:r w:rsidRPr="00F83F3E">
        <w:rPr>
          <w:b w:val="0"/>
          <w:bCs/>
          <w:sz w:val="18"/>
          <w:szCs w:val="18"/>
          <w:vertAlign w:val="superscript"/>
        </w:rPr>
        <w:t>2</w:t>
      </w:r>
    </w:p>
    <w:p w14:paraId="40FFA998" w14:textId="7D76C71F" w:rsidR="00FC3FA1" w:rsidRPr="00F83F3E" w:rsidRDefault="00FC3FA1" w:rsidP="00FC3F16">
      <w:pPr>
        <w:pStyle w:val="Style2"/>
        <w:spacing w:line="240" w:lineRule="auto"/>
        <w:rPr>
          <w:b w:val="0"/>
          <w:bCs/>
          <w:sz w:val="18"/>
          <w:szCs w:val="18"/>
        </w:rPr>
      </w:pPr>
      <w:r w:rsidRPr="00F83F3E">
        <w:rPr>
          <w:b w:val="0"/>
          <w:bCs/>
          <w:sz w:val="18"/>
          <w:szCs w:val="18"/>
        </w:rPr>
        <w:t xml:space="preserve">1. </w:t>
      </w:r>
      <w:r w:rsidR="00F83F3E" w:rsidRPr="00F83F3E">
        <w:rPr>
          <w:b w:val="0"/>
          <w:bCs/>
          <w:sz w:val="18"/>
          <w:szCs w:val="18"/>
        </w:rPr>
        <w:t>Nigerian Institute of Animal Science, Nigeria</w:t>
      </w:r>
    </w:p>
    <w:p w14:paraId="4C259E36" w14:textId="1250FF53" w:rsidR="00FC3FA1" w:rsidRPr="00F83F3E" w:rsidRDefault="00FC3FA1" w:rsidP="00FC3F16">
      <w:pPr>
        <w:pStyle w:val="Style2"/>
        <w:spacing w:line="240" w:lineRule="auto"/>
        <w:rPr>
          <w:b w:val="0"/>
          <w:bCs/>
          <w:sz w:val="18"/>
          <w:szCs w:val="18"/>
        </w:rPr>
      </w:pPr>
      <w:r w:rsidRPr="00F83F3E">
        <w:rPr>
          <w:b w:val="0"/>
          <w:bCs/>
          <w:sz w:val="18"/>
          <w:szCs w:val="18"/>
        </w:rPr>
        <w:t xml:space="preserve">2. </w:t>
      </w:r>
      <w:r w:rsidR="00F83F3E" w:rsidRPr="00F83F3E">
        <w:rPr>
          <w:b w:val="0"/>
          <w:bCs/>
          <w:sz w:val="18"/>
          <w:szCs w:val="18"/>
        </w:rPr>
        <w:t xml:space="preserve">Department of Animal Science, </w:t>
      </w:r>
      <w:r w:rsidRPr="00F83F3E">
        <w:rPr>
          <w:b w:val="0"/>
          <w:bCs/>
          <w:sz w:val="18"/>
          <w:szCs w:val="18"/>
        </w:rPr>
        <w:t>University of Ibadan, Ibadan, Nigeria</w:t>
      </w:r>
    </w:p>
    <w:p w14:paraId="176A773A" w14:textId="151AB580" w:rsidR="00FC3FA1" w:rsidRPr="00F83F3E" w:rsidRDefault="00FC3FA1" w:rsidP="00FC3F16">
      <w:pPr>
        <w:pStyle w:val="Style2"/>
        <w:spacing w:line="240" w:lineRule="auto"/>
        <w:rPr>
          <w:b w:val="0"/>
          <w:bCs/>
          <w:sz w:val="18"/>
          <w:szCs w:val="18"/>
        </w:rPr>
      </w:pPr>
      <w:r w:rsidRPr="00F83F3E">
        <w:rPr>
          <w:b w:val="0"/>
          <w:bCs/>
          <w:sz w:val="18"/>
          <w:szCs w:val="18"/>
        </w:rPr>
        <w:t xml:space="preserve">3. </w:t>
      </w:r>
      <w:r w:rsidR="00F83F3E" w:rsidRPr="00F83F3E">
        <w:rPr>
          <w:b w:val="0"/>
          <w:bCs/>
          <w:sz w:val="18"/>
          <w:szCs w:val="18"/>
        </w:rPr>
        <w:t>Department of Animal Health and Production Technology, Oyo State College of Agriculture and Technology</w:t>
      </w:r>
    </w:p>
    <w:p w14:paraId="4D8E12F9" w14:textId="0551D720" w:rsidR="00FC3FA1" w:rsidRPr="00F83F3E" w:rsidRDefault="00F83F3E" w:rsidP="00FC3F16">
      <w:pPr>
        <w:pStyle w:val="Style2"/>
        <w:spacing w:line="240" w:lineRule="auto"/>
        <w:rPr>
          <w:b w:val="0"/>
          <w:bCs/>
          <w:sz w:val="18"/>
          <w:szCs w:val="18"/>
        </w:rPr>
      </w:pPr>
      <w:r w:rsidRPr="00F83F3E">
        <w:rPr>
          <w:b w:val="0"/>
          <w:bCs/>
          <w:sz w:val="18"/>
          <w:szCs w:val="18"/>
        </w:rPr>
        <w:t xml:space="preserve">a. </w:t>
      </w:r>
      <w:r w:rsidR="00BD48AA" w:rsidRPr="00F83F3E">
        <w:rPr>
          <w:b w:val="0"/>
          <w:bCs/>
          <w:sz w:val="18"/>
          <w:szCs w:val="18"/>
        </w:rPr>
        <w:t xml:space="preserve">Corresponding author: tundeadejumo@yahoo.co.uk </w:t>
      </w:r>
    </w:p>
    <w:p w14:paraId="37CAAA62" w14:textId="67C5085A" w:rsidR="0087183B" w:rsidRPr="00F83F3E" w:rsidRDefault="0087183B" w:rsidP="009E3F98">
      <w:pPr>
        <w:pStyle w:val="Style2"/>
        <w:spacing w:line="240" w:lineRule="auto"/>
        <w:jc w:val="both"/>
        <w:rPr>
          <w:sz w:val="18"/>
          <w:szCs w:val="18"/>
        </w:rPr>
      </w:pPr>
      <w:r w:rsidRPr="00F83F3E">
        <w:rPr>
          <w:sz w:val="18"/>
          <w:szCs w:val="18"/>
        </w:rPr>
        <w:t>Application</w:t>
      </w:r>
      <w:r w:rsidRPr="00F83F3E">
        <w:rPr>
          <w:b w:val="0"/>
          <w:bCs/>
          <w:sz w:val="18"/>
          <w:szCs w:val="18"/>
        </w:rPr>
        <w:t xml:space="preserve">: </w:t>
      </w:r>
      <w:proofErr w:type="spellStart"/>
      <w:r w:rsidR="00B5577C" w:rsidRPr="00F83F3E">
        <w:rPr>
          <w:b w:val="0"/>
          <w:bCs/>
          <w:sz w:val="18"/>
          <w:szCs w:val="18"/>
        </w:rPr>
        <w:t>Liveability</w:t>
      </w:r>
      <w:proofErr w:type="spellEnd"/>
      <w:r w:rsidR="00B5577C" w:rsidRPr="00F83F3E">
        <w:rPr>
          <w:b w:val="0"/>
          <w:bCs/>
          <w:sz w:val="18"/>
          <w:szCs w:val="18"/>
        </w:rPr>
        <w:t xml:space="preserve"> </w:t>
      </w:r>
      <w:r w:rsidR="00F83F3E" w:rsidRPr="00F83F3E">
        <w:rPr>
          <w:b w:val="0"/>
          <w:bCs/>
          <w:sz w:val="18"/>
          <w:szCs w:val="18"/>
        </w:rPr>
        <w:t xml:space="preserve">of turkey poults </w:t>
      </w:r>
      <w:r w:rsidR="00B5577C" w:rsidRPr="00F83F3E">
        <w:rPr>
          <w:b w:val="0"/>
          <w:bCs/>
          <w:sz w:val="18"/>
          <w:szCs w:val="18"/>
        </w:rPr>
        <w:t xml:space="preserve">was </w:t>
      </w:r>
      <w:r w:rsidR="00F83F3E" w:rsidRPr="00F83F3E">
        <w:rPr>
          <w:b w:val="0"/>
          <w:bCs/>
          <w:sz w:val="18"/>
          <w:szCs w:val="18"/>
        </w:rPr>
        <w:t>enhanced</w:t>
      </w:r>
      <w:r w:rsidR="00B5577C" w:rsidRPr="00F83F3E">
        <w:rPr>
          <w:b w:val="0"/>
          <w:bCs/>
          <w:sz w:val="18"/>
          <w:szCs w:val="18"/>
        </w:rPr>
        <w:t xml:space="preserve"> when 5% honey solution was fed early post hatch</w:t>
      </w:r>
      <w:r w:rsidR="00B5577C" w:rsidRPr="00F83F3E">
        <w:rPr>
          <w:sz w:val="18"/>
          <w:szCs w:val="18"/>
        </w:rPr>
        <w:t xml:space="preserve"> </w:t>
      </w:r>
    </w:p>
    <w:p w14:paraId="30EF197E" w14:textId="5E32FB16" w:rsidR="00136030" w:rsidRPr="00F83F3E" w:rsidRDefault="00286EE0" w:rsidP="009E3F98">
      <w:pPr>
        <w:pStyle w:val="Style2"/>
        <w:spacing w:line="240" w:lineRule="auto"/>
        <w:jc w:val="both"/>
        <w:rPr>
          <w:b w:val="0"/>
          <w:bCs/>
          <w:sz w:val="18"/>
          <w:szCs w:val="18"/>
        </w:rPr>
      </w:pPr>
      <w:r w:rsidRPr="00F83F3E">
        <w:rPr>
          <w:sz w:val="18"/>
          <w:szCs w:val="18"/>
        </w:rPr>
        <w:t>Introduction</w:t>
      </w:r>
      <w:r w:rsidR="00B5577C" w:rsidRPr="00F83F3E">
        <w:rPr>
          <w:sz w:val="18"/>
          <w:szCs w:val="18"/>
        </w:rPr>
        <w:t xml:space="preserve">: </w:t>
      </w:r>
      <w:r w:rsidR="00136030" w:rsidRPr="00F83F3E">
        <w:rPr>
          <w:b w:val="0"/>
          <w:bCs/>
          <w:sz w:val="18"/>
          <w:szCs w:val="18"/>
        </w:rPr>
        <w:t>Excessive depletion of glycogen during hatching has been shown to negatively impact growth and may increase early mortality in young turkeys (</w:t>
      </w:r>
      <w:proofErr w:type="spellStart"/>
      <w:r w:rsidR="00136030" w:rsidRPr="00F83F3E">
        <w:rPr>
          <w:b w:val="0"/>
          <w:bCs/>
          <w:sz w:val="18"/>
          <w:szCs w:val="18"/>
        </w:rPr>
        <w:t>Lingens</w:t>
      </w:r>
      <w:proofErr w:type="spellEnd"/>
      <w:r w:rsidR="00136030" w:rsidRPr="00F83F3E">
        <w:rPr>
          <w:b w:val="0"/>
          <w:bCs/>
          <w:sz w:val="18"/>
          <w:szCs w:val="18"/>
        </w:rPr>
        <w:t xml:space="preserve"> </w:t>
      </w:r>
      <w:r w:rsidR="00136030" w:rsidRPr="00F83F3E">
        <w:rPr>
          <w:b w:val="0"/>
          <w:bCs/>
          <w:i/>
          <w:sz w:val="18"/>
          <w:szCs w:val="18"/>
        </w:rPr>
        <w:t>et al.,</w:t>
      </w:r>
      <w:r w:rsidR="00136030" w:rsidRPr="00F83F3E">
        <w:rPr>
          <w:b w:val="0"/>
          <w:bCs/>
          <w:sz w:val="18"/>
          <w:szCs w:val="18"/>
        </w:rPr>
        <w:t xml:space="preserve"> 2021). Studies have indicated that higher blood glucose levels are associated with increased glycogen concentrations and accelerated growth in turkey embryos and hatchlings (Wang </w:t>
      </w:r>
      <w:r w:rsidR="00136030" w:rsidRPr="00F83F3E">
        <w:rPr>
          <w:b w:val="0"/>
          <w:bCs/>
          <w:i/>
          <w:iCs/>
          <w:sz w:val="18"/>
          <w:szCs w:val="18"/>
        </w:rPr>
        <w:t>et al</w:t>
      </w:r>
      <w:r w:rsidR="00136030" w:rsidRPr="00F83F3E">
        <w:rPr>
          <w:b w:val="0"/>
          <w:bCs/>
          <w:sz w:val="18"/>
          <w:szCs w:val="18"/>
        </w:rPr>
        <w:t>., 2023). The young hatchlings' ability to survive in the first several days after hatching when they are adjusting to a high-energy diet, relies on glycolysis</w:t>
      </w:r>
      <w:r w:rsidR="009E3F98" w:rsidRPr="00F83F3E">
        <w:rPr>
          <w:b w:val="0"/>
          <w:bCs/>
          <w:sz w:val="18"/>
          <w:szCs w:val="18"/>
        </w:rPr>
        <w:t>.</w:t>
      </w:r>
      <w:r w:rsidR="009E3F98" w:rsidRPr="00F83F3E">
        <w:rPr>
          <w:sz w:val="18"/>
          <w:szCs w:val="18"/>
        </w:rPr>
        <w:t xml:space="preserve"> </w:t>
      </w:r>
      <w:proofErr w:type="spellStart"/>
      <w:r w:rsidR="009E3F98" w:rsidRPr="00F83F3E">
        <w:rPr>
          <w:b w:val="0"/>
          <w:bCs/>
          <w:sz w:val="18"/>
          <w:szCs w:val="18"/>
        </w:rPr>
        <w:t>Karabagias</w:t>
      </w:r>
      <w:proofErr w:type="spellEnd"/>
      <w:r w:rsidR="009E3F98" w:rsidRPr="00F83F3E">
        <w:rPr>
          <w:b w:val="0"/>
          <w:bCs/>
          <w:sz w:val="18"/>
          <w:szCs w:val="18"/>
        </w:rPr>
        <w:t xml:space="preserve"> </w:t>
      </w:r>
      <w:r w:rsidR="009E3F98" w:rsidRPr="00F83F3E">
        <w:rPr>
          <w:b w:val="0"/>
          <w:bCs/>
          <w:i/>
          <w:iCs/>
          <w:sz w:val="18"/>
          <w:szCs w:val="18"/>
        </w:rPr>
        <w:t>et al</w:t>
      </w:r>
      <w:r w:rsidR="009E3F98" w:rsidRPr="00F83F3E">
        <w:rPr>
          <w:b w:val="0"/>
          <w:bCs/>
          <w:sz w:val="18"/>
          <w:szCs w:val="18"/>
        </w:rPr>
        <w:t xml:space="preserve">. (2014) states that carbohydrates make up </w:t>
      </w:r>
      <w:proofErr w:type="gramStart"/>
      <w:r w:rsidR="009E3F98" w:rsidRPr="00F83F3E">
        <w:rPr>
          <w:b w:val="0"/>
          <w:bCs/>
          <w:sz w:val="18"/>
          <w:szCs w:val="18"/>
        </w:rPr>
        <w:t>the majority of</w:t>
      </w:r>
      <w:proofErr w:type="gramEnd"/>
      <w:r w:rsidR="009E3F98" w:rsidRPr="00F83F3E">
        <w:rPr>
          <w:b w:val="0"/>
          <w:bCs/>
          <w:sz w:val="18"/>
          <w:szCs w:val="18"/>
        </w:rPr>
        <w:t xml:space="preserve"> honey's dry weight, accounting for approximately 95%, while water and various minor components are present in smaller quantities.</w:t>
      </w:r>
      <w:r w:rsidR="009E3F98" w:rsidRPr="00F83F3E">
        <w:rPr>
          <w:sz w:val="18"/>
          <w:szCs w:val="18"/>
        </w:rPr>
        <w:t xml:space="preserve"> </w:t>
      </w:r>
      <w:r w:rsidR="009E3F98" w:rsidRPr="00F83F3E">
        <w:rPr>
          <w:b w:val="0"/>
          <w:bCs/>
          <w:sz w:val="18"/>
          <w:szCs w:val="18"/>
        </w:rPr>
        <w:t xml:space="preserve">Therefore, effects of early post hatch feeding of honey on </w:t>
      </w:r>
      <w:proofErr w:type="spellStart"/>
      <w:r w:rsidR="009E3F98" w:rsidRPr="00F83F3E">
        <w:rPr>
          <w:b w:val="0"/>
          <w:bCs/>
          <w:sz w:val="18"/>
          <w:szCs w:val="18"/>
        </w:rPr>
        <w:t>liveability</w:t>
      </w:r>
      <w:proofErr w:type="spellEnd"/>
      <w:r w:rsidR="009E3F98" w:rsidRPr="00F83F3E">
        <w:rPr>
          <w:b w:val="0"/>
          <w:bCs/>
          <w:sz w:val="18"/>
          <w:szCs w:val="18"/>
        </w:rPr>
        <w:t xml:space="preserve"> and water consumption of turkey poults were investigated.</w:t>
      </w:r>
    </w:p>
    <w:p w14:paraId="71C17979" w14:textId="144F3D14" w:rsidR="00EB7849" w:rsidRPr="00F83F3E" w:rsidRDefault="00136030" w:rsidP="009E3F98">
      <w:pPr>
        <w:pStyle w:val="Style2"/>
        <w:spacing w:line="240" w:lineRule="auto"/>
        <w:jc w:val="both"/>
        <w:rPr>
          <w:b w:val="0"/>
          <w:bCs/>
          <w:sz w:val="18"/>
          <w:szCs w:val="18"/>
        </w:rPr>
      </w:pPr>
      <w:r w:rsidRPr="00F83F3E">
        <w:rPr>
          <w:sz w:val="18"/>
          <w:szCs w:val="18"/>
        </w:rPr>
        <w:t>Materials and Methods</w:t>
      </w:r>
      <w:r w:rsidR="00B5577C" w:rsidRPr="00F83F3E">
        <w:rPr>
          <w:sz w:val="18"/>
          <w:szCs w:val="18"/>
        </w:rPr>
        <w:t xml:space="preserve">: </w:t>
      </w:r>
      <w:r w:rsidR="00B5577C" w:rsidRPr="00F83F3E">
        <w:rPr>
          <w:b w:val="0"/>
          <w:bCs/>
          <w:sz w:val="18"/>
          <w:szCs w:val="18"/>
        </w:rPr>
        <w:t>Two hundred and forty (n=240), o</w:t>
      </w:r>
      <w:r w:rsidR="00146E5A" w:rsidRPr="00F83F3E">
        <w:rPr>
          <w:b w:val="0"/>
          <w:bCs/>
          <w:sz w:val="18"/>
          <w:szCs w:val="18"/>
        </w:rPr>
        <w:t>ne-day old</w:t>
      </w:r>
      <w:r w:rsidR="000676AD">
        <w:rPr>
          <w:b w:val="0"/>
          <w:bCs/>
          <w:sz w:val="18"/>
          <w:szCs w:val="18"/>
        </w:rPr>
        <w:t xml:space="preserve"> turkey</w:t>
      </w:r>
      <w:r w:rsidR="00146E5A" w:rsidRPr="00F83F3E">
        <w:rPr>
          <w:b w:val="0"/>
          <w:bCs/>
          <w:sz w:val="18"/>
          <w:szCs w:val="18"/>
        </w:rPr>
        <w:t xml:space="preserve"> poults were randomly assigned to</w:t>
      </w:r>
      <w:r w:rsidR="009C2D6C">
        <w:rPr>
          <w:b w:val="0"/>
          <w:bCs/>
          <w:sz w:val="18"/>
          <w:szCs w:val="18"/>
        </w:rPr>
        <w:t>:</w:t>
      </w:r>
      <w:r w:rsidR="00146E5A" w:rsidRPr="00F83F3E">
        <w:rPr>
          <w:b w:val="0"/>
          <w:bCs/>
          <w:sz w:val="18"/>
          <w:szCs w:val="18"/>
        </w:rPr>
        <w:t xml:space="preserve"> untreated water </w:t>
      </w:r>
      <w:r w:rsidR="00EB7849" w:rsidRPr="00F83F3E">
        <w:rPr>
          <w:b w:val="0"/>
          <w:bCs/>
          <w:sz w:val="18"/>
          <w:szCs w:val="18"/>
        </w:rPr>
        <w:t>(control)</w:t>
      </w:r>
      <w:r w:rsidR="00146E5A" w:rsidRPr="00F83F3E">
        <w:rPr>
          <w:b w:val="0"/>
          <w:bCs/>
          <w:sz w:val="18"/>
          <w:szCs w:val="18"/>
        </w:rPr>
        <w:t>, 5% glucose, 1% honey and 5% honey solutions for three days</w:t>
      </w:r>
      <w:r w:rsidR="009C2D6C">
        <w:rPr>
          <w:b w:val="0"/>
          <w:bCs/>
          <w:sz w:val="18"/>
          <w:szCs w:val="18"/>
        </w:rPr>
        <w:t xml:space="preserve"> early</w:t>
      </w:r>
      <w:r w:rsidR="00146E5A" w:rsidRPr="00F83F3E">
        <w:rPr>
          <w:b w:val="0"/>
          <w:bCs/>
          <w:sz w:val="18"/>
          <w:szCs w:val="18"/>
        </w:rPr>
        <w:t xml:space="preserve"> </w:t>
      </w:r>
      <w:r w:rsidR="009C2D6C">
        <w:rPr>
          <w:b w:val="0"/>
          <w:bCs/>
          <w:sz w:val="18"/>
          <w:szCs w:val="18"/>
        </w:rPr>
        <w:t xml:space="preserve">post hatch </w:t>
      </w:r>
      <w:r w:rsidR="00146E5A" w:rsidRPr="00F83F3E">
        <w:rPr>
          <w:b w:val="0"/>
          <w:bCs/>
          <w:sz w:val="18"/>
          <w:szCs w:val="18"/>
        </w:rPr>
        <w:t xml:space="preserve">and raised for </w:t>
      </w:r>
      <w:r w:rsidR="00EB7849" w:rsidRPr="00F83F3E">
        <w:rPr>
          <w:b w:val="0"/>
          <w:bCs/>
          <w:sz w:val="18"/>
          <w:szCs w:val="18"/>
        </w:rPr>
        <w:t>four</w:t>
      </w:r>
      <w:r w:rsidR="00146E5A" w:rsidRPr="00F83F3E">
        <w:rPr>
          <w:b w:val="0"/>
          <w:bCs/>
          <w:sz w:val="18"/>
          <w:szCs w:val="18"/>
        </w:rPr>
        <w:t xml:space="preserve"> weeks</w:t>
      </w:r>
      <w:r w:rsidR="00EB7849" w:rsidRPr="00F83F3E">
        <w:rPr>
          <w:b w:val="0"/>
          <w:bCs/>
          <w:sz w:val="18"/>
          <w:szCs w:val="18"/>
        </w:rPr>
        <w:t xml:space="preserve"> in six replicates of 10 eggs each. </w:t>
      </w:r>
      <w:proofErr w:type="spellStart"/>
      <w:r w:rsidR="000676AD">
        <w:rPr>
          <w:b w:val="0"/>
          <w:bCs/>
          <w:sz w:val="18"/>
          <w:szCs w:val="18"/>
        </w:rPr>
        <w:t>L</w:t>
      </w:r>
      <w:r w:rsidR="00EB7849" w:rsidRPr="00F83F3E">
        <w:rPr>
          <w:b w:val="0"/>
          <w:bCs/>
          <w:sz w:val="18"/>
          <w:szCs w:val="18"/>
        </w:rPr>
        <w:t>iveability</w:t>
      </w:r>
      <w:proofErr w:type="spellEnd"/>
      <w:r w:rsidR="00EB7849" w:rsidRPr="00F83F3E">
        <w:rPr>
          <w:b w:val="0"/>
          <w:bCs/>
          <w:sz w:val="18"/>
          <w:szCs w:val="18"/>
        </w:rPr>
        <w:t xml:space="preserve">, water consumption (mL/bird), Average Daily Feed Intake-ADFI (g/poult/day), Average Daily Weight Gain-ADWG (g/poult/day) and Feed Conversion Ratio-FCR were calculated. Data were </w:t>
      </w:r>
      <w:proofErr w:type="spellStart"/>
      <w:r w:rsidR="00EB7849" w:rsidRPr="00F83F3E">
        <w:rPr>
          <w:b w:val="0"/>
          <w:bCs/>
          <w:sz w:val="18"/>
          <w:szCs w:val="18"/>
        </w:rPr>
        <w:t>analysed</w:t>
      </w:r>
      <w:proofErr w:type="spellEnd"/>
      <w:r w:rsidR="00EB7849" w:rsidRPr="00F83F3E">
        <w:rPr>
          <w:b w:val="0"/>
          <w:bCs/>
          <w:sz w:val="18"/>
          <w:szCs w:val="18"/>
        </w:rPr>
        <w:t xml:space="preserve"> using descriptive statistics and ANOVA</w:t>
      </w:r>
      <w:r w:rsidR="00735318">
        <w:rPr>
          <w:b w:val="0"/>
          <w:bCs/>
          <w:sz w:val="18"/>
          <w:szCs w:val="18"/>
        </w:rPr>
        <w:t xml:space="preserve"> </w:t>
      </w:r>
      <w:r w:rsidR="00B5577C" w:rsidRPr="00F83F3E">
        <w:rPr>
          <w:b w:val="0"/>
          <w:bCs/>
          <w:sz w:val="18"/>
          <w:szCs w:val="18"/>
        </w:rPr>
        <w:t>(SAS 2013)</w:t>
      </w:r>
      <w:r w:rsidR="00EB7849" w:rsidRPr="00F83F3E">
        <w:rPr>
          <w:b w:val="0"/>
          <w:bCs/>
          <w:sz w:val="18"/>
          <w:szCs w:val="18"/>
        </w:rPr>
        <w:t xml:space="preserve"> </w:t>
      </w:r>
      <w:r w:rsidR="00B5577C" w:rsidRPr="00F83F3E">
        <w:rPr>
          <w:b w:val="0"/>
          <w:bCs/>
          <w:sz w:val="18"/>
          <w:szCs w:val="18"/>
        </w:rPr>
        <w:t>and means were separated using Duncan’s Multiple Range Test</w:t>
      </w:r>
      <w:r w:rsidR="00EB7849" w:rsidRPr="00F83F3E">
        <w:rPr>
          <w:b w:val="0"/>
          <w:bCs/>
          <w:sz w:val="18"/>
          <w:szCs w:val="18"/>
        </w:rPr>
        <w:t xml:space="preserve"> α</w:t>
      </w:r>
      <w:r w:rsidR="00EB7849" w:rsidRPr="00F83F3E">
        <w:rPr>
          <w:b w:val="0"/>
          <w:bCs/>
          <w:sz w:val="18"/>
          <w:szCs w:val="18"/>
          <w:vertAlign w:val="subscript"/>
        </w:rPr>
        <w:t>0.05</w:t>
      </w:r>
      <w:r w:rsidR="00EB7849" w:rsidRPr="00F83F3E">
        <w:rPr>
          <w:b w:val="0"/>
          <w:bCs/>
          <w:sz w:val="18"/>
          <w:szCs w:val="18"/>
        </w:rPr>
        <w:t>.</w:t>
      </w:r>
      <w:r w:rsidR="009E3F98" w:rsidRPr="00F83F3E">
        <w:rPr>
          <w:b w:val="0"/>
          <w:bCs/>
          <w:sz w:val="18"/>
          <w:szCs w:val="18"/>
        </w:rPr>
        <w:t xml:space="preserve"> </w:t>
      </w:r>
    </w:p>
    <w:p w14:paraId="2B4A8596" w14:textId="70F63795" w:rsidR="00B5577C" w:rsidRPr="00F83F3E" w:rsidRDefault="00B5577C" w:rsidP="009E3F98">
      <w:pPr>
        <w:pStyle w:val="Style2"/>
        <w:spacing w:line="240" w:lineRule="auto"/>
        <w:jc w:val="both"/>
        <w:rPr>
          <w:b w:val="0"/>
          <w:sz w:val="18"/>
          <w:szCs w:val="18"/>
        </w:rPr>
      </w:pPr>
      <w:r w:rsidRPr="00F83F3E">
        <w:rPr>
          <w:sz w:val="18"/>
          <w:szCs w:val="18"/>
        </w:rPr>
        <w:t>Results</w:t>
      </w:r>
      <w:r w:rsidR="00F83F3E" w:rsidRPr="00F83F3E">
        <w:rPr>
          <w:b w:val="0"/>
          <w:bCs/>
          <w:sz w:val="18"/>
          <w:szCs w:val="18"/>
        </w:rPr>
        <w:t>:</w:t>
      </w:r>
      <w:r w:rsidR="00F83F3E">
        <w:rPr>
          <w:b w:val="0"/>
          <w:bCs/>
          <w:sz w:val="18"/>
          <w:szCs w:val="18"/>
        </w:rPr>
        <w:t xml:space="preserve"> </w:t>
      </w:r>
      <w:r w:rsidR="00FC3F16" w:rsidRPr="00F83F3E">
        <w:rPr>
          <w:b w:val="0"/>
          <w:sz w:val="18"/>
          <w:szCs w:val="18"/>
        </w:rPr>
        <w:t xml:space="preserve">The result of feeding honey early post hatch on performance of turkey poults at week 0 to 4 was as presented in Table </w:t>
      </w:r>
      <w:r w:rsidR="00EB7849" w:rsidRPr="00F83F3E">
        <w:rPr>
          <w:b w:val="0"/>
          <w:sz w:val="18"/>
          <w:szCs w:val="18"/>
        </w:rPr>
        <w:t>1</w:t>
      </w:r>
      <w:r w:rsidR="00FC3F16" w:rsidRPr="00F83F3E">
        <w:rPr>
          <w:b w:val="0"/>
          <w:sz w:val="18"/>
          <w:szCs w:val="18"/>
        </w:rPr>
        <w:t>. The final weight, average daily feed intake and average weight gain showed no significant difference from the control when honey solution was fed. Feed conversion ratio was significantly (</w:t>
      </w:r>
      <w:r w:rsidR="00FC3F16" w:rsidRPr="00F83F3E">
        <w:rPr>
          <w:b w:val="0"/>
          <w:iCs/>
          <w:sz w:val="18"/>
          <w:szCs w:val="18"/>
        </w:rPr>
        <w:t>P</w:t>
      </w:r>
      <w:r w:rsidR="00FC3F16" w:rsidRPr="00F83F3E">
        <w:rPr>
          <w:b w:val="0"/>
          <w:sz w:val="18"/>
          <w:szCs w:val="18"/>
        </w:rPr>
        <w:t xml:space="preserve"> &lt; 0.05) reduced (2.55) in birds that received 5% honey early post hatch. </w:t>
      </w:r>
      <w:proofErr w:type="spellStart"/>
      <w:r w:rsidR="00FC3F16" w:rsidRPr="00F83F3E">
        <w:rPr>
          <w:b w:val="0"/>
          <w:sz w:val="18"/>
          <w:szCs w:val="18"/>
        </w:rPr>
        <w:t>Liveability</w:t>
      </w:r>
      <w:proofErr w:type="spellEnd"/>
      <w:r w:rsidR="00FC3F16" w:rsidRPr="00F83F3E">
        <w:rPr>
          <w:b w:val="0"/>
          <w:sz w:val="18"/>
          <w:szCs w:val="18"/>
        </w:rPr>
        <w:t xml:space="preserve"> was also significantly (</w:t>
      </w:r>
      <w:r w:rsidR="00FC3F16" w:rsidRPr="00F83F3E">
        <w:rPr>
          <w:b w:val="0"/>
          <w:iCs/>
          <w:sz w:val="18"/>
          <w:szCs w:val="18"/>
        </w:rPr>
        <w:t>P</w:t>
      </w:r>
      <w:r w:rsidR="00FC3F16" w:rsidRPr="00F83F3E">
        <w:rPr>
          <w:b w:val="0"/>
          <w:sz w:val="18"/>
          <w:szCs w:val="18"/>
        </w:rPr>
        <w:t xml:space="preserve"> &lt; 0.05) increased (93.80%) when 5% honey solution was fed early post hatch although the value was </w:t>
      </w:r>
      <w:proofErr w:type="gramStart"/>
      <w:r w:rsidR="00FC3F16" w:rsidRPr="00F83F3E">
        <w:rPr>
          <w:b w:val="0"/>
          <w:sz w:val="18"/>
          <w:szCs w:val="18"/>
        </w:rPr>
        <w:t>similar to</w:t>
      </w:r>
      <w:proofErr w:type="gramEnd"/>
      <w:r w:rsidR="00FC3F16" w:rsidRPr="00F83F3E">
        <w:rPr>
          <w:b w:val="0"/>
          <w:sz w:val="18"/>
          <w:szCs w:val="18"/>
        </w:rPr>
        <w:t xml:space="preserve"> that of poults that received 5% glucose and 1% honey</w:t>
      </w:r>
      <w:r w:rsidR="00136030" w:rsidRPr="00F83F3E">
        <w:rPr>
          <w:b w:val="0"/>
          <w:sz w:val="18"/>
          <w:szCs w:val="18"/>
        </w:rPr>
        <w:t>.</w:t>
      </w:r>
      <w:r w:rsidRPr="00F83F3E">
        <w:rPr>
          <w:b w:val="0"/>
          <w:sz w:val="18"/>
          <w:szCs w:val="18"/>
        </w:rPr>
        <w:t xml:space="preserve"> The result of feeding honey early post hatch on water consumption of turkey poults in the first three days early post hatch was as presented in Table 2. At day 1, values obtained for water consumption were significantly higher (</w:t>
      </w:r>
      <w:r w:rsidRPr="00F83F3E">
        <w:rPr>
          <w:b w:val="0"/>
          <w:iCs/>
          <w:sz w:val="18"/>
          <w:szCs w:val="18"/>
        </w:rPr>
        <w:t>P</w:t>
      </w:r>
      <w:r w:rsidRPr="00F83F3E">
        <w:rPr>
          <w:b w:val="0"/>
          <w:sz w:val="18"/>
          <w:szCs w:val="18"/>
        </w:rPr>
        <w:t xml:space="preserve"> &lt; 0.05) and </w:t>
      </w:r>
      <w:proofErr w:type="gramStart"/>
      <w:r w:rsidRPr="00F83F3E">
        <w:rPr>
          <w:b w:val="0"/>
          <w:sz w:val="18"/>
          <w:szCs w:val="18"/>
        </w:rPr>
        <w:t>similar to</w:t>
      </w:r>
      <w:proofErr w:type="gramEnd"/>
      <w:r w:rsidRPr="00F83F3E">
        <w:rPr>
          <w:b w:val="0"/>
          <w:sz w:val="18"/>
          <w:szCs w:val="18"/>
        </w:rPr>
        <w:t xml:space="preserve"> the control except poults on 5% glucose (75 </w:t>
      </w:r>
      <w:proofErr w:type="spellStart"/>
      <w:r w:rsidRPr="00F83F3E">
        <w:rPr>
          <w:b w:val="0"/>
          <w:sz w:val="18"/>
          <w:szCs w:val="18"/>
        </w:rPr>
        <w:t>mLs</w:t>
      </w:r>
      <w:proofErr w:type="spellEnd"/>
      <w:r w:rsidRPr="00F83F3E">
        <w:rPr>
          <w:b w:val="0"/>
          <w:sz w:val="18"/>
          <w:szCs w:val="18"/>
        </w:rPr>
        <w:t>) which had the highest value. Significantly higher (</w:t>
      </w:r>
      <w:r w:rsidRPr="00F83F3E">
        <w:rPr>
          <w:b w:val="0"/>
          <w:iCs/>
          <w:sz w:val="18"/>
          <w:szCs w:val="18"/>
        </w:rPr>
        <w:t>P</w:t>
      </w:r>
      <w:r w:rsidRPr="00F83F3E">
        <w:rPr>
          <w:b w:val="0"/>
          <w:sz w:val="18"/>
          <w:szCs w:val="18"/>
        </w:rPr>
        <w:t xml:space="preserve"> &lt; 0.05) values were also recorded for water consumption on day two with the highest value recorded in poults that received 5% honey (182 </w:t>
      </w:r>
      <w:proofErr w:type="spellStart"/>
      <w:r w:rsidRPr="00F83F3E">
        <w:rPr>
          <w:b w:val="0"/>
          <w:sz w:val="18"/>
          <w:szCs w:val="18"/>
        </w:rPr>
        <w:t>mLs</w:t>
      </w:r>
      <w:proofErr w:type="spellEnd"/>
      <w:r w:rsidRPr="00F83F3E">
        <w:rPr>
          <w:b w:val="0"/>
          <w:sz w:val="18"/>
          <w:szCs w:val="18"/>
        </w:rPr>
        <w:t xml:space="preserve">). At day 3, poults that received 5% glucose (233 </w:t>
      </w:r>
      <w:proofErr w:type="spellStart"/>
      <w:r w:rsidRPr="00F83F3E">
        <w:rPr>
          <w:b w:val="0"/>
          <w:sz w:val="18"/>
          <w:szCs w:val="18"/>
        </w:rPr>
        <w:t>mLs</w:t>
      </w:r>
      <w:proofErr w:type="spellEnd"/>
      <w:r w:rsidRPr="00F83F3E">
        <w:rPr>
          <w:b w:val="0"/>
          <w:sz w:val="18"/>
          <w:szCs w:val="18"/>
        </w:rPr>
        <w:t xml:space="preserve">) and 5% honey (264 </w:t>
      </w:r>
      <w:proofErr w:type="spellStart"/>
      <w:r w:rsidRPr="00F83F3E">
        <w:rPr>
          <w:b w:val="0"/>
          <w:sz w:val="18"/>
          <w:szCs w:val="18"/>
        </w:rPr>
        <w:t>mLs</w:t>
      </w:r>
      <w:proofErr w:type="spellEnd"/>
      <w:r w:rsidRPr="00F83F3E">
        <w:rPr>
          <w:b w:val="0"/>
          <w:sz w:val="18"/>
          <w:szCs w:val="18"/>
        </w:rPr>
        <w:t>) had the higher (</w:t>
      </w:r>
      <w:r w:rsidRPr="00F83F3E">
        <w:rPr>
          <w:b w:val="0"/>
          <w:iCs/>
          <w:sz w:val="18"/>
          <w:szCs w:val="18"/>
        </w:rPr>
        <w:t>P</w:t>
      </w:r>
      <w:r w:rsidRPr="00F83F3E">
        <w:rPr>
          <w:b w:val="0"/>
          <w:sz w:val="18"/>
          <w:szCs w:val="18"/>
        </w:rPr>
        <w:t xml:space="preserve"> &lt; 0.05) values for water consumption than poults that received 1% honey which </w:t>
      </w:r>
      <w:r w:rsidR="009C2D6C">
        <w:rPr>
          <w:b w:val="0"/>
          <w:sz w:val="18"/>
          <w:szCs w:val="18"/>
        </w:rPr>
        <w:t>was</w:t>
      </w:r>
      <w:r w:rsidRPr="00F83F3E">
        <w:rPr>
          <w:b w:val="0"/>
          <w:sz w:val="18"/>
          <w:szCs w:val="18"/>
        </w:rPr>
        <w:t xml:space="preserve"> </w:t>
      </w:r>
      <w:proofErr w:type="gramStart"/>
      <w:r w:rsidRPr="00F83F3E">
        <w:rPr>
          <w:b w:val="0"/>
          <w:sz w:val="18"/>
          <w:szCs w:val="18"/>
        </w:rPr>
        <w:t>similar to</w:t>
      </w:r>
      <w:proofErr w:type="gramEnd"/>
      <w:r w:rsidRPr="00F83F3E">
        <w:rPr>
          <w:b w:val="0"/>
          <w:sz w:val="18"/>
          <w:szCs w:val="18"/>
        </w:rPr>
        <w:t xml:space="preserve"> the control.</w:t>
      </w:r>
    </w:p>
    <w:p w14:paraId="0F878F95" w14:textId="653E064A" w:rsidR="00B5577C" w:rsidRPr="000676AD" w:rsidRDefault="00B5577C" w:rsidP="000676AD">
      <w:pPr>
        <w:spacing w:after="0" w:line="240" w:lineRule="auto"/>
        <w:jc w:val="both"/>
        <w:rPr>
          <w:rFonts w:ascii="Times New Roman" w:hAnsi="Times New Roman"/>
          <w:b/>
          <w:bCs/>
          <w:sz w:val="18"/>
          <w:szCs w:val="18"/>
        </w:rPr>
      </w:pPr>
      <w:r w:rsidRPr="00F83F3E">
        <w:rPr>
          <w:rFonts w:ascii="Times New Roman" w:hAnsi="Times New Roman"/>
          <w:b/>
          <w:bCs/>
          <w:sz w:val="18"/>
          <w:szCs w:val="18"/>
        </w:rPr>
        <w:t>Conclusion</w:t>
      </w:r>
      <w:r w:rsidR="00AD5427" w:rsidRPr="00F83F3E">
        <w:rPr>
          <w:rFonts w:ascii="Times New Roman" w:hAnsi="Times New Roman"/>
          <w:sz w:val="18"/>
          <w:szCs w:val="18"/>
        </w:rPr>
        <w:t>:</w:t>
      </w:r>
      <w:r w:rsidRPr="00F83F3E">
        <w:rPr>
          <w:rFonts w:ascii="Times New Roman" w:hAnsi="Times New Roman"/>
          <w:bCs/>
          <w:sz w:val="18"/>
          <w:szCs w:val="18"/>
        </w:rPr>
        <w:t xml:space="preserve"> </w:t>
      </w:r>
      <w:r w:rsidR="000676AD">
        <w:rPr>
          <w:rFonts w:ascii="Times New Roman" w:hAnsi="Times New Roman"/>
          <w:bCs/>
          <w:sz w:val="18"/>
          <w:szCs w:val="18"/>
        </w:rPr>
        <w:t xml:space="preserve">Early post hatch feeding of 5% honey enhanced </w:t>
      </w:r>
      <w:proofErr w:type="spellStart"/>
      <w:r w:rsidR="000676AD">
        <w:rPr>
          <w:rFonts w:ascii="Times New Roman" w:hAnsi="Times New Roman"/>
          <w:bCs/>
          <w:sz w:val="18"/>
          <w:szCs w:val="18"/>
        </w:rPr>
        <w:t>liveability</w:t>
      </w:r>
      <w:proofErr w:type="spellEnd"/>
      <w:r w:rsidR="000676AD">
        <w:rPr>
          <w:rFonts w:ascii="Times New Roman" w:hAnsi="Times New Roman"/>
          <w:bCs/>
          <w:sz w:val="18"/>
          <w:szCs w:val="18"/>
        </w:rPr>
        <w:t xml:space="preserve"> and </w:t>
      </w:r>
      <w:proofErr w:type="spellStart"/>
      <w:r w:rsidR="000676AD">
        <w:rPr>
          <w:rFonts w:ascii="Times New Roman" w:hAnsi="Times New Roman"/>
          <w:bCs/>
          <w:sz w:val="18"/>
          <w:szCs w:val="18"/>
        </w:rPr>
        <w:t>utilisation</w:t>
      </w:r>
      <w:proofErr w:type="spellEnd"/>
      <w:r w:rsidR="000676AD">
        <w:rPr>
          <w:rFonts w:ascii="Times New Roman" w:hAnsi="Times New Roman"/>
          <w:bCs/>
          <w:sz w:val="18"/>
          <w:szCs w:val="18"/>
        </w:rPr>
        <w:t xml:space="preserve"> of nutrients.  </w:t>
      </w:r>
      <w:r w:rsidRPr="00F83F3E">
        <w:rPr>
          <w:rFonts w:ascii="Times New Roman" w:hAnsi="Times New Roman"/>
          <w:sz w:val="18"/>
          <w:szCs w:val="18"/>
        </w:rPr>
        <w:t>Finding a perfect alternative way to augment or maintain a glucose balance during the early post</w:t>
      </w:r>
      <w:r w:rsidR="00AD5427" w:rsidRPr="00F83F3E">
        <w:rPr>
          <w:rFonts w:ascii="Times New Roman" w:hAnsi="Times New Roman"/>
          <w:sz w:val="18"/>
          <w:szCs w:val="18"/>
        </w:rPr>
        <w:t xml:space="preserve"> hatch phase</w:t>
      </w:r>
      <w:r w:rsidRPr="00F83F3E">
        <w:rPr>
          <w:rFonts w:ascii="Times New Roman" w:hAnsi="Times New Roman"/>
          <w:sz w:val="18"/>
          <w:szCs w:val="18"/>
        </w:rPr>
        <w:t xml:space="preserve"> has potential of producing a very healthy poults with good </w:t>
      </w:r>
      <w:proofErr w:type="spellStart"/>
      <w:r w:rsidRPr="00F83F3E">
        <w:rPr>
          <w:rFonts w:ascii="Times New Roman" w:hAnsi="Times New Roman"/>
          <w:sz w:val="18"/>
          <w:szCs w:val="18"/>
        </w:rPr>
        <w:t>liveability</w:t>
      </w:r>
      <w:proofErr w:type="spellEnd"/>
      <w:r w:rsidRPr="00F83F3E">
        <w:rPr>
          <w:rFonts w:ascii="Times New Roman" w:hAnsi="Times New Roman"/>
          <w:sz w:val="18"/>
          <w:szCs w:val="18"/>
        </w:rPr>
        <w:t>.</w:t>
      </w:r>
    </w:p>
    <w:p w14:paraId="031A1D67" w14:textId="2B822E4F" w:rsidR="00FC3F16" w:rsidRPr="00F83F3E" w:rsidRDefault="00FC3F16" w:rsidP="00EB7849">
      <w:pPr>
        <w:pStyle w:val="Style6"/>
        <w:ind w:left="0" w:firstLine="0"/>
        <w:rPr>
          <w:sz w:val="18"/>
          <w:szCs w:val="18"/>
        </w:rPr>
      </w:pPr>
      <w:r w:rsidRPr="00F83F3E">
        <w:rPr>
          <w:sz w:val="18"/>
          <w:szCs w:val="18"/>
        </w:rPr>
        <w:t xml:space="preserve">Table </w:t>
      </w:r>
      <w:r w:rsidR="00286EE0" w:rsidRPr="00F83F3E">
        <w:rPr>
          <w:sz w:val="18"/>
          <w:szCs w:val="18"/>
        </w:rPr>
        <w:t>1</w:t>
      </w:r>
      <w:r w:rsidRPr="00F83F3E">
        <w:rPr>
          <w:sz w:val="18"/>
          <w:szCs w:val="18"/>
        </w:rPr>
        <w:t>: Effects of feeding honey early post hatch on performance of turkey poults (week 0-4)</w:t>
      </w:r>
    </w:p>
    <w:tbl>
      <w:tblPr>
        <w:tblW w:w="9759" w:type="dxa"/>
        <w:tblCellMar>
          <w:left w:w="0" w:type="dxa"/>
          <w:right w:w="0" w:type="dxa"/>
        </w:tblCellMar>
        <w:tblLook w:val="04A0" w:firstRow="1" w:lastRow="0" w:firstColumn="1" w:lastColumn="0" w:noHBand="0" w:noVBand="1"/>
      </w:tblPr>
      <w:tblGrid>
        <w:gridCol w:w="2065"/>
        <w:gridCol w:w="1263"/>
        <w:gridCol w:w="1475"/>
        <w:gridCol w:w="1298"/>
        <w:gridCol w:w="1220"/>
        <w:gridCol w:w="998"/>
        <w:gridCol w:w="1440"/>
      </w:tblGrid>
      <w:tr w:rsidR="00286EE0" w:rsidRPr="00F83F3E" w14:paraId="489D3C2E" w14:textId="77777777" w:rsidTr="00F83F3E">
        <w:trPr>
          <w:trHeight w:val="133"/>
        </w:trPr>
        <w:tc>
          <w:tcPr>
            <w:tcW w:w="206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BE6B44A"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Treatment </w:t>
            </w:r>
          </w:p>
        </w:tc>
        <w:tc>
          <w:tcPr>
            <w:tcW w:w="126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C9F3361"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Control </w:t>
            </w:r>
          </w:p>
        </w:tc>
        <w:tc>
          <w:tcPr>
            <w:tcW w:w="14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282FF70"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5% Glucose </w:t>
            </w:r>
          </w:p>
        </w:tc>
        <w:tc>
          <w:tcPr>
            <w:tcW w:w="1298"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68E0E14"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1% Honey </w:t>
            </w:r>
          </w:p>
        </w:tc>
        <w:tc>
          <w:tcPr>
            <w:tcW w:w="122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2BEFD6B"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5% Honey </w:t>
            </w:r>
          </w:p>
        </w:tc>
        <w:tc>
          <w:tcPr>
            <w:tcW w:w="998"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40CCEDC"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SEM</w:t>
            </w:r>
          </w:p>
        </w:tc>
        <w:tc>
          <w:tcPr>
            <w:tcW w:w="144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6A68915B"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P-value </w:t>
            </w:r>
          </w:p>
        </w:tc>
      </w:tr>
      <w:tr w:rsidR="00286EE0" w:rsidRPr="00F83F3E" w14:paraId="5B0984F2" w14:textId="77777777" w:rsidTr="00F83F3E">
        <w:trPr>
          <w:trHeight w:val="115"/>
        </w:trPr>
        <w:tc>
          <w:tcPr>
            <w:tcW w:w="2065"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531A8EAC"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Initial weight (</w:t>
            </w:r>
            <w:proofErr w:type="spellStart"/>
            <w:r w:rsidRPr="00F83F3E">
              <w:rPr>
                <w:rFonts w:ascii="Times New Roman" w:hAnsi="Times New Roman"/>
                <w:color w:val="000000"/>
                <w:kern w:val="24"/>
                <w:sz w:val="18"/>
                <w:szCs w:val="18"/>
              </w:rPr>
              <w:t>gbird</w:t>
            </w:r>
            <w:proofErr w:type="spellEnd"/>
            <w:r w:rsidRPr="00F83F3E">
              <w:rPr>
                <w:rFonts w:ascii="Times New Roman" w:hAnsi="Times New Roman"/>
                <w:color w:val="000000"/>
                <w:kern w:val="24"/>
                <w:sz w:val="18"/>
                <w:szCs w:val="18"/>
              </w:rPr>
              <w:t xml:space="preserve">) </w:t>
            </w:r>
          </w:p>
        </w:tc>
        <w:tc>
          <w:tcPr>
            <w:tcW w:w="1263"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3CE02DC8"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50.82 </w:t>
            </w:r>
          </w:p>
        </w:tc>
        <w:tc>
          <w:tcPr>
            <w:tcW w:w="1475"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7F492E90"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51.53 </w:t>
            </w:r>
          </w:p>
        </w:tc>
        <w:tc>
          <w:tcPr>
            <w:tcW w:w="1298"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358C5382"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51.78 </w:t>
            </w:r>
          </w:p>
        </w:tc>
        <w:tc>
          <w:tcPr>
            <w:tcW w:w="1220"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636C6C2E"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52.14 </w:t>
            </w:r>
          </w:p>
        </w:tc>
        <w:tc>
          <w:tcPr>
            <w:tcW w:w="998"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517F0544"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0.17 </w:t>
            </w:r>
          </w:p>
        </w:tc>
        <w:tc>
          <w:tcPr>
            <w:tcW w:w="1440"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10F9D267"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0.033 </w:t>
            </w:r>
          </w:p>
        </w:tc>
      </w:tr>
      <w:tr w:rsidR="00286EE0" w:rsidRPr="00F83F3E" w14:paraId="45F2B48D" w14:textId="77777777" w:rsidTr="00F83F3E">
        <w:trPr>
          <w:trHeight w:val="99"/>
        </w:trPr>
        <w:tc>
          <w:tcPr>
            <w:tcW w:w="2065" w:type="dxa"/>
            <w:tcBorders>
              <w:top w:val="nil"/>
              <w:left w:val="nil"/>
              <w:bottom w:val="nil"/>
              <w:right w:val="nil"/>
            </w:tcBorders>
            <w:shd w:val="clear" w:color="auto" w:fill="FFFFFF"/>
            <w:tcMar>
              <w:top w:w="12" w:type="dxa"/>
              <w:left w:w="108" w:type="dxa"/>
              <w:bottom w:w="0" w:type="dxa"/>
              <w:right w:w="108" w:type="dxa"/>
            </w:tcMar>
            <w:hideMark/>
          </w:tcPr>
          <w:p w14:paraId="173E155A"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Final weight (g/bird) </w:t>
            </w:r>
          </w:p>
        </w:tc>
        <w:tc>
          <w:tcPr>
            <w:tcW w:w="1263" w:type="dxa"/>
            <w:tcBorders>
              <w:top w:val="nil"/>
              <w:left w:val="nil"/>
              <w:bottom w:val="nil"/>
              <w:right w:val="nil"/>
            </w:tcBorders>
            <w:shd w:val="clear" w:color="auto" w:fill="FFFFFF"/>
            <w:tcMar>
              <w:top w:w="12" w:type="dxa"/>
              <w:left w:w="108" w:type="dxa"/>
              <w:bottom w:w="0" w:type="dxa"/>
              <w:right w:w="108" w:type="dxa"/>
            </w:tcMar>
            <w:hideMark/>
          </w:tcPr>
          <w:p w14:paraId="43C5E494"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270.93 </w:t>
            </w:r>
          </w:p>
        </w:tc>
        <w:tc>
          <w:tcPr>
            <w:tcW w:w="1475" w:type="dxa"/>
            <w:tcBorders>
              <w:top w:val="nil"/>
              <w:left w:val="nil"/>
              <w:bottom w:val="nil"/>
              <w:right w:val="nil"/>
            </w:tcBorders>
            <w:shd w:val="clear" w:color="auto" w:fill="FFFFFF"/>
            <w:tcMar>
              <w:top w:w="12" w:type="dxa"/>
              <w:left w:w="108" w:type="dxa"/>
              <w:bottom w:w="0" w:type="dxa"/>
              <w:right w:w="108" w:type="dxa"/>
            </w:tcMar>
            <w:hideMark/>
          </w:tcPr>
          <w:p w14:paraId="19DED52A" w14:textId="14D8F6DB"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282.17</w:t>
            </w:r>
          </w:p>
        </w:tc>
        <w:tc>
          <w:tcPr>
            <w:tcW w:w="1298" w:type="dxa"/>
            <w:tcBorders>
              <w:top w:val="nil"/>
              <w:left w:val="nil"/>
              <w:bottom w:val="nil"/>
              <w:right w:val="nil"/>
            </w:tcBorders>
            <w:shd w:val="clear" w:color="auto" w:fill="FFFFFF"/>
            <w:tcMar>
              <w:top w:w="12" w:type="dxa"/>
              <w:left w:w="108" w:type="dxa"/>
              <w:bottom w:w="0" w:type="dxa"/>
              <w:right w:w="108" w:type="dxa"/>
            </w:tcMar>
            <w:hideMark/>
          </w:tcPr>
          <w:p w14:paraId="14A4661B"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284.14 </w:t>
            </w:r>
          </w:p>
        </w:tc>
        <w:tc>
          <w:tcPr>
            <w:tcW w:w="1220" w:type="dxa"/>
            <w:tcBorders>
              <w:top w:val="nil"/>
              <w:left w:val="nil"/>
              <w:bottom w:val="nil"/>
              <w:right w:val="nil"/>
            </w:tcBorders>
            <w:shd w:val="clear" w:color="auto" w:fill="FFFFFF"/>
            <w:tcMar>
              <w:top w:w="12" w:type="dxa"/>
              <w:left w:w="108" w:type="dxa"/>
              <w:bottom w:w="0" w:type="dxa"/>
              <w:right w:w="108" w:type="dxa"/>
            </w:tcMar>
            <w:hideMark/>
          </w:tcPr>
          <w:p w14:paraId="01EDD5FB"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314.00 </w:t>
            </w:r>
          </w:p>
        </w:tc>
        <w:tc>
          <w:tcPr>
            <w:tcW w:w="998" w:type="dxa"/>
            <w:tcBorders>
              <w:top w:val="nil"/>
              <w:left w:val="nil"/>
              <w:bottom w:val="nil"/>
              <w:right w:val="nil"/>
            </w:tcBorders>
            <w:shd w:val="clear" w:color="auto" w:fill="FFFFFF"/>
            <w:tcMar>
              <w:top w:w="12" w:type="dxa"/>
              <w:left w:w="108" w:type="dxa"/>
              <w:bottom w:w="0" w:type="dxa"/>
              <w:right w:w="108" w:type="dxa"/>
            </w:tcMar>
            <w:hideMark/>
          </w:tcPr>
          <w:p w14:paraId="1C36AC31"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8.61 </w:t>
            </w:r>
          </w:p>
        </w:tc>
        <w:tc>
          <w:tcPr>
            <w:tcW w:w="1440" w:type="dxa"/>
            <w:tcBorders>
              <w:top w:val="nil"/>
              <w:left w:val="nil"/>
              <w:bottom w:val="nil"/>
              <w:right w:val="nil"/>
            </w:tcBorders>
            <w:shd w:val="clear" w:color="auto" w:fill="FFFFFF"/>
            <w:tcMar>
              <w:top w:w="12" w:type="dxa"/>
              <w:left w:w="108" w:type="dxa"/>
              <w:bottom w:w="0" w:type="dxa"/>
              <w:right w:w="108" w:type="dxa"/>
            </w:tcMar>
            <w:hideMark/>
          </w:tcPr>
          <w:p w14:paraId="78789B82"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0.351 </w:t>
            </w:r>
          </w:p>
        </w:tc>
      </w:tr>
      <w:tr w:rsidR="00286EE0" w:rsidRPr="00F83F3E" w14:paraId="79E073A2" w14:textId="77777777" w:rsidTr="00F83F3E">
        <w:trPr>
          <w:trHeight w:val="138"/>
        </w:trPr>
        <w:tc>
          <w:tcPr>
            <w:tcW w:w="2065" w:type="dxa"/>
            <w:tcBorders>
              <w:top w:val="nil"/>
              <w:left w:val="nil"/>
              <w:bottom w:val="nil"/>
              <w:right w:val="nil"/>
            </w:tcBorders>
            <w:shd w:val="clear" w:color="auto" w:fill="FFFFFF"/>
            <w:tcMar>
              <w:top w:w="12" w:type="dxa"/>
              <w:left w:w="108" w:type="dxa"/>
              <w:bottom w:w="0" w:type="dxa"/>
              <w:right w:w="108" w:type="dxa"/>
            </w:tcMar>
            <w:hideMark/>
          </w:tcPr>
          <w:p w14:paraId="0B055579"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ADFI (g/bird/day)</w:t>
            </w:r>
          </w:p>
        </w:tc>
        <w:tc>
          <w:tcPr>
            <w:tcW w:w="1263" w:type="dxa"/>
            <w:tcBorders>
              <w:top w:val="nil"/>
              <w:left w:val="nil"/>
              <w:bottom w:val="nil"/>
              <w:right w:val="nil"/>
            </w:tcBorders>
            <w:shd w:val="clear" w:color="auto" w:fill="FFFFFF"/>
            <w:tcMar>
              <w:top w:w="12" w:type="dxa"/>
              <w:left w:w="108" w:type="dxa"/>
              <w:bottom w:w="0" w:type="dxa"/>
              <w:right w:w="108" w:type="dxa"/>
            </w:tcMar>
            <w:hideMark/>
          </w:tcPr>
          <w:p w14:paraId="66ACCB09"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26.72 </w:t>
            </w:r>
          </w:p>
        </w:tc>
        <w:tc>
          <w:tcPr>
            <w:tcW w:w="1475" w:type="dxa"/>
            <w:tcBorders>
              <w:top w:val="nil"/>
              <w:left w:val="nil"/>
              <w:bottom w:val="nil"/>
              <w:right w:val="nil"/>
            </w:tcBorders>
            <w:shd w:val="clear" w:color="auto" w:fill="FFFFFF"/>
            <w:tcMar>
              <w:top w:w="12" w:type="dxa"/>
              <w:left w:w="108" w:type="dxa"/>
              <w:bottom w:w="0" w:type="dxa"/>
              <w:right w:w="108" w:type="dxa"/>
            </w:tcMar>
            <w:hideMark/>
          </w:tcPr>
          <w:p w14:paraId="0DF60E6F"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28.53 </w:t>
            </w:r>
          </w:p>
        </w:tc>
        <w:tc>
          <w:tcPr>
            <w:tcW w:w="1298" w:type="dxa"/>
            <w:tcBorders>
              <w:top w:val="nil"/>
              <w:left w:val="nil"/>
              <w:bottom w:val="nil"/>
              <w:right w:val="nil"/>
            </w:tcBorders>
            <w:shd w:val="clear" w:color="auto" w:fill="FFFFFF"/>
            <w:tcMar>
              <w:top w:w="12" w:type="dxa"/>
              <w:left w:w="108" w:type="dxa"/>
              <w:bottom w:w="0" w:type="dxa"/>
              <w:right w:w="108" w:type="dxa"/>
            </w:tcMar>
            <w:hideMark/>
          </w:tcPr>
          <w:p w14:paraId="33947CF6"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24.41 </w:t>
            </w:r>
          </w:p>
        </w:tc>
        <w:tc>
          <w:tcPr>
            <w:tcW w:w="1220" w:type="dxa"/>
            <w:tcBorders>
              <w:top w:val="nil"/>
              <w:left w:val="nil"/>
              <w:bottom w:val="nil"/>
              <w:right w:val="nil"/>
            </w:tcBorders>
            <w:shd w:val="clear" w:color="auto" w:fill="FFFFFF"/>
            <w:tcMar>
              <w:top w:w="12" w:type="dxa"/>
              <w:left w:w="108" w:type="dxa"/>
              <w:bottom w:w="0" w:type="dxa"/>
              <w:right w:w="108" w:type="dxa"/>
            </w:tcMar>
            <w:hideMark/>
          </w:tcPr>
          <w:p w14:paraId="628AAB87"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23.84 </w:t>
            </w:r>
          </w:p>
        </w:tc>
        <w:tc>
          <w:tcPr>
            <w:tcW w:w="998" w:type="dxa"/>
            <w:tcBorders>
              <w:top w:val="nil"/>
              <w:left w:val="nil"/>
              <w:bottom w:val="nil"/>
              <w:right w:val="nil"/>
            </w:tcBorders>
            <w:shd w:val="clear" w:color="auto" w:fill="FFFFFF"/>
            <w:tcMar>
              <w:top w:w="12" w:type="dxa"/>
              <w:left w:w="108" w:type="dxa"/>
              <w:bottom w:w="0" w:type="dxa"/>
              <w:right w:w="108" w:type="dxa"/>
            </w:tcMar>
            <w:hideMark/>
          </w:tcPr>
          <w:p w14:paraId="7CE342CA"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0.91 </w:t>
            </w:r>
          </w:p>
        </w:tc>
        <w:tc>
          <w:tcPr>
            <w:tcW w:w="1440" w:type="dxa"/>
            <w:tcBorders>
              <w:top w:val="nil"/>
              <w:left w:val="nil"/>
              <w:bottom w:val="nil"/>
              <w:right w:val="nil"/>
            </w:tcBorders>
            <w:shd w:val="clear" w:color="auto" w:fill="FFFFFF"/>
            <w:tcMar>
              <w:top w:w="12" w:type="dxa"/>
              <w:left w:w="108" w:type="dxa"/>
              <w:bottom w:w="0" w:type="dxa"/>
              <w:right w:w="108" w:type="dxa"/>
            </w:tcMar>
            <w:hideMark/>
          </w:tcPr>
          <w:p w14:paraId="35863D0A"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0.240 </w:t>
            </w:r>
          </w:p>
        </w:tc>
      </w:tr>
      <w:tr w:rsidR="00286EE0" w:rsidRPr="00F83F3E" w14:paraId="2D8D0E80" w14:textId="77777777" w:rsidTr="00F83F3E">
        <w:trPr>
          <w:trHeight w:val="138"/>
        </w:trPr>
        <w:tc>
          <w:tcPr>
            <w:tcW w:w="2065" w:type="dxa"/>
            <w:tcBorders>
              <w:top w:val="nil"/>
              <w:left w:val="nil"/>
              <w:bottom w:val="nil"/>
              <w:right w:val="nil"/>
            </w:tcBorders>
            <w:shd w:val="clear" w:color="auto" w:fill="FFFFFF"/>
            <w:tcMar>
              <w:top w:w="12" w:type="dxa"/>
              <w:left w:w="108" w:type="dxa"/>
              <w:bottom w:w="0" w:type="dxa"/>
              <w:right w:w="108" w:type="dxa"/>
            </w:tcMar>
            <w:hideMark/>
          </w:tcPr>
          <w:p w14:paraId="32C1073D"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ADWG (g/bird/day)</w:t>
            </w:r>
          </w:p>
        </w:tc>
        <w:tc>
          <w:tcPr>
            <w:tcW w:w="1263" w:type="dxa"/>
            <w:tcBorders>
              <w:top w:val="nil"/>
              <w:left w:val="nil"/>
              <w:bottom w:val="nil"/>
              <w:right w:val="nil"/>
            </w:tcBorders>
            <w:shd w:val="clear" w:color="auto" w:fill="FFFFFF"/>
            <w:tcMar>
              <w:top w:w="12" w:type="dxa"/>
              <w:left w:w="108" w:type="dxa"/>
              <w:bottom w:w="0" w:type="dxa"/>
              <w:right w:w="108" w:type="dxa"/>
            </w:tcMar>
            <w:hideMark/>
          </w:tcPr>
          <w:p w14:paraId="323F6C87"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7.86 </w:t>
            </w:r>
          </w:p>
        </w:tc>
        <w:tc>
          <w:tcPr>
            <w:tcW w:w="1475" w:type="dxa"/>
            <w:tcBorders>
              <w:top w:val="nil"/>
              <w:left w:val="nil"/>
              <w:bottom w:val="nil"/>
              <w:right w:val="nil"/>
            </w:tcBorders>
            <w:shd w:val="clear" w:color="auto" w:fill="FFFFFF"/>
            <w:tcMar>
              <w:top w:w="12" w:type="dxa"/>
              <w:left w:w="108" w:type="dxa"/>
              <w:bottom w:w="0" w:type="dxa"/>
              <w:right w:w="108" w:type="dxa"/>
            </w:tcMar>
            <w:hideMark/>
          </w:tcPr>
          <w:p w14:paraId="463347D1"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8.24 </w:t>
            </w:r>
          </w:p>
        </w:tc>
        <w:tc>
          <w:tcPr>
            <w:tcW w:w="1298" w:type="dxa"/>
            <w:tcBorders>
              <w:top w:val="nil"/>
              <w:left w:val="nil"/>
              <w:bottom w:val="nil"/>
              <w:right w:val="nil"/>
            </w:tcBorders>
            <w:shd w:val="clear" w:color="auto" w:fill="FFFFFF"/>
            <w:tcMar>
              <w:top w:w="12" w:type="dxa"/>
              <w:left w:w="108" w:type="dxa"/>
              <w:bottom w:w="0" w:type="dxa"/>
              <w:right w:w="108" w:type="dxa"/>
            </w:tcMar>
            <w:hideMark/>
          </w:tcPr>
          <w:p w14:paraId="3856EF6C"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8.30 </w:t>
            </w:r>
          </w:p>
        </w:tc>
        <w:tc>
          <w:tcPr>
            <w:tcW w:w="1220" w:type="dxa"/>
            <w:tcBorders>
              <w:top w:val="nil"/>
              <w:left w:val="nil"/>
              <w:bottom w:val="nil"/>
              <w:right w:val="nil"/>
            </w:tcBorders>
            <w:shd w:val="clear" w:color="auto" w:fill="FFFFFF"/>
            <w:tcMar>
              <w:top w:w="12" w:type="dxa"/>
              <w:left w:w="108" w:type="dxa"/>
              <w:bottom w:w="0" w:type="dxa"/>
              <w:right w:w="108" w:type="dxa"/>
            </w:tcMar>
            <w:hideMark/>
          </w:tcPr>
          <w:p w14:paraId="7A2BDB8C"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9.35 </w:t>
            </w:r>
          </w:p>
        </w:tc>
        <w:tc>
          <w:tcPr>
            <w:tcW w:w="998" w:type="dxa"/>
            <w:tcBorders>
              <w:top w:val="nil"/>
              <w:left w:val="nil"/>
              <w:bottom w:val="nil"/>
              <w:right w:val="nil"/>
            </w:tcBorders>
            <w:shd w:val="clear" w:color="auto" w:fill="FFFFFF"/>
            <w:tcMar>
              <w:top w:w="12" w:type="dxa"/>
              <w:left w:w="108" w:type="dxa"/>
              <w:bottom w:w="0" w:type="dxa"/>
              <w:right w:w="108" w:type="dxa"/>
            </w:tcMar>
            <w:hideMark/>
          </w:tcPr>
          <w:p w14:paraId="7F92777A"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0.31 </w:t>
            </w:r>
          </w:p>
        </w:tc>
        <w:tc>
          <w:tcPr>
            <w:tcW w:w="1440" w:type="dxa"/>
            <w:tcBorders>
              <w:top w:val="nil"/>
              <w:left w:val="nil"/>
              <w:bottom w:val="nil"/>
              <w:right w:val="nil"/>
            </w:tcBorders>
            <w:shd w:val="clear" w:color="auto" w:fill="FFFFFF"/>
            <w:tcMar>
              <w:top w:w="12" w:type="dxa"/>
              <w:left w:w="108" w:type="dxa"/>
              <w:bottom w:w="0" w:type="dxa"/>
              <w:right w:w="108" w:type="dxa"/>
            </w:tcMar>
            <w:hideMark/>
          </w:tcPr>
          <w:p w14:paraId="30FE79A2"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0.377 </w:t>
            </w:r>
          </w:p>
        </w:tc>
      </w:tr>
      <w:tr w:rsidR="00286EE0" w:rsidRPr="00F83F3E" w14:paraId="74C59425" w14:textId="77777777" w:rsidTr="00F83F3E">
        <w:trPr>
          <w:trHeight w:val="190"/>
        </w:trPr>
        <w:tc>
          <w:tcPr>
            <w:tcW w:w="2065" w:type="dxa"/>
            <w:tcBorders>
              <w:top w:val="nil"/>
              <w:left w:val="nil"/>
              <w:bottom w:val="nil"/>
              <w:right w:val="nil"/>
            </w:tcBorders>
            <w:shd w:val="clear" w:color="auto" w:fill="FFFFFF"/>
            <w:tcMar>
              <w:top w:w="12" w:type="dxa"/>
              <w:left w:w="108" w:type="dxa"/>
              <w:bottom w:w="0" w:type="dxa"/>
              <w:right w:w="108" w:type="dxa"/>
            </w:tcMar>
            <w:hideMark/>
          </w:tcPr>
          <w:p w14:paraId="17720564" w14:textId="77777777" w:rsidR="00FC3F16" w:rsidRPr="00F83F3E" w:rsidRDefault="00FC3F16" w:rsidP="00AB1487">
            <w:pPr>
              <w:rPr>
                <w:rFonts w:ascii="Times New Roman" w:eastAsia="Times New Roman" w:hAnsi="Times New Roman"/>
                <w:sz w:val="18"/>
                <w:szCs w:val="18"/>
              </w:rPr>
            </w:pPr>
            <w:r w:rsidRPr="00F83F3E">
              <w:rPr>
                <w:rFonts w:ascii="Times New Roman" w:hAnsi="Times New Roman"/>
                <w:color w:val="000000"/>
                <w:kern w:val="24"/>
                <w:sz w:val="18"/>
                <w:szCs w:val="18"/>
              </w:rPr>
              <w:t xml:space="preserve">FCR </w:t>
            </w:r>
          </w:p>
        </w:tc>
        <w:tc>
          <w:tcPr>
            <w:tcW w:w="1263" w:type="dxa"/>
            <w:tcBorders>
              <w:top w:val="nil"/>
              <w:left w:val="nil"/>
              <w:bottom w:val="nil"/>
              <w:right w:val="nil"/>
            </w:tcBorders>
            <w:shd w:val="clear" w:color="auto" w:fill="FFFFFF"/>
            <w:tcMar>
              <w:top w:w="12" w:type="dxa"/>
              <w:left w:w="108" w:type="dxa"/>
              <w:bottom w:w="0" w:type="dxa"/>
              <w:right w:w="108" w:type="dxa"/>
            </w:tcMar>
            <w:hideMark/>
          </w:tcPr>
          <w:p w14:paraId="0C458C59"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3.48</w:t>
            </w:r>
            <w:r w:rsidRPr="00F83F3E">
              <w:rPr>
                <w:rFonts w:ascii="Times New Roman" w:hAnsi="Times New Roman"/>
                <w:color w:val="000000"/>
                <w:kern w:val="24"/>
                <w:position w:val="11"/>
                <w:sz w:val="18"/>
                <w:szCs w:val="18"/>
                <w:vertAlign w:val="superscript"/>
              </w:rPr>
              <w:t xml:space="preserve">a </w:t>
            </w:r>
          </w:p>
        </w:tc>
        <w:tc>
          <w:tcPr>
            <w:tcW w:w="1475" w:type="dxa"/>
            <w:tcBorders>
              <w:top w:val="nil"/>
              <w:left w:val="nil"/>
              <w:bottom w:val="nil"/>
              <w:right w:val="nil"/>
            </w:tcBorders>
            <w:shd w:val="clear" w:color="auto" w:fill="FFFFFF"/>
            <w:tcMar>
              <w:top w:w="12" w:type="dxa"/>
              <w:left w:w="108" w:type="dxa"/>
              <w:bottom w:w="0" w:type="dxa"/>
              <w:right w:w="108" w:type="dxa"/>
            </w:tcMar>
            <w:hideMark/>
          </w:tcPr>
          <w:p w14:paraId="6325DC97"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3.51</w:t>
            </w:r>
            <w:r w:rsidRPr="00F83F3E">
              <w:rPr>
                <w:rFonts w:ascii="Times New Roman" w:hAnsi="Times New Roman"/>
                <w:color w:val="000000"/>
                <w:kern w:val="24"/>
                <w:position w:val="11"/>
                <w:sz w:val="18"/>
                <w:szCs w:val="18"/>
                <w:vertAlign w:val="superscript"/>
              </w:rPr>
              <w:t xml:space="preserve">a </w:t>
            </w:r>
          </w:p>
        </w:tc>
        <w:tc>
          <w:tcPr>
            <w:tcW w:w="1298" w:type="dxa"/>
            <w:tcBorders>
              <w:top w:val="nil"/>
              <w:left w:val="nil"/>
              <w:bottom w:val="nil"/>
              <w:right w:val="nil"/>
            </w:tcBorders>
            <w:shd w:val="clear" w:color="auto" w:fill="FFFFFF"/>
            <w:tcMar>
              <w:top w:w="12" w:type="dxa"/>
              <w:left w:w="108" w:type="dxa"/>
              <w:bottom w:w="0" w:type="dxa"/>
              <w:right w:w="108" w:type="dxa"/>
            </w:tcMar>
            <w:hideMark/>
          </w:tcPr>
          <w:p w14:paraId="3E8C77C7"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3.03</w:t>
            </w:r>
            <w:r w:rsidRPr="00F83F3E">
              <w:rPr>
                <w:rFonts w:ascii="Times New Roman" w:hAnsi="Times New Roman"/>
                <w:color w:val="000000"/>
                <w:kern w:val="24"/>
                <w:position w:val="11"/>
                <w:sz w:val="18"/>
                <w:szCs w:val="18"/>
                <w:vertAlign w:val="superscript"/>
              </w:rPr>
              <w:t xml:space="preserve">ab </w:t>
            </w:r>
          </w:p>
        </w:tc>
        <w:tc>
          <w:tcPr>
            <w:tcW w:w="1220" w:type="dxa"/>
            <w:tcBorders>
              <w:top w:val="nil"/>
              <w:left w:val="nil"/>
              <w:bottom w:val="nil"/>
              <w:right w:val="nil"/>
            </w:tcBorders>
            <w:shd w:val="clear" w:color="auto" w:fill="FFFFFF"/>
            <w:tcMar>
              <w:top w:w="12" w:type="dxa"/>
              <w:left w:w="108" w:type="dxa"/>
              <w:bottom w:w="0" w:type="dxa"/>
              <w:right w:w="108" w:type="dxa"/>
            </w:tcMar>
            <w:hideMark/>
          </w:tcPr>
          <w:p w14:paraId="2DDBEEDA" w14:textId="77777777" w:rsidR="00FC3F16" w:rsidRPr="00F83F3E" w:rsidRDefault="00FC3F16" w:rsidP="00286EE0">
            <w:pPr>
              <w:rPr>
                <w:rFonts w:ascii="Times New Roman" w:eastAsia="Times New Roman" w:hAnsi="Times New Roman"/>
                <w:color w:val="000000" w:themeColor="text1"/>
                <w:sz w:val="18"/>
                <w:szCs w:val="18"/>
              </w:rPr>
            </w:pPr>
            <w:r w:rsidRPr="00F83F3E">
              <w:rPr>
                <w:rFonts w:ascii="Times New Roman" w:hAnsi="Times New Roman"/>
                <w:color w:val="000000" w:themeColor="text1"/>
                <w:kern w:val="24"/>
                <w:sz w:val="18"/>
                <w:szCs w:val="18"/>
              </w:rPr>
              <w:t>2.55</w:t>
            </w:r>
            <w:r w:rsidRPr="00F83F3E">
              <w:rPr>
                <w:rFonts w:ascii="Times New Roman" w:hAnsi="Times New Roman"/>
                <w:color w:val="000000" w:themeColor="text1"/>
                <w:kern w:val="24"/>
                <w:position w:val="11"/>
                <w:sz w:val="18"/>
                <w:szCs w:val="18"/>
                <w:vertAlign w:val="superscript"/>
              </w:rPr>
              <w:t xml:space="preserve">b </w:t>
            </w:r>
          </w:p>
        </w:tc>
        <w:tc>
          <w:tcPr>
            <w:tcW w:w="998" w:type="dxa"/>
            <w:tcBorders>
              <w:top w:val="nil"/>
              <w:left w:val="nil"/>
              <w:bottom w:val="nil"/>
              <w:right w:val="nil"/>
            </w:tcBorders>
            <w:shd w:val="clear" w:color="auto" w:fill="FFFFFF"/>
            <w:tcMar>
              <w:top w:w="12" w:type="dxa"/>
              <w:left w:w="108" w:type="dxa"/>
              <w:bottom w:w="0" w:type="dxa"/>
              <w:right w:w="108" w:type="dxa"/>
            </w:tcMar>
            <w:hideMark/>
          </w:tcPr>
          <w:p w14:paraId="6966E7B3"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0.15 </w:t>
            </w:r>
          </w:p>
        </w:tc>
        <w:tc>
          <w:tcPr>
            <w:tcW w:w="1440" w:type="dxa"/>
            <w:tcBorders>
              <w:top w:val="nil"/>
              <w:left w:val="nil"/>
              <w:bottom w:val="nil"/>
              <w:right w:val="nil"/>
            </w:tcBorders>
            <w:shd w:val="clear" w:color="auto" w:fill="FFFFFF"/>
            <w:tcMar>
              <w:top w:w="12" w:type="dxa"/>
              <w:left w:w="108" w:type="dxa"/>
              <w:bottom w:w="0" w:type="dxa"/>
              <w:right w:w="108" w:type="dxa"/>
            </w:tcMar>
            <w:hideMark/>
          </w:tcPr>
          <w:p w14:paraId="2BD3BB4F"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0.071 </w:t>
            </w:r>
          </w:p>
        </w:tc>
      </w:tr>
      <w:tr w:rsidR="00286EE0" w:rsidRPr="00F83F3E" w14:paraId="48EB9967" w14:textId="77777777" w:rsidTr="00F83F3E">
        <w:trPr>
          <w:trHeight w:val="118"/>
        </w:trPr>
        <w:tc>
          <w:tcPr>
            <w:tcW w:w="2065"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5AD15676" w14:textId="77777777" w:rsidR="00FC3F16" w:rsidRPr="00F83F3E" w:rsidRDefault="00FC3F16" w:rsidP="00AB1487">
            <w:pPr>
              <w:rPr>
                <w:rFonts w:ascii="Times New Roman" w:eastAsia="Times New Roman" w:hAnsi="Times New Roman"/>
                <w:sz w:val="18"/>
                <w:szCs w:val="18"/>
              </w:rPr>
            </w:pPr>
            <w:proofErr w:type="spellStart"/>
            <w:r w:rsidRPr="00F83F3E">
              <w:rPr>
                <w:rFonts w:ascii="Times New Roman" w:hAnsi="Times New Roman"/>
                <w:color w:val="000000"/>
                <w:kern w:val="24"/>
                <w:sz w:val="18"/>
                <w:szCs w:val="18"/>
              </w:rPr>
              <w:t>Liveability</w:t>
            </w:r>
            <w:proofErr w:type="spellEnd"/>
            <w:r w:rsidRPr="00F83F3E">
              <w:rPr>
                <w:rFonts w:ascii="Times New Roman" w:hAnsi="Times New Roman"/>
                <w:color w:val="000000"/>
                <w:kern w:val="24"/>
                <w:sz w:val="18"/>
                <w:szCs w:val="18"/>
              </w:rPr>
              <w:t xml:space="preserve"> (%)</w:t>
            </w:r>
          </w:p>
        </w:tc>
        <w:tc>
          <w:tcPr>
            <w:tcW w:w="1263"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2BEED2FF"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76.91</w:t>
            </w:r>
            <w:r w:rsidRPr="00F83F3E">
              <w:rPr>
                <w:rFonts w:ascii="Times New Roman" w:hAnsi="Times New Roman"/>
                <w:color w:val="000000"/>
                <w:kern w:val="24"/>
                <w:position w:val="11"/>
                <w:sz w:val="18"/>
                <w:szCs w:val="18"/>
                <w:vertAlign w:val="superscript"/>
              </w:rPr>
              <w:t xml:space="preserve">b </w:t>
            </w:r>
          </w:p>
        </w:tc>
        <w:tc>
          <w:tcPr>
            <w:tcW w:w="1475"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04214A38"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91.79</w:t>
            </w:r>
            <w:r w:rsidRPr="00F83F3E">
              <w:rPr>
                <w:rFonts w:ascii="Times New Roman" w:hAnsi="Times New Roman"/>
                <w:color w:val="000000"/>
                <w:kern w:val="24"/>
                <w:position w:val="11"/>
                <w:sz w:val="18"/>
                <w:szCs w:val="18"/>
                <w:vertAlign w:val="superscript"/>
              </w:rPr>
              <w:t xml:space="preserve">ab </w:t>
            </w:r>
          </w:p>
        </w:tc>
        <w:tc>
          <w:tcPr>
            <w:tcW w:w="1298"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0C29080F"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89.64</w:t>
            </w:r>
            <w:r w:rsidRPr="00F83F3E">
              <w:rPr>
                <w:rFonts w:ascii="Times New Roman" w:hAnsi="Times New Roman"/>
                <w:color w:val="000000"/>
                <w:kern w:val="24"/>
                <w:position w:val="11"/>
                <w:sz w:val="18"/>
                <w:szCs w:val="18"/>
                <w:vertAlign w:val="superscript"/>
              </w:rPr>
              <w:t xml:space="preserve">ab </w:t>
            </w:r>
          </w:p>
        </w:tc>
        <w:tc>
          <w:tcPr>
            <w:tcW w:w="1220"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1D26E664" w14:textId="77777777" w:rsidR="00FC3F16" w:rsidRPr="00F83F3E" w:rsidRDefault="00FC3F16" w:rsidP="00286EE0">
            <w:pPr>
              <w:rPr>
                <w:rFonts w:ascii="Times New Roman" w:eastAsia="Times New Roman" w:hAnsi="Times New Roman"/>
                <w:color w:val="000000" w:themeColor="text1"/>
                <w:sz w:val="18"/>
                <w:szCs w:val="18"/>
              </w:rPr>
            </w:pPr>
            <w:r w:rsidRPr="00F83F3E">
              <w:rPr>
                <w:rFonts w:ascii="Times New Roman" w:hAnsi="Times New Roman"/>
                <w:color w:val="000000" w:themeColor="text1"/>
                <w:kern w:val="24"/>
                <w:sz w:val="18"/>
                <w:szCs w:val="18"/>
              </w:rPr>
              <w:t>93.80</w:t>
            </w:r>
            <w:r w:rsidRPr="00F83F3E">
              <w:rPr>
                <w:rFonts w:ascii="Times New Roman" w:hAnsi="Times New Roman"/>
                <w:color w:val="000000" w:themeColor="text1"/>
                <w:kern w:val="24"/>
                <w:position w:val="11"/>
                <w:sz w:val="18"/>
                <w:szCs w:val="18"/>
                <w:vertAlign w:val="superscript"/>
              </w:rPr>
              <w:t xml:space="preserve">a </w:t>
            </w:r>
          </w:p>
        </w:tc>
        <w:tc>
          <w:tcPr>
            <w:tcW w:w="998"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786153FB"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2.78 </w:t>
            </w:r>
          </w:p>
        </w:tc>
        <w:tc>
          <w:tcPr>
            <w:tcW w:w="1440"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48DFB33A" w14:textId="77777777" w:rsidR="00FC3F16" w:rsidRPr="00F83F3E" w:rsidRDefault="00FC3F16" w:rsidP="00286EE0">
            <w:pPr>
              <w:rPr>
                <w:rFonts w:ascii="Times New Roman" w:eastAsia="Times New Roman" w:hAnsi="Times New Roman"/>
                <w:sz w:val="18"/>
                <w:szCs w:val="18"/>
              </w:rPr>
            </w:pPr>
            <w:r w:rsidRPr="00F83F3E">
              <w:rPr>
                <w:rFonts w:ascii="Times New Roman" w:hAnsi="Times New Roman"/>
                <w:color w:val="000000"/>
                <w:kern w:val="24"/>
                <w:sz w:val="18"/>
                <w:szCs w:val="18"/>
              </w:rPr>
              <w:t xml:space="preserve">0.124 </w:t>
            </w:r>
          </w:p>
        </w:tc>
      </w:tr>
    </w:tbl>
    <w:p w14:paraId="1168DC63" w14:textId="1DE4AEF5" w:rsidR="000676AD" w:rsidRDefault="00FC3F16" w:rsidP="00FC3F16">
      <w:pPr>
        <w:autoSpaceDE w:val="0"/>
        <w:autoSpaceDN w:val="0"/>
        <w:adjustRightInd w:val="0"/>
        <w:spacing w:after="0" w:line="240" w:lineRule="auto"/>
        <w:jc w:val="both"/>
        <w:rPr>
          <w:rFonts w:ascii="Times New Roman" w:hAnsi="Times New Roman"/>
          <w:sz w:val="18"/>
          <w:szCs w:val="18"/>
        </w:rPr>
      </w:pPr>
      <w:proofErr w:type="spellStart"/>
      <w:proofErr w:type="gramStart"/>
      <w:r w:rsidRPr="00F83F3E">
        <w:rPr>
          <w:rFonts w:ascii="Times New Roman" w:hAnsi="Times New Roman"/>
          <w:sz w:val="18"/>
          <w:szCs w:val="18"/>
          <w:vertAlign w:val="superscript"/>
        </w:rPr>
        <w:t>a,b</w:t>
      </w:r>
      <w:proofErr w:type="spellEnd"/>
      <w:proofErr w:type="gramEnd"/>
      <w:r w:rsidRPr="00F83F3E">
        <w:rPr>
          <w:rFonts w:ascii="Times New Roman" w:hAnsi="Times New Roman"/>
          <w:sz w:val="18"/>
          <w:szCs w:val="18"/>
          <w:vertAlign w:val="superscript"/>
        </w:rPr>
        <w:t xml:space="preserve"> </w:t>
      </w:r>
      <w:r w:rsidRPr="00F83F3E">
        <w:rPr>
          <w:rFonts w:ascii="Times New Roman" w:hAnsi="Times New Roman"/>
          <w:sz w:val="18"/>
          <w:szCs w:val="18"/>
        </w:rPr>
        <w:t>Means on the same row with different superscripts are significantly (P &lt; 0.05) different. ADFI-Average Daily Feed Intake, ADWG-Average Daily Weight Gain, FCR- Feed Conversion Ratio</w:t>
      </w:r>
    </w:p>
    <w:p w14:paraId="6918C1D2" w14:textId="77777777" w:rsidR="000676AD" w:rsidRDefault="000676AD">
      <w:pPr>
        <w:spacing w:after="160" w:line="259" w:lineRule="auto"/>
        <w:rPr>
          <w:rFonts w:ascii="Times New Roman" w:hAnsi="Times New Roman"/>
          <w:sz w:val="18"/>
          <w:szCs w:val="18"/>
        </w:rPr>
      </w:pPr>
      <w:r>
        <w:rPr>
          <w:rFonts w:ascii="Times New Roman" w:hAnsi="Times New Roman"/>
          <w:sz w:val="18"/>
          <w:szCs w:val="18"/>
        </w:rPr>
        <w:br w:type="page"/>
      </w:r>
    </w:p>
    <w:p w14:paraId="5C52A7A9" w14:textId="2ABE5575" w:rsidR="00EB7849" w:rsidRPr="00F83F3E" w:rsidRDefault="00EB7849" w:rsidP="00EB7849">
      <w:pPr>
        <w:pStyle w:val="Style2"/>
        <w:rPr>
          <w:sz w:val="18"/>
          <w:szCs w:val="18"/>
        </w:rPr>
      </w:pPr>
      <w:bookmarkStart w:id="0" w:name="_Toc136353946"/>
      <w:bookmarkStart w:id="1" w:name="_Toc136353695"/>
      <w:r w:rsidRPr="00F83F3E">
        <w:rPr>
          <w:sz w:val="18"/>
          <w:szCs w:val="18"/>
        </w:rPr>
        <w:lastRenderedPageBreak/>
        <w:t xml:space="preserve">Table </w:t>
      </w:r>
      <w:r w:rsidR="00286EE0" w:rsidRPr="00F83F3E">
        <w:rPr>
          <w:sz w:val="18"/>
          <w:szCs w:val="18"/>
        </w:rPr>
        <w:t>2</w:t>
      </w:r>
      <w:r w:rsidRPr="00F83F3E">
        <w:rPr>
          <w:sz w:val="18"/>
          <w:szCs w:val="18"/>
        </w:rPr>
        <w:t>: Effects of feeding honey early post hatch on water intake of turkey poults</w:t>
      </w:r>
      <w:bookmarkEnd w:id="0"/>
    </w:p>
    <w:tbl>
      <w:tblPr>
        <w:tblW w:w="7359" w:type="dxa"/>
        <w:tblCellMar>
          <w:left w:w="0" w:type="dxa"/>
          <w:right w:w="0" w:type="dxa"/>
        </w:tblCellMar>
        <w:tblLook w:val="04A0" w:firstRow="1" w:lastRow="0" w:firstColumn="1" w:lastColumn="0" w:noHBand="0" w:noVBand="1"/>
      </w:tblPr>
      <w:tblGrid>
        <w:gridCol w:w="1537"/>
        <w:gridCol w:w="1050"/>
        <w:gridCol w:w="1052"/>
        <w:gridCol w:w="1121"/>
        <w:gridCol w:w="971"/>
        <w:gridCol w:w="687"/>
        <w:gridCol w:w="941"/>
      </w:tblGrid>
      <w:tr w:rsidR="00EB7849" w:rsidRPr="00F83F3E" w14:paraId="6E3C0488" w14:textId="77777777" w:rsidTr="00EB7849">
        <w:trPr>
          <w:trHeight w:val="436"/>
        </w:trPr>
        <w:tc>
          <w:tcPr>
            <w:tcW w:w="1537"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69F6F335"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Day/mL Consumed </w:t>
            </w:r>
          </w:p>
        </w:tc>
        <w:tc>
          <w:tcPr>
            <w:tcW w:w="105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1DD18E9"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Control </w:t>
            </w:r>
          </w:p>
        </w:tc>
        <w:tc>
          <w:tcPr>
            <w:tcW w:w="105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5A11889F"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5% Glucose </w:t>
            </w:r>
          </w:p>
        </w:tc>
        <w:tc>
          <w:tcPr>
            <w:tcW w:w="112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6DB31DC4"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1% Honey </w:t>
            </w:r>
          </w:p>
        </w:tc>
        <w:tc>
          <w:tcPr>
            <w:tcW w:w="97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B89D886"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5% Honey </w:t>
            </w:r>
          </w:p>
        </w:tc>
        <w:tc>
          <w:tcPr>
            <w:tcW w:w="687"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2444AF2"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SEM </w:t>
            </w:r>
          </w:p>
        </w:tc>
        <w:tc>
          <w:tcPr>
            <w:tcW w:w="94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50FBFD94"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
                <w:bCs/>
                <w:color w:val="000000"/>
                <w:kern w:val="24"/>
                <w:sz w:val="18"/>
                <w:szCs w:val="18"/>
              </w:rPr>
              <w:t xml:space="preserve">P-value </w:t>
            </w:r>
          </w:p>
        </w:tc>
      </w:tr>
      <w:tr w:rsidR="00EB7849" w:rsidRPr="00F83F3E" w14:paraId="288A4ED3" w14:textId="77777777" w:rsidTr="00EB7849">
        <w:trPr>
          <w:trHeight w:val="766"/>
        </w:trPr>
        <w:tc>
          <w:tcPr>
            <w:tcW w:w="1537"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0F86D995"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Cs/>
                <w:color w:val="000000"/>
                <w:kern w:val="24"/>
                <w:sz w:val="18"/>
                <w:szCs w:val="18"/>
              </w:rPr>
              <w:t xml:space="preserve">Day one (mL/bird) </w:t>
            </w:r>
          </w:p>
        </w:tc>
        <w:tc>
          <w:tcPr>
            <w:tcW w:w="1050"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4355EC7D"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27.00</w:t>
            </w:r>
            <w:r w:rsidRPr="00F83F3E">
              <w:rPr>
                <w:rFonts w:ascii="Times New Roman" w:hAnsi="Times New Roman"/>
                <w:color w:val="000000"/>
                <w:kern w:val="24"/>
                <w:position w:val="11"/>
                <w:sz w:val="18"/>
                <w:szCs w:val="18"/>
                <w:vertAlign w:val="superscript"/>
              </w:rPr>
              <w:t xml:space="preserve">c </w:t>
            </w:r>
          </w:p>
          <w:p w14:paraId="525E5C90" w14:textId="77777777" w:rsidR="00EB7849" w:rsidRPr="00F83F3E" w:rsidRDefault="00EB7849" w:rsidP="00AB1487">
            <w:pPr>
              <w:jc w:val="right"/>
              <w:rPr>
                <w:rFonts w:ascii="Times New Roman" w:eastAsia="Times New Roman" w:hAnsi="Times New Roman"/>
                <w:sz w:val="18"/>
                <w:szCs w:val="18"/>
              </w:rPr>
            </w:pPr>
          </w:p>
        </w:tc>
        <w:tc>
          <w:tcPr>
            <w:tcW w:w="1052"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0911E266"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75.00</w:t>
            </w:r>
            <w:r w:rsidRPr="00F83F3E">
              <w:rPr>
                <w:rFonts w:ascii="Times New Roman" w:hAnsi="Times New Roman"/>
                <w:color w:val="000000"/>
                <w:kern w:val="24"/>
                <w:position w:val="11"/>
                <w:sz w:val="18"/>
                <w:szCs w:val="18"/>
                <w:vertAlign w:val="superscript"/>
              </w:rPr>
              <w:t xml:space="preserve">a </w:t>
            </w:r>
          </w:p>
        </w:tc>
        <w:tc>
          <w:tcPr>
            <w:tcW w:w="1121"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0E270D9E"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51.00</w:t>
            </w:r>
            <w:r w:rsidRPr="00F83F3E">
              <w:rPr>
                <w:rFonts w:ascii="Times New Roman" w:hAnsi="Times New Roman"/>
                <w:color w:val="000000"/>
                <w:kern w:val="24"/>
                <w:position w:val="11"/>
                <w:sz w:val="18"/>
                <w:szCs w:val="18"/>
                <w:vertAlign w:val="superscript"/>
              </w:rPr>
              <w:t xml:space="preserve">b </w:t>
            </w:r>
          </w:p>
        </w:tc>
        <w:tc>
          <w:tcPr>
            <w:tcW w:w="971"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0B422079"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50.00</w:t>
            </w:r>
            <w:r w:rsidRPr="00F83F3E">
              <w:rPr>
                <w:rFonts w:ascii="Times New Roman" w:hAnsi="Times New Roman"/>
                <w:color w:val="000000"/>
                <w:kern w:val="24"/>
                <w:position w:val="11"/>
                <w:sz w:val="18"/>
                <w:szCs w:val="18"/>
                <w:vertAlign w:val="superscript"/>
              </w:rPr>
              <w:t xml:space="preserve">b </w:t>
            </w:r>
          </w:p>
        </w:tc>
        <w:tc>
          <w:tcPr>
            <w:tcW w:w="687"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02E46CAC"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6.31 </w:t>
            </w:r>
          </w:p>
        </w:tc>
        <w:tc>
          <w:tcPr>
            <w:tcW w:w="941" w:type="dxa"/>
            <w:tcBorders>
              <w:top w:val="single" w:sz="8" w:space="0" w:color="000000"/>
              <w:left w:val="nil"/>
              <w:bottom w:val="nil"/>
              <w:right w:val="nil"/>
            </w:tcBorders>
            <w:shd w:val="clear" w:color="auto" w:fill="FFFFFF"/>
            <w:tcMar>
              <w:top w:w="12" w:type="dxa"/>
              <w:left w:w="108" w:type="dxa"/>
              <w:bottom w:w="0" w:type="dxa"/>
              <w:right w:w="108" w:type="dxa"/>
            </w:tcMar>
            <w:hideMark/>
          </w:tcPr>
          <w:p w14:paraId="1029A421"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0.048 </w:t>
            </w:r>
          </w:p>
        </w:tc>
      </w:tr>
      <w:tr w:rsidR="00EB7849" w:rsidRPr="00F83F3E" w14:paraId="1758D452" w14:textId="77777777" w:rsidTr="00EB7849">
        <w:trPr>
          <w:trHeight w:val="766"/>
        </w:trPr>
        <w:tc>
          <w:tcPr>
            <w:tcW w:w="1537" w:type="dxa"/>
            <w:tcBorders>
              <w:top w:val="nil"/>
              <w:left w:val="nil"/>
              <w:bottom w:val="nil"/>
              <w:right w:val="nil"/>
            </w:tcBorders>
            <w:shd w:val="clear" w:color="auto" w:fill="FFFFFF"/>
            <w:tcMar>
              <w:top w:w="12" w:type="dxa"/>
              <w:left w:w="108" w:type="dxa"/>
              <w:bottom w:w="0" w:type="dxa"/>
              <w:right w:w="108" w:type="dxa"/>
            </w:tcMar>
            <w:hideMark/>
          </w:tcPr>
          <w:p w14:paraId="5CFEAE0C"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Cs/>
                <w:color w:val="000000"/>
                <w:kern w:val="24"/>
                <w:sz w:val="18"/>
                <w:szCs w:val="18"/>
              </w:rPr>
              <w:t xml:space="preserve">Day two (mL/bird) </w:t>
            </w:r>
          </w:p>
        </w:tc>
        <w:tc>
          <w:tcPr>
            <w:tcW w:w="1050" w:type="dxa"/>
            <w:tcBorders>
              <w:top w:val="nil"/>
              <w:left w:val="nil"/>
              <w:bottom w:val="nil"/>
              <w:right w:val="nil"/>
            </w:tcBorders>
            <w:shd w:val="clear" w:color="auto" w:fill="FFFFFF"/>
            <w:tcMar>
              <w:top w:w="12" w:type="dxa"/>
              <w:left w:w="108" w:type="dxa"/>
              <w:bottom w:w="0" w:type="dxa"/>
              <w:right w:w="108" w:type="dxa"/>
            </w:tcMar>
            <w:hideMark/>
          </w:tcPr>
          <w:p w14:paraId="3167E172"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42.00</w:t>
            </w:r>
            <w:r w:rsidRPr="00F83F3E">
              <w:rPr>
                <w:rFonts w:ascii="Times New Roman" w:hAnsi="Times New Roman"/>
                <w:color w:val="000000"/>
                <w:kern w:val="24"/>
                <w:position w:val="11"/>
                <w:sz w:val="18"/>
                <w:szCs w:val="18"/>
                <w:vertAlign w:val="superscript"/>
              </w:rPr>
              <w:t xml:space="preserve">c </w:t>
            </w:r>
          </w:p>
        </w:tc>
        <w:tc>
          <w:tcPr>
            <w:tcW w:w="1052" w:type="dxa"/>
            <w:tcBorders>
              <w:top w:val="nil"/>
              <w:left w:val="nil"/>
              <w:bottom w:val="nil"/>
              <w:right w:val="nil"/>
            </w:tcBorders>
            <w:shd w:val="clear" w:color="auto" w:fill="FFFFFF"/>
            <w:tcMar>
              <w:top w:w="12" w:type="dxa"/>
              <w:left w:w="108" w:type="dxa"/>
              <w:bottom w:w="0" w:type="dxa"/>
              <w:right w:w="108" w:type="dxa"/>
            </w:tcMar>
            <w:hideMark/>
          </w:tcPr>
          <w:p w14:paraId="79409925"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140.00</w:t>
            </w:r>
            <w:r w:rsidRPr="00F83F3E">
              <w:rPr>
                <w:rFonts w:ascii="Times New Roman" w:hAnsi="Times New Roman"/>
                <w:color w:val="000000"/>
                <w:kern w:val="24"/>
                <w:position w:val="11"/>
                <w:sz w:val="18"/>
                <w:szCs w:val="18"/>
                <w:vertAlign w:val="superscript"/>
              </w:rPr>
              <w:t xml:space="preserve">ab </w:t>
            </w:r>
          </w:p>
        </w:tc>
        <w:tc>
          <w:tcPr>
            <w:tcW w:w="1121" w:type="dxa"/>
            <w:tcBorders>
              <w:top w:val="nil"/>
              <w:left w:val="nil"/>
              <w:bottom w:val="nil"/>
              <w:right w:val="nil"/>
            </w:tcBorders>
            <w:shd w:val="clear" w:color="auto" w:fill="FFFFFF"/>
            <w:tcMar>
              <w:top w:w="12" w:type="dxa"/>
              <w:left w:w="108" w:type="dxa"/>
              <w:bottom w:w="0" w:type="dxa"/>
              <w:right w:w="108" w:type="dxa"/>
            </w:tcMar>
            <w:hideMark/>
          </w:tcPr>
          <w:p w14:paraId="3E400C43"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108.00</w:t>
            </w:r>
            <w:r w:rsidRPr="00F83F3E">
              <w:rPr>
                <w:rFonts w:ascii="Times New Roman" w:hAnsi="Times New Roman"/>
                <w:color w:val="000000"/>
                <w:kern w:val="24"/>
                <w:position w:val="11"/>
                <w:sz w:val="18"/>
                <w:szCs w:val="18"/>
                <w:vertAlign w:val="superscript"/>
              </w:rPr>
              <w:t xml:space="preserve">b </w:t>
            </w:r>
          </w:p>
        </w:tc>
        <w:tc>
          <w:tcPr>
            <w:tcW w:w="971" w:type="dxa"/>
            <w:tcBorders>
              <w:top w:val="nil"/>
              <w:left w:val="nil"/>
              <w:bottom w:val="nil"/>
              <w:right w:val="nil"/>
            </w:tcBorders>
            <w:shd w:val="clear" w:color="auto" w:fill="FFFFFF"/>
            <w:tcMar>
              <w:top w:w="12" w:type="dxa"/>
              <w:left w:w="108" w:type="dxa"/>
              <w:bottom w:w="0" w:type="dxa"/>
              <w:right w:w="108" w:type="dxa"/>
            </w:tcMar>
            <w:hideMark/>
          </w:tcPr>
          <w:p w14:paraId="3A234EDE"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182.00</w:t>
            </w:r>
            <w:r w:rsidRPr="00F83F3E">
              <w:rPr>
                <w:rFonts w:ascii="Times New Roman" w:hAnsi="Times New Roman"/>
                <w:color w:val="000000"/>
                <w:kern w:val="24"/>
                <w:position w:val="11"/>
                <w:sz w:val="18"/>
                <w:szCs w:val="18"/>
                <w:vertAlign w:val="superscript"/>
              </w:rPr>
              <w:t xml:space="preserve">a </w:t>
            </w:r>
          </w:p>
        </w:tc>
        <w:tc>
          <w:tcPr>
            <w:tcW w:w="687" w:type="dxa"/>
            <w:tcBorders>
              <w:top w:val="nil"/>
              <w:left w:val="nil"/>
              <w:bottom w:val="nil"/>
              <w:right w:val="nil"/>
            </w:tcBorders>
            <w:shd w:val="clear" w:color="auto" w:fill="FFFFFF"/>
            <w:tcMar>
              <w:top w:w="12" w:type="dxa"/>
              <w:left w:w="108" w:type="dxa"/>
              <w:bottom w:w="0" w:type="dxa"/>
              <w:right w:w="108" w:type="dxa"/>
            </w:tcMar>
            <w:hideMark/>
          </w:tcPr>
          <w:p w14:paraId="77955D08"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14.90 </w:t>
            </w:r>
          </w:p>
        </w:tc>
        <w:tc>
          <w:tcPr>
            <w:tcW w:w="941" w:type="dxa"/>
            <w:tcBorders>
              <w:top w:val="nil"/>
              <w:left w:val="nil"/>
              <w:bottom w:val="nil"/>
              <w:right w:val="nil"/>
            </w:tcBorders>
            <w:shd w:val="clear" w:color="auto" w:fill="FFFFFF"/>
            <w:tcMar>
              <w:top w:w="12" w:type="dxa"/>
              <w:left w:w="108" w:type="dxa"/>
              <w:bottom w:w="0" w:type="dxa"/>
              <w:right w:w="108" w:type="dxa"/>
            </w:tcMar>
            <w:hideMark/>
          </w:tcPr>
          <w:p w14:paraId="381EF990"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0.001 </w:t>
            </w:r>
          </w:p>
        </w:tc>
      </w:tr>
      <w:tr w:rsidR="00EB7849" w:rsidRPr="00F83F3E" w14:paraId="764FCBFB" w14:textId="77777777" w:rsidTr="00EB7849">
        <w:trPr>
          <w:trHeight w:val="360"/>
        </w:trPr>
        <w:tc>
          <w:tcPr>
            <w:tcW w:w="1537"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45D5FA72" w14:textId="77777777" w:rsidR="00EB7849" w:rsidRPr="00F83F3E" w:rsidRDefault="00EB7849" w:rsidP="00AB1487">
            <w:pPr>
              <w:rPr>
                <w:rFonts w:ascii="Times New Roman" w:eastAsia="Times New Roman" w:hAnsi="Times New Roman"/>
                <w:sz w:val="18"/>
                <w:szCs w:val="18"/>
              </w:rPr>
            </w:pPr>
            <w:r w:rsidRPr="00F83F3E">
              <w:rPr>
                <w:rFonts w:ascii="Times New Roman" w:hAnsi="Times New Roman"/>
                <w:bCs/>
                <w:color w:val="000000"/>
                <w:kern w:val="24"/>
                <w:sz w:val="18"/>
                <w:szCs w:val="18"/>
              </w:rPr>
              <w:t>Day three (mL/bird)</w:t>
            </w:r>
          </w:p>
        </w:tc>
        <w:tc>
          <w:tcPr>
            <w:tcW w:w="1050"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3CF5CB25"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156.00</w:t>
            </w:r>
            <w:r w:rsidRPr="00F83F3E">
              <w:rPr>
                <w:rFonts w:ascii="Times New Roman" w:hAnsi="Times New Roman"/>
                <w:color w:val="000000"/>
                <w:kern w:val="24"/>
                <w:position w:val="11"/>
                <w:sz w:val="18"/>
                <w:szCs w:val="18"/>
                <w:vertAlign w:val="superscript"/>
              </w:rPr>
              <w:t xml:space="preserve">b </w:t>
            </w:r>
          </w:p>
        </w:tc>
        <w:tc>
          <w:tcPr>
            <w:tcW w:w="1052"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3C7F1B37"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233.00</w:t>
            </w:r>
            <w:r w:rsidRPr="00F83F3E">
              <w:rPr>
                <w:rFonts w:ascii="Times New Roman" w:hAnsi="Times New Roman"/>
                <w:color w:val="000000"/>
                <w:kern w:val="24"/>
                <w:position w:val="11"/>
                <w:sz w:val="18"/>
                <w:szCs w:val="18"/>
                <w:vertAlign w:val="superscript"/>
              </w:rPr>
              <w:t xml:space="preserve">a </w:t>
            </w:r>
          </w:p>
        </w:tc>
        <w:tc>
          <w:tcPr>
            <w:tcW w:w="1121"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7343DF79"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171.00</w:t>
            </w:r>
            <w:r w:rsidRPr="00F83F3E">
              <w:rPr>
                <w:rFonts w:ascii="Times New Roman" w:hAnsi="Times New Roman"/>
                <w:color w:val="000000"/>
                <w:kern w:val="24"/>
                <w:position w:val="11"/>
                <w:sz w:val="18"/>
                <w:szCs w:val="18"/>
                <w:vertAlign w:val="superscript"/>
              </w:rPr>
              <w:t>b</w:t>
            </w:r>
          </w:p>
        </w:tc>
        <w:tc>
          <w:tcPr>
            <w:tcW w:w="971"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0DE124A3"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264.00</w:t>
            </w:r>
            <w:r w:rsidRPr="00F83F3E">
              <w:rPr>
                <w:rFonts w:ascii="Times New Roman" w:hAnsi="Times New Roman"/>
                <w:color w:val="000000"/>
                <w:kern w:val="24"/>
                <w:position w:val="11"/>
                <w:sz w:val="18"/>
                <w:szCs w:val="18"/>
                <w:vertAlign w:val="superscript"/>
              </w:rPr>
              <w:t xml:space="preserve">a </w:t>
            </w:r>
          </w:p>
        </w:tc>
        <w:tc>
          <w:tcPr>
            <w:tcW w:w="687"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1147487A"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12.68 </w:t>
            </w:r>
          </w:p>
        </w:tc>
        <w:tc>
          <w:tcPr>
            <w:tcW w:w="941" w:type="dxa"/>
            <w:tcBorders>
              <w:top w:val="nil"/>
              <w:left w:val="nil"/>
              <w:bottom w:val="single" w:sz="8" w:space="0" w:color="000000"/>
              <w:right w:val="nil"/>
            </w:tcBorders>
            <w:shd w:val="clear" w:color="auto" w:fill="FFFFFF"/>
            <w:tcMar>
              <w:top w:w="12" w:type="dxa"/>
              <w:left w:w="108" w:type="dxa"/>
              <w:bottom w:w="0" w:type="dxa"/>
              <w:right w:w="108" w:type="dxa"/>
            </w:tcMar>
            <w:hideMark/>
          </w:tcPr>
          <w:p w14:paraId="76B419D4" w14:textId="77777777" w:rsidR="00EB7849" w:rsidRPr="00F83F3E" w:rsidRDefault="00EB7849" w:rsidP="00AB1487">
            <w:pPr>
              <w:jc w:val="right"/>
              <w:rPr>
                <w:rFonts w:ascii="Times New Roman" w:eastAsia="Times New Roman" w:hAnsi="Times New Roman"/>
                <w:sz w:val="18"/>
                <w:szCs w:val="18"/>
              </w:rPr>
            </w:pPr>
            <w:r w:rsidRPr="00F83F3E">
              <w:rPr>
                <w:rFonts w:ascii="Times New Roman" w:hAnsi="Times New Roman"/>
                <w:color w:val="000000"/>
                <w:kern w:val="24"/>
                <w:sz w:val="18"/>
                <w:szCs w:val="18"/>
              </w:rPr>
              <w:t xml:space="preserve">0.001 </w:t>
            </w:r>
          </w:p>
        </w:tc>
      </w:tr>
    </w:tbl>
    <w:p w14:paraId="6E5140A9" w14:textId="77777777" w:rsidR="00EB7849" w:rsidRPr="00F83F3E" w:rsidRDefault="00EB7849" w:rsidP="00EB7849">
      <w:pPr>
        <w:spacing w:after="0" w:line="240" w:lineRule="auto"/>
        <w:rPr>
          <w:rFonts w:ascii="Times New Roman" w:hAnsi="Times New Roman"/>
          <w:sz w:val="18"/>
          <w:szCs w:val="18"/>
        </w:rPr>
      </w:pPr>
      <w:proofErr w:type="spellStart"/>
      <w:proofErr w:type="gramStart"/>
      <w:r w:rsidRPr="00F83F3E">
        <w:rPr>
          <w:rFonts w:ascii="Times New Roman" w:hAnsi="Times New Roman"/>
          <w:sz w:val="18"/>
          <w:szCs w:val="18"/>
          <w:vertAlign w:val="superscript"/>
        </w:rPr>
        <w:t>a,b</w:t>
      </w:r>
      <w:proofErr w:type="gramEnd"/>
      <w:r w:rsidRPr="00F83F3E">
        <w:rPr>
          <w:rFonts w:ascii="Times New Roman" w:hAnsi="Times New Roman"/>
          <w:sz w:val="18"/>
          <w:szCs w:val="18"/>
          <w:vertAlign w:val="superscript"/>
        </w:rPr>
        <w:t>,c</w:t>
      </w:r>
      <w:proofErr w:type="spellEnd"/>
      <w:r w:rsidRPr="00F83F3E">
        <w:rPr>
          <w:rFonts w:ascii="Times New Roman" w:hAnsi="Times New Roman"/>
          <w:sz w:val="18"/>
          <w:szCs w:val="18"/>
          <w:vertAlign w:val="superscript"/>
        </w:rPr>
        <w:t xml:space="preserve"> </w:t>
      </w:r>
      <w:r w:rsidRPr="00F83F3E">
        <w:rPr>
          <w:rFonts w:ascii="Times New Roman" w:hAnsi="Times New Roman"/>
          <w:sz w:val="18"/>
          <w:szCs w:val="18"/>
        </w:rPr>
        <w:t xml:space="preserve">Means on the same row with different superscripts are significant P ≤ 0.05 </w:t>
      </w:r>
    </w:p>
    <w:p w14:paraId="02F841E9" w14:textId="240B5A90" w:rsidR="00FC3F16" w:rsidRPr="00F83F3E" w:rsidRDefault="00FC3F16" w:rsidP="00EB7849">
      <w:pPr>
        <w:pStyle w:val="Style2"/>
        <w:spacing w:line="240" w:lineRule="auto"/>
        <w:rPr>
          <w:b w:val="0"/>
          <w:bCs/>
          <w:sz w:val="18"/>
          <w:szCs w:val="18"/>
        </w:rPr>
      </w:pPr>
      <w:r w:rsidRPr="00F83F3E">
        <w:rPr>
          <w:sz w:val="18"/>
          <w:szCs w:val="18"/>
        </w:rPr>
        <w:tab/>
      </w:r>
      <w:bookmarkEnd w:id="1"/>
    </w:p>
    <w:p w14:paraId="12EC0EBB" w14:textId="2289B41E" w:rsidR="00EB7849" w:rsidRPr="00F83F3E" w:rsidRDefault="00EB7849" w:rsidP="00136030">
      <w:pPr>
        <w:spacing w:line="240" w:lineRule="auto"/>
        <w:rPr>
          <w:rFonts w:ascii="Times New Roman" w:hAnsi="Times New Roman"/>
          <w:b/>
          <w:bCs/>
          <w:sz w:val="18"/>
          <w:szCs w:val="18"/>
        </w:rPr>
      </w:pPr>
      <w:r w:rsidRPr="00F83F3E">
        <w:rPr>
          <w:rFonts w:ascii="Times New Roman" w:hAnsi="Times New Roman"/>
          <w:b/>
          <w:bCs/>
          <w:sz w:val="18"/>
          <w:szCs w:val="18"/>
        </w:rPr>
        <w:t>References</w:t>
      </w:r>
    </w:p>
    <w:p w14:paraId="258B1F0A" w14:textId="10E17C9F" w:rsidR="00B5577C" w:rsidRPr="00F83F3E" w:rsidRDefault="00AD5427" w:rsidP="00AD5427">
      <w:pPr>
        <w:pStyle w:val="ListParagraph"/>
        <w:autoSpaceDE w:val="0"/>
        <w:autoSpaceDN w:val="0"/>
        <w:adjustRightInd w:val="0"/>
        <w:spacing w:before="240" w:after="240" w:line="240" w:lineRule="auto"/>
        <w:ind w:left="432" w:right="0" w:hanging="709"/>
        <w:jc w:val="both"/>
        <w:rPr>
          <w:rFonts w:ascii="Times New Roman" w:hAnsi="Times New Roman"/>
          <w:sz w:val="18"/>
          <w:szCs w:val="18"/>
        </w:rPr>
      </w:pPr>
      <w:r w:rsidRPr="00F83F3E">
        <w:rPr>
          <w:rFonts w:ascii="Times New Roman" w:hAnsi="Times New Roman"/>
          <w:sz w:val="18"/>
          <w:szCs w:val="18"/>
        </w:rPr>
        <w:t xml:space="preserve">Hegazi, A., Abdou, A. M. </w:t>
      </w:r>
      <w:r w:rsidR="00F83F3E">
        <w:rPr>
          <w:rFonts w:ascii="Times New Roman" w:hAnsi="Times New Roman"/>
          <w:sz w:val="18"/>
          <w:szCs w:val="18"/>
        </w:rPr>
        <w:t>&amp;</w:t>
      </w:r>
      <w:r w:rsidRPr="00F83F3E">
        <w:rPr>
          <w:rFonts w:ascii="Times New Roman" w:hAnsi="Times New Roman"/>
          <w:sz w:val="18"/>
          <w:szCs w:val="18"/>
        </w:rPr>
        <w:t xml:space="preserve"> </w:t>
      </w:r>
      <w:proofErr w:type="spellStart"/>
      <w:r w:rsidRPr="00F83F3E">
        <w:rPr>
          <w:rFonts w:ascii="Times New Roman" w:hAnsi="Times New Roman"/>
          <w:sz w:val="18"/>
          <w:szCs w:val="18"/>
        </w:rPr>
        <w:t>AbdulAllah</w:t>
      </w:r>
      <w:proofErr w:type="spellEnd"/>
      <w:r w:rsidRPr="00F83F3E">
        <w:rPr>
          <w:rFonts w:ascii="Times New Roman" w:hAnsi="Times New Roman"/>
          <w:sz w:val="18"/>
          <w:szCs w:val="18"/>
        </w:rPr>
        <w:t xml:space="preserve">, F. </w:t>
      </w:r>
      <w:r w:rsidR="00F83F3E">
        <w:rPr>
          <w:rFonts w:ascii="Times New Roman" w:hAnsi="Times New Roman"/>
          <w:sz w:val="18"/>
          <w:szCs w:val="18"/>
        </w:rPr>
        <w:t>(</w:t>
      </w:r>
      <w:r w:rsidRPr="00F83F3E">
        <w:rPr>
          <w:rFonts w:ascii="Times New Roman" w:hAnsi="Times New Roman"/>
          <w:sz w:val="18"/>
          <w:szCs w:val="18"/>
        </w:rPr>
        <w:t>2013</w:t>
      </w:r>
      <w:r w:rsidR="00F83F3E">
        <w:rPr>
          <w:rFonts w:ascii="Times New Roman" w:hAnsi="Times New Roman"/>
          <w:sz w:val="18"/>
          <w:szCs w:val="18"/>
        </w:rPr>
        <w:t>)</w:t>
      </w:r>
      <w:r w:rsidRPr="00F83F3E">
        <w:rPr>
          <w:rFonts w:ascii="Times New Roman" w:hAnsi="Times New Roman"/>
          <w:sz w:val="18"/>
          <w:szCs w:val="18"/>
        </w:rPr>
        <w:t xml:space="preserve">. Influence of honey on immune response against </w:t>
      </w:r>
      <w:proofErr w:type="spellStart"/>
      <w:r w:rsidRPr="00F83F3E">
        <w:rPr>
          <w:rFonts w:ascii="Times New Roman" w:hAnsi="Times New Roman"/>
          <w:sz w:val="18"/>
          <w:szCs w:val="18"/>
        </w:rPr>
        <w:t>newcastle</w:t>
      </w:r>
      <w:proofErr w:type="spellEnd"/>
      <w:r w:rsidRPr="00F83F3E">
        <w:rPr>
          <w:rFonts w:ascii="Times New Roman" w:hAnsi="Times New Roman"/>
          <w:sz w:val="18"/>
          <w:szCs w:val="18"/>
        </w:rPr>
        <w:t xml:space="preserve"> disease vaccine. </w:t>
      </w:r>
      <w:r w:rsidRPr="00F83F3E">
        <w:rPr>
          <w:rFonts w:ascii="Times New Roman" w:hAnsi="Times New Roman"/>
          <w:i/>
          <w:sz w:val="18"/>
          <w:szCs w:val="18"/>
        </w:rPr>
        <w:t>Biology</w:t>
      </w:r>
      <w:r w:rsidRPr="00F83F3E">
        <w:rPr>
          <w:rFonts w:ascii="Times New Roman" w:hAnsi="Times New Roman"/>
          <w:sz w:val="18"/>
          <w:szCs w:val="18"/>
        </w:rPr>
        <w:t xml:space="preserve"> 2(1):1-5 </w:t>
      </w:r>
    </w:p>
    <w:p w14:paraId="482BF695" w14:textId="047A56F9" w:rsidR="00AD5427" w:rsidRPr="00F83F3E" w:rsidRDefault="00AD5427" w:rsidP="00AD5427">
      <w:pPr>
        <w:pStyle w:val="ListParagraph"/>
        <w:autoSpaceDE w:val="0"/>
        <w:autoSpaceDN w:val="0"/>
        <w:adjustRightInd w:val="0"/>
        <w:spacing w:before="240" w:after="240" w:line="240" w:lineRule="auto"/>
        <w:ind w:left="432" w:right="0" w:hanging="709"/>
        <w:jc w:val="both"/>
        <w:rPr>
          <w:rFonts w:ascii="Times New Roman" w:hAnsi="Times New Roman"/>
          <w:color w:val="212121"/>
          <w:sz w:val="18"/>
          <w:szCs w:val="18"/>
          <w:shd w:val="clear" w:color="auto" w:fill="FFFFFF"/>
        </w:rPr>
      </w:pPr>
      <w:proofErr w:type="spellStart"/>
      <w:r w:rsidRPr="00F83F3E">
        <w:rPr>
          <w:rFonts w:ascii="Times New Roman" w:hAnsi="Times New Roman"/>
          <w:color w:val="212121"/>
          <w:sz w:val="18"/>
          <w:szCs w:val="18"/>
          <w:shd w:val="clear" w:color="auto" w:fill="FFFFFF"/>
        </w:rPr>
        <w:t>Lingens</w:t>
      </w:r>
      <w:proofErr w:type="spellEnd"/>
      <w:r w:rsidRPr="00F83F3E">
        <w:rPr>
          <w:rFonts w:ascii="Times New Roman" w:hAnsi="Times New Roman"/>
          <w:color w:val="212121"/>
          <w:sz w:val="18"/>
          <w:szCs w:val="18"/>
          <w:shd w:val="clear" w:color="auto" w:fill="FFFFFF"/>
        </w:rPr>
        <w:t xml:space="preserve">, J. B., Abd El-Wahab, A., Ahmed M. F. E., Schubert, D. C., </w:t>
      </w:r>
      <w:proofErr w:type="spellStart"/>
      <w:r w:rsidRPr="00F83F3E">
        <w:rPr>
          <w:rFonts w:ascii="Times New Roman" w:hAnsi="Times New Roman"/>
          <w:color w:val="212121"/>
          <w:sz w:val="18"/>
          <w:szCs w:val="18"/>
          <w:shd w:val="clear" w:color="auto" w:fill="FFFFFF"/>
        </w:rPr>
        <w:t>Sürie</w:t>
      </w:r>
      <w:proofErr w:type="spellEnd"/>
      <w:r w:rsidRPr="00F83F3E">
        <w:rPr>
          <w:rFonts w:ascii="Times New Roman" w:hAnsi="Times New Roman"/>
          <w:color w:val="212121"/>
          <w:sz w:val="18"/>
          <w:szCs w:val="18"/>
          <w:shd w:val="clear" w:color="auto" w:fill="FFFFFF"/>
        </w:rPr>
        <w:t xml:space="preserve"> C. </w:t>
      </w:r>
      <w:r w:rsidR="00F83F3E">
        <w:rPr>
          <w:rFonts w:ascii="Times New Roman" w:hAnsi="Times New Roman"/>
          <w:color w:val="212121"/>
          <w:sz w:val="18"/>
          <w:szCs w:val="18"/>
          <w:shd w:val="clear" w:color="auto" w:fill="FFFFFF"/>
        </w:rPr>
        <w:t>&amp;</w:t>
      </w:r>
      <w:r w:rsidRPr="00F83F3E">
        <w:rPr>
          <w:rFonts w:ascii="Times New Roman" w:hAnsi="Times New Roman"/>
          <w:color w:val="212121"/>
          <w:sz w:val="18"/>
          <w:szCs w:val="18"/>
          <w:shd w:val="clear" w:color="auto" w:fill="FFFFFF"/>
        </w:rPr>
        <w:t xml:space="preserve"> Visscher, C. </w:t>
      </w:r>
      <w:r w:rsidR="00F83F3E">
        <w:rPr>
          <w:rFonts w:ascii="Times New Roman" w:hAnsi="Times New Roman"/>
          <w:color w:val="212121"/>
          <w:sz w:val="18"/>
          <w:szCs w:val="18"/>
          <w:shd w:val="clear" w:color="auto" w:fill="FFFFFF"/>
        </w:rPr>
        <w:t>(</w:t>
      </w:r>
      <w:r w:rsidRPr="00F83F3E">
        <w:rPr>
          <w:rFonts w:ascii="Times New Roman" w:hAnsi="Times New Roman"/>
          <w:color w:val="212121"/>
          <w:sz w:val="18"/>
          <w:szCs w:val="18"/>
          <w:shd w:val="clear" w:color="auto" w:fill="FFFFFF"/>
        </w:rPr>
        <w:t>2021</w:t>
      </w:r>
      <w:r w:rsidR="00F83F3E">
        <w:rPr>
          <w:rFonts w:ascii="Times New Roman" w:hAnsi="Times New Roman"/>
          <w:color w:val="212121"/>
          <w:sz w:val="18"/>
          <w:szCs w:val="18"/>
          <w:shd w:val="clear" w:color="auto" w:fill="FFFFFF"/>
        </w:rPr>
        <w:t>)</w:t>
      </w:r>
      <w:r w:rsidRPr="00F83F3E">
        <w:rPr>
          <w:rFonts w:ascii="Times New Roman" w:hAnsi="Times New Roman"/>
          <w:color w:val="212121"/>
          <w:sz w:val="18"/>
          <w:szCs w:val="18"/>
          <w:shd w:val="clear" w:color="auto" w:fill="FFFFFF"/>
        </w:rPr>
        <w:t xml:space="preserve">. Effects of early nutrition of hatched chicks on welfare and growth performance: a pilot study. </w:t>
      </w:r>
      <w:r w:rsidRPr="00F83F3E">
        <w:rPr>
          <w:rFonts w:ascii="Times New Roman" w:hAnsi="Times New Roman"/>
          <w:i/>
          <w:color w:val="212121"/>
          <w:sz w:val="18"/>
          <w:szCs w:val="18"/>
          <w:shd w:val="clear" w:color="auto" w:fill="FFFFFF"/>
        </w:rPr>
        <w:t>Animals (Basel)</w:t>
      </w:r>
      <w:r w:rsidRPr="00F83F3E">
        <w:rPr>
          <w:rFonts w:ascii="Times New Roman" w:hAnsi="Times New Roman"/>
          <w:color w:val="212121"/>
          <w:sz w:val="18"/>
          <w:szCs w:val="18"/>
          <w:shd w:val="clear" w:color="auto" w:fill="FFFFFF"/>
        </w:rPr>
        <w:t>. 11(10):2888</w:t>
      </w:r>
    </w:p>
    <w:p w14:paraId="1BE67ABD" w14:textId="66A17348" w:rsidR="00AD5427" w:rsidRPr="00F83F3E" w:rsidRDefault="00AD5427" w:rsidP="00AD5427">
      <w:pPr>
        <w:pStyle w:val="ListParagraph"/>
        <w:autoSpaceDE w:val="0"/>
        <w:autoSpaceDN w:val="0"/>
        <w:adjustRightInd w:val="0"/>
        <w:spacing w:before="240" w:after="240" w:line="240" w:lineRule="auto"/>
        <w:ind w:left="432" w:right="0" w:hanging="709"/>
        <w:jc w:val="both"/>
        <w:rPr>
          <w:rFonts w:ascii="Times New Roman" w:hAnsi="Times New Roman"/>
          <w:sz w:val="18"/>
          <w:szCs w:val="18"/>
        </w:rPr>
      </w:pPr>
      <w:r w:rsidRPr="00F83F3E">
        <w:rPr>
          <w:rFonts w:ascii="Times New Roman" w:hAnsi="Times New Roman"/>
          <w:sz w:val="18"/>
          <w:szCs w:val="18"/>
        </w:rPr>
        <w:t xml:space="preserve">SAS Institute, </w:t>
      </w:r>
      <w:r w:rsidR="00F83F3E">
        <w:rPr>
          <w:rFonts w:ascii="Times New Roman" w:hAnsi="Times New Roman"/>
          <w:sz w:val="18"/>
          <w:szCs w:val="18"/>
        </w:rPr>
        <w:t>(</w:t>
      </w:r>
      <w:r w:rsidRPr="00F83F3E">
        <w:rPr>
          <w:rFonts w:ascii="Times New Roman" w:hAnsi="Times New Roman"/>
          <w:sz w:val="18"/>
          <w:szCs w:val="18"/>
        </w:rPr>
        <w:t>2013</w:t>
      </w:r>
      <w:r w:rsidR="00F83F3E">
        <w:rPr>
          <w:rFonts w:ascii="Times New Roman" w:hAnsi="Times New Roman"/>
          <w:sz w:val="18"/>
          <w:szCs w:val="18"/>
        </w:rPr>
        <w:t>)</w:t>
      </w:r>
      <w:r w:rsidRPr="00F83F3E">
        <w:rPr>
          <w:rFonts w:ascii="Times New Roman" w:hAnsi="Times New Roman"/>
          <w:sz w:val="18"/>
          <w:szCs w:val="18"/>
        </w:rPr>
        <w:t>. SAS/STAT User’s Guide. Release 9.30 editions. SAS Institute Inc., Cary, North Carolina</w:t>
      </w:r>
    </w:p>
    <w:p w14:paraId="514AE59E" w14:textId="14D739A4" w:rsidR="00AD5427" w:rsidRPr="00F83F3E" w:rsidRDefault="00AD5427" w:rsidP="00AD5427">
      <w:pPr>
        <w:pStyle w:val="ListParagraph"/>
        <w:autoSpaceDE w:val="0"/>
        <w:autoSpaceDN w:val="0"/>
        <w:adjustRightInd w:val="0"/>
        <w:spacing w:before="240" w:after="240" w:line="240" w:lineRule="auto"/>
        <w:ind w:left="432" w:right="0" w:hanging="709"/>
        <w:jc w:val="both"/>
        <w:rPr>
          <w:rFonts w:ascii="Times New Roman" w:hAnsi="Times New Roman"/>
          <w:color w:val="212121"/>
          <w:sz w:val="18"/>
          <w:szCs w:val="18"/>
          <w:shd w:val="clear" w:color="auto" w:fill="FFFFFF"/>
        </w:rPr>
      </w:pPr>
      <w:r w:rsidRPr="00F83F3E">
        <w:rPr>
          <w:rFonts w:ascii="Times New Roman" w:hAnsi="Times New Roman"/>
          <w:color w:val="212121"/>
          <w:sz w:val="18"/>
          <w:szCs w:val="18"/>
          <w:shd w:val="clear" w:color="auto" w:fill="FFFFFF"/>
        </w:rPr>
        <w:t xml:space="preserve">Wang, H., Zhu, Y. W., Yang, J., Wang, X. Y., Zhan, Y. C., Wang, W. C. </w:t>
      </w:r>
      <w:r w:rsidR="00F83F3E">
        <w:rPr>
          <w:rFonts w:ascii="Times New Roman" w:hAnsi="Times New Roman"/>
          <w:color w:val="212121"/>
          <w:sz w:val="18"/>
          <w:szCs w:val="18"/>
          <w:shd w:val="clear" w:color="auto" w:fill="FFFFFF"/>
        </w:rPr>
        <w:t>&amp;</w:t>
      </w:r>
      <w:r w:rsidRPr="00F83F3E">
        <w:rPr>
          <w:rFonts w:ascii="Times New Roman" w:hAnsi="Times New Roman"/>
          <w:color w:val="212121"/>
          <w:sz w:val="18"/>
          <w:szCs w:val="18"/>
          <w:shd w:val="clear" w:color="auto" w:fill="FFFFFF"/>
        </w:rPr>
        <w:t xml:space="preserve"> Yang, L.</w:t>
      </w:r>
      <w:r w:rsidR="00F83F3E">
        <w:rPr>
          <w:rFonts w:ascii="Times New Roman" w:hAnsi="Times New Roman"/>
          <w:color w:val="212121"/>
          <w:sz w:val="18"/>
          <w:szCs w:val="18"/>
          <w:shd w:val="clear" w:color="auto" w:fill="FFFFFF"/>
        </w:rPr>
        <w:t xml:space="preserve"> (</w:t>
      </w:r>
      <w:r w:rsidRPr="00F83F3E">
        <w:rPr>
          <w:rFonts w:ascii="Times New Roman" w:hAnsi="Times New Roman"/>
          <w:color w:val="212121"/>
          <w:sz w:val="18"/>
          <w:szCs w:val="18"/>
          <w:shd w:val="clear" w:color="auto" w:fill="FFFFFF"/>
        </w:rPr>
        <w:t>2023</w:t>
      </w:r>
      <w:r w:rsidR="00F83F3E">
        <w:rPr>
          <w:rFonts w:ascii="Times New Roman" w:hAnsi="Times New Roman"/>
          <w:color w:val="212121"/>
          <w:sz w:val="18"/>
          <w:szCs w:val="18"/>
          <w:shd w:val="clear" w:color="auto" w:fill="FFFFFF"/>
        </w:rPr>
        <w:t>)</w:t>
      </w:r>
      <w:r w:rsidRPr="00F83F3E">
        <w:rPr>
          <w:rFonts w:ascii="Times New Roman" w:hAnsi="Times New Roman"/>
          <w:color w:val="212121"/>
          <w:sz w:val="18"/>
          <w:szCs w:val="18"/>
          <w:shd w:val="clear" w:color="auto" w:fill="FFFFFF"/>
        </w:rPr>
        <w:t xml:space="preserve">. Research note: Developmental changes of glucose metabolism are associated with insulin signaling in goose embryo. </w:t>
      </w:r>
      <w:r w:rsidRPr="00F83F3E">
        <w:rPr>
          <w:rFonts w:ascii="Times New Roman" w:hAnsi="Times New Roman"/>
          <w:i/>
          <w:color w:val="212121"/>
          <w:sz w:val="18"/>
          <w:szCs w:val="18"/>
          <w:shd w:val="clear" w:color="auto" w:fill="FFFFFF"/>
        </w:rPr>
        <w:t>Poultry Science</w:t>
      </w:r>
      <w:r w:rsidRPr="00F83F3E">
        <w:rPr>
          <w:rFonts w:ascii="Times New Roman" w:hAnsi="Times New Roman"/>
          <w:color w:val="212121"/>
          <w:sz w:val="18"/>
          <w:szCs w:val="18"/>
          <w:shd w:val="clear" w:color="auto" w:fill="FFFFFF"/>
        </w:rPr>
        <w:t>, 102(5):102204</w:t>
      </w:r>
    </w:p>
    <w:p w14:paraId="45AFEE52" w14:textId="49EF5CB8" w:rsidR="009E3F98" w:rsidRPr="00F83F3E" w:rsidRDefault="009E3F98" w:rsidP="009E3F98">
      <w:pPr>
        <w:pStyle w:val="ListParagraph"/>
        <w:autoSpaceDE w:val="0"/>
        <w:autoSpaceDN w:val="0"/>
        <w:adjustRightInd w:val="0"/>
        <w:spacing w:before="240" w:after="240" w:line="240" w:lineRule="auto"/>
        <w:ind w:left="432" w:right="0" w:hanging="709"/>
        <w:jc w:val="both"/>
        <w:rPr>
          <w:rFonts w:ascii="Times New Roman" w:hAnsi="Times New Roman"/>
          <w:sz w:val="18"/>
          <w:szCs w:val="18"/>
          <w:shd w:val="clear" w:color="auto" w:fill="FFFFFF"/>
        </w:rPr>
      </w:pPr>
      <w:proofErr w:type="spellStart"/>
      <w:r w:rsidRPr="00F83F3E">
        <w:rPr>
          <w:rFonts w:ascii="Times New Roman" w:hAnsi="Times New Roman"/>
          <w:sz w:val="18"/>
          <w:szCs w:val="18"/>
          <w:shd w:val="clear" w:color="auto" w:fill="FFFFFF"/>
        </w:rPr>
        <w:t>Karabagias</w:t>
      </w:r>
      <w:proofErr w:type="spellEnd"/>
      <w:r w:rsidRPr="00F83F3E">
        <w:rPr>
          <w:rFonts w:ascii="Times New Roman" w:hAnsi="Times New Roman"/>
          <w:sz w:val="18"/>
          <w:szCs w:val="18"/>
          <w:shd w:val="clear" w:color="auto" w:fill="FFFFFF"/>
        </w:rPr>
        <w:t xml:space="preserve">, I. K., </w:t>
      </w:r>
      <w:proofErr w:type="spellStart"/>
      <w:r w:rsidRPr="00F83F3E">
        <w:rPr>
          <w:rFonts w:ascii="Times New Roman" w:hAnsi="Times New Roman"/>
          <w:sz w:val="18"/>
          <w:szCs w:val="18"/>
          <w:shd w:val="clear" w:color="auto" w:fill="FFFFFF"/>
        </w:rPr>
        <w:t>Badeka</w:t>
      </w:r>
      <w:proofErr w:type="spellEnd"/>
      <w:r w:rsidRPr="00F83F3E">
        <w:rPr>
          <w:rFonts w:ascii="Times New Roman" w:hAnsi="Times New Roman"/>
          <w:sz w:val="18"/>
          <w:szCs w:val="18"/>
          <w:shd w:val="clear" w:color="auto" w:fill="FFFFFF"/>
        </w:rPr>
        <w:t xml:space="preserve">, A., </w:t>
      </w:r>
      <w:proofErr w:type="spellStart"/>
      <w:r w:rsidRPr="00F83F3E">
        <w:rPr>
          <w:rFonts w:ascii="Times New Roman" w:hAnsi="Times New Roman"/>
          <w:sz w:val="18"/>
          <w:szCs w:val="18"/>
          <w:shd w:val="clear" w:color="auto" w:fill="FFFFFF"/>
        </w:rPr>
        <w:t>Kontakos</w:t>
      </w:r>
      <w:proofErr w:type="spellEnd"/>
      <w:r w:rsidRPr="00F83F3E">
        <w:rPr>
          <w:rFonts w:ascii="Times New Roman" w:hAnsi="Times New Roman"/>
          <w:sz w:val="18"/>
          <w:szCs w:val="18"/>
          <w:shd w:val="clear" w:color="auto" w:fill="FFFFFF"/>
        </w:rPr>
        <w:t xml:space="preserve">, S., </w:t>
      </w:r>
      <w:proofErr w:type="spellStart"/>
      <w:r w:rsidRPr="00F83F3E">
        <w:rPr>
          <w:rFonts w:ascii="Times New Roman" w:hAnsi="Times New Roman"/>
          <w:sz w:val="18"/>
          <w:szCs w:val="18"/>
          <w:shd w:val="clear" w:color="auto" w:fill="FFFFFF"/>
        </w:rPr>
        <w:t>Karabournioti</w:t>
      </w:r>
      <w:proofErr w:type="spellEnd"/>
      <w:r w:rsidRPr="00F83F3E">
        <w:rPr>
          <w:rFonts w:ascii="Times New Roman" w:hAnsi="Times New Roman"/>
          <w:sz w:val="18"/>
          <w:szCs w:val="18"/>
          <w:shd w:val="clear" w:color="auto" w:fill="FFFFFF"/>
        </w:rPr>
        <w:t xml:space="preserve">, S. and </w:t>
      </w:r>
      <w:proofErr w:type="spellStart"/>
      <w:r w:rsidRPr="00F83F3E">
        <w:rPr>
          <w:rFonts w:ascii="Times New Roman" w:hAnsi="Times New Roman"/>
          <w:sz w:val="18"/>
          <w:szCs w:val="18"/>
          <w:shd w:val="clear" w:color="auto" w:fill="FFFFFF"/>
        </w:rPr>
        <w:t>Kontominas</w:t>
      </w:r>
      <w:proofErr w:type="spellEnd"/>
      <w:r w:rsidRPr="00F83F3E">
        <w:rPr>
          <w:rFonts w:ascii="Times New Roman" w:hAnsi="Times New Roman"/>
          <w:sz w:val="18"/>
          <w:szCs w:val="18"/>
          <w:shd w:val="clear" w:color="auto" w:fill="FFFFFF"/>
        </w:rPr>
        <w:t xml:space="preserve">, M. G. </w:t>
      </w:r>
      <w:r w:rsidR="00F83F3E">
        <w:rPr>
          <w:rFonts w:ascii="Times New Roman" w:hAnsi="Times New Roman"/>
          <w:sz w:val="18"/>
          <w:szCs w:val="18"/>
          <w:shd w:val="clear" w:color="auto" w:fill="FFFFFF"/>
        </w:rPr>
        <w:t>(</w:t>
      </w:r>
      <w:r w:rsidRPr="00F83F3E">
        <w:rPr>
          <w:rFonts w:ascii="Times New Roman" w:hAnsi="Times New Roman"/>
          <w:sz w:val="18"/>
          <w:szCs w:val="18"/>
          <w:shd w:val="clear" w:color="auto" w:fill="FFFFFF"/>
        </w:rPr>
        <w:t>2014</w:t>
      </w:r>
      <w:r w:rsidR="00F83F3E">
        <w:rPr>
          <w:rFonts w:ascii="Times New Roman" w:hAnsi="Times New Roman"/>
          <w:sz w:val="18"/>
          <w:szCs w:val="18"/>
          <w:shd w:val="clear" w:color="auto" w:fill="FFFFFF"/>
        </w:rPr>
        <w:t>)</w:t>
      </w:r>
      <w:r w:rsidRPr="00F83F3E">
        <w:rPr>
          <w:rFonts w:ascii="Times New Roman" w:hAnsi="Times New Roman"/>
          <w:sz w:val="18"/>
          <w:szCs w:val="18"/>
          <w:shd w:val="clear" w:color="auto" w:fill="FFFFFF"/>
        </w:rPr>
        <w:t xml:space="preserve">. Characterization and classification of </w:t>
      </w:r>
      <w:r w:rsidRPr="00F83F3E">
        <w:rPr>
          <w:rFonts w:ascii="Times New Roman" w:hAnsi="Times New Roman"/>
          <w:i/>
          <w:iCs/>
          <w:sz w:val="18"/>
          <w:szCs w:val="18"/>
          <w:shd w:val="clear" w:color="auto" w:fill="FFFFFF"/>
        </w:rPr>
        <w:t xml:space="preserve">thymus </w:t>
      </w:r>
      <w:proofErr w:type="spellStart"/>
      <w:r w:rsidRPr="00F83F3E">
        <w:rPr>
          <w:rFonts w:ascii="Times New Roman" w:hAnsi="Times New Roman"/>
          <w:i/>
          <w:iCs/>
          <w:sz w:val="18"/>
          <w:szCs w:val="18"/>
          <w:shd w:val="clear" w:color="auto" w:fill="FFFFFF"/>
        </w:rPr>
        <w:t>capitatus</w:t>
      </w:r>
      <w:proofErr w:type="spellEnd"/>
      <w:r w:rsidRPr="00F83F3E">
        <w:rPr>
          <w:rFonts w:ascii="Times New Roman" w:hAnsi="Times New Roman"/>
          <w:i/>
          <w:iCs/>
          <w:sz w:val="18"/>
          <w:szCs w:val="18"/>
          <w:shd w:val="clear" w:color="auto" w:fill="FFFFFF"/>
        </w:rPr>
        <w:t xml:space="preserve"> (l.)</w:t>
      </w:r>
      <w:r w:rsidRPr="00F83F3E">
        <w:rPr>
          <w:rFonts w:ascii="Times New Roman" w:hAnsi="Times New Roman"/>
          <w:sz w:val="18"/>
          <w:szCs w:val="18"/>
          <w:shd w:val="clear" w:color="auto" w:fill="FFFFFF"/>
        </w:rPr>
        <w:t xml:space="preserve"> honey according to geographical origin based on volatile compounds, physicochemical parameters and chemometrics. </w:t>
      </w:r>
      <w:r w:rsidRPr="00F83F3E">
        <w:rPr>
          <w:rFonts w:ascii="Times New Roman" w:hAnsi="Times New Roman"/>
          <w:i/>
          <w:iCs/>
          <w:sz w:val="18"/>
          <w:szCs w:val="18"/>
          <w:shd w:val="clear" w:color="auto" w:fill="FFFFFF"/>
        </w:rPr>
        <w:t>Food Research International</w:t>
      </w:r>
      <w:r w:rsidRPr="00F83F3E">
        <w:rPr>
          <w:rFonts w:ascii="Times New Roman" w:hAnsi="Times New Roman"/>
          <w:sz w:val="18"/>
          <w:szCs w:val="18"/>
          <w:shd w:val="clear" w:color="auto" w:fill="FFFFFF"/>
        </w:rPr>
        <w:t>, 55: 363–372</w:t>
      </w:r>
    </w:p>
    <w:p w14:paraId="3E00F47B" w14:textId="77777777" w:rsidR="009E3F98" w:rsidRPr="00F83F3E" w:rsidRDefault="009E3F98" w:rsidP="00AD5427">
      <w:pPr>
        <w:pStyle w:val="ListParagraph"/>
        <w:autoSpaceDE w:val="0"/>
        <w:autoSpaceDN w:val="0"/>
        <w:adjustRightInd w:val="0"/>
        <w:spacing w:before="240" w:after="240" w:line="240" w:lineRule="auto"/>
        <w:ind w:left="432" w:right="0" w:hanging="709"/>
        <w:jc w:val="both"/>
        <w:rPr>
          <w:rFonts w:ascii="Times New Roman" w:hAnsi="Times New Roman"/>
          <w:color w:val="212121"/>
          <w:sz w:val="18"/>
          <w:szCs w:val="18"/>
          <w:shd w:val="clear" w:color="auto" w:fill="FFFFFF"/>
        </w:rPr>
      </w:pPr>
    </w:p>
    <w:p w14:paraId="401386ED" w14:textId="77777777" w:rsidR="00AD5427" w:rsidRPr="00F83F3E" w:rsidRDefault="00AD5427" w:rsidP="00AD5427">
      <w:pPr>
        <w:pStyle w:val="ListParagraph"/>
        <w:autoSpaceDE w:val="0"/>
        <w:autoSpaceDN w:val="0"/>
        <w:adjustRightInd w:val="0"/>
        <w:spacing w:before="240" w:after="240" w:line="240" w:lineRule="auto"/>
        <w:ind w:left="432" w:right="0" w:hanging="709"/>
        <w:jc w:val="both"/>
        <w:rPr>
          <w:rFonts w:ascii="Times New Roman" w:hAnsi="Times New Roman"/>
          <w:sz w:val="18"/>
          <w:szCs w:val="18"/>
        </w:rPr>
      </w:pPr>
    </w:p>
    <w:sectPr w:rsidR="00AD5427" w:rsidRPr="00F8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16"/>
    <w:rsid w:val="000676AD"/>
    <w:rsid w:val="00136030"/>
    <w:rsid w:val="00146E5A"/>
    <w:rsid w:val="00286EE0"/>
    <w:rsid w:val="006D5BA1"/>
    <w:rsid w:val="00717C8D"/>
    <w:rsid w:val="00735318"/>
    <w:rsid w:val="0087183B"/>
    <w:rsid w:val="009C2D6C"/>
    <w:rsid w:val="009E3F98"/>
    <w:rsid w:val="00AD5427"/>
    <w:rsid w:val="00B22697"/>
    <w:rsid w:val="00B5577C"/>
    <w:rsid w:val="00BD48AA"/>
    <w:rsid w:val="00DC16FB"/>
    <w:rsid w:val="00E22CCD"/>
    <w:rsid w:val="00EB7849"/>
    <w:rsid w:val="00F83F3E"/>
    <w:rsid w:val="00FC3F16"/>
    <w:rsid w:val="00FC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602F"/>
  <w15:chartTrackingRefBased/>
  <w15:docId w15:val="{FBC428CC-8A8E-4B0F-A7FE-B2B799B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1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FC3F16"/>
    <w:pPr>
      <w:autoSpaceDE w:val="0"/>
      <w:autoSpaceDN w:val="0"/>
      <w:adjustRightInd w:val="0"/>
      <w:spacing w:after="0" w:line="480" w:lineRule="auto"/>
    </w:pPr>
    <w:rPr>
      <w:rFonts w:ascii="Times New Roman" w:hAnsi="Times New Roman"/>
      <w:b/>
      <w:sz w:val="24"/>
      <w:szCs w:val="24"/>
    </w:rPr>
  </w:style>
  <w:style w:type="character" w:customStyle="1" w:styleId="Style2Char">
    <w:name w:val="Style2 Char"/>
    <w:basedOn w:val="DefaultParagraphFont"/>
    <w:link w:val="Style2"/>
    <w:rsid w:val="00FC3F16"/>
    <w:rPr>
      <w:rFonts w:ascii="Times New Roman" w:eastAsia="Calibri" w:hAnsi="Times New Roman" w:cs="Times New Roman"/>
      <w:b/>
      <w:kern w:val="0"/>
      <w:sz w:val="24"/>
      <w:szCs w:val="24"/>
      <w14:ligatures w14:val="none"/>
    </w:rPr>
  </w:style>
  <w:style w:type="paragraph" w:customStyle="1" w:styleId="Style6">
    <w:name w:val="Style6"/>
    <w:basedOn w:val="Normal"/>
    <w:link w:val="Style6Char"/>
    <w:qFormat/>
    <w:rsid w:val="00FC3F16"/>
    <w:pPr>
      <w:autoSpaceDE w:val="0"/>
      <w:autoSpaceDN w:val="0"/>
      <w:adjustRightInd w:val="0"/>
      <w:spacing w:after="0" w:line="360" w:lineRule="auto"/>
      <w:ind w:left="360" w:hanging="360"/>
      <w:contextualSpacing/>
      <w:jc w:val="both"/>
    </w:pPr>
    <w:rPr>
      <w:rFonts w:ascii="Times New Roman" w:hAnsi="Times New Roman"/>
      <w:b/>
      <w:sz w:val="24"/>
      <w:szCs w:val="24"/>
    </w:rPr>
  </w:style>
  <w:style w:type="character" w:customStyle="1" w:styleId="Style6Char">
    <w:name w:val="Style6 Char"/>
    <w:basedOn w:val="DefaultParagraphFont"/>
    <w:link w:val="Style6"/>
    <w:rsid w:val="00FC3F16"/>
    <w:rPr>
      <w:rFonts w:ascii="Times New Roman" w:eastAsia="Calibri" w:hAnsi="Times New Roman" w:cs="Times New Roman"/>
      <w:b/>
      <w:kern w:val="0"/>
      <w:sz w:val="24"/>
      <w:szCs w:val="24"/>
      <w14:ligatures w14:val="none"/>
    </w:rPr>
  </w:style>
  <w:style w:type="paragraph" w:styleId="ListParagraph">
    <w:name w:val="List Paragraph"/>
    <w:basedOn w:val="Normal"/>
    <w:uiPriority w:val="34"/>
    <w:qFormat/>
    <w:rsid w:val="00AD5427"/>
    <w:pPr>
      <w:spacing w:after="0" w:line="240" w:lineRule="atLeast"/>
      <w:ind w:left="720" w:righ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1877</TotalTime>
  <Pages>2</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Adejumo</dc:creator>
  <cp:keywords/>
  <dc:description/>
  <cp:lastModifiedBy>Reuben Adejumo</cp:lastModifiedBy>
  <cp:revision>11</cp:revision>
  <dcterms:created xsi:type="dcterms:W3CDTF">2023-10-27T13:35:00Z</dcterms:created>
  <dcterms:modified xsi:type="dcterms:W3CDTF">2023-12-22T15:32:00Z</dcterms:modified>
</cp:coreProperties>
</file>