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7E8AE" w14:textId="77777777" w:rsidR="008861F7" w:rsidRPr="00FC0C03" w:rsidRDefault="007B30E3" w:rsidP="000C77AB">
      <w:pPr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Application</w:t>
      </w:r>
    </w:p>
    <w:p w14:paraId="4437C79B" w14:textId="4BF3651F" w:rsidR="007B30E3" w:rsidRPr="00FC0C03" w:rsidRDefault="007E2262" w:rsidP="000C77AB">
      <w:pPr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sz w:val="24"/>
          <w:szCs w:val="24"/>
          <w:lang w:val="en-US"/>
        </w:rPr>
        <w:t xml:space="preserve">An </w:t>
      </w:r>
      <w:r w:rsidR="004C4428" w:rsidRPr="00FC0C03">
        <w:rPr>
          <w:rFonts w:asciiTheme="majorHAnsi" w:hAnsiTheme="majorHAnsi"/>
          <w:sz w:val="24"/>
          <w:szCs w:val="24"/>
          <w:lang w:val="en-US"/>
        </w:rPr>
        <w:t>increase in</w:t>
      </w:r>
      <w:r w:rsidR="000C77AB" w:rsidRPr="00FC0C03">
        <w:rPr>
          <w:rFonts w:asciiTheme="majorHAnsi" w:hAnsiTheme="majorHAnsi"/>
          <w:sz w:val="24"/>
          <w:szCs w:val="24"/>
          <w:lang w:val="en-US"/>
        </w:rPr>
        <w:t xml:space="preserve"> village chicken flock </w:t>
      </w:r>
      <w:r w:rsidR="004C4428" w:rsidRPr="00FC0C03">
        <w:rPr>
          <w:rFonts w:asciiTheme="majorHAnsi" w:hAnsiTheme="majorHAnsi"/>
          <w:sz w:val="24"/>
          <w:szCs w:val="24"/>
          <w:lang w:val="en-US"/>
        </w:rPr>
        <w:t>sizes</w:t>
      </w:r>
      <w:r w:rsidRPr="00FC0C03">
        <w:rPr>
          <w:rFonts w:asciiTheme="majorHAnsi" w:hAnsiTheme="majorHAnsi"/>
          <w:sz w:val="24"/>
          <w:szCs w:val="24"/>
          <w:lang w:val="en-US"/>
        </w:rPr>
        <w:t xml:space="preserve"> is closely related to dietary diversity and, hence, food and nutrition security</w:t>
      </w:r>
      <w:r w:rsidR="004C4428" w:rsidRPr="00FC0C03">
        <w:rPr>
          <w:rFonts w:asciiTheme="majorHAnsi" w:hAnsiTheme="majorHAnsi"/>
          <w:sz w:val="24"/>
          <w:szCs w:val="24"/>
          <w:lang w:val="en-US"/>
        </w:rPr>
        <w:t>.</w:t>
      </w:r>
    </w:p>
    <w:p w14:paraId="07C9ECB3" w14:textId="77777777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5E9F33D1" w14:textId="67C2E35A" w:rsidR="007B30E3" w:rsidRPr="00FC0C03" w:rsidRDefault="007B30E3" w:rsidP="00C66F12">
      <w:pPr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Introduction</w:t>
      </w:r>
      <w:r w:rsidR="008861F7" w:rsidRPr="00FC0C03">
        <w:rPr>
          <w:rFonts w:asciiTheme="majorHAnsi" w:hAnsiTheme="majorHAnsi"/>
          <w:b/>
          <w:bCs/>
          <w:sz w:val="24"/>
          <w:szCs w:val="24"/>
          <w:lang w:val="en-US"/>
        </w:rPr>
        <w:br/>
      </w:r>
      <w:r w:rsidR="00467378" w:rsidRPr="00FC0C03">
        <w:rPr>
          <w:rFonts w:asciiTheme="majorHAnsi" w:hAnsiTheme="majorHAnsi"/>
          <w:sz w:val="24"/>
          <w:szCs w:val="24"/>
        </w:rPr>
        <w:t>D</w:t>
      </w:r>
      <w:r w:rsidR="00501C4D" w:rsidRPr="00FC0C03">
        <w:rPr>
          <w:rFonts w:asciiTheme="majorHAnsi" w:hAnsiTheme="majorHAnsi"/>
          <w:sz w:val="24"/>
          <w:szCs w:val="24"/>
        </w:rPr>
        <w:t>ietary diversity refers to different food items a household eats over a particular reference period</w:t>
      </w:r>
      <w:r w:rsidR="00435612"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 (Verger </w:t>
      </w:r>
      <w:r w:rsidR="00435612" w:rsidRPr="00FC0C03">
        <w:rPr>
          <w:rFonts w:asciiTheme="majorHAnsi" w:eastAsia="Calibri" w:hAnsiTheme="majorHAnsi" w:cs="Times New Roman"/>
          <w:i/>
          <w:noProof/>
          <w:kern w:val="0"/>
          <w:sz w:val="24"/>
          <w:szCs w:val="24"/>
          <w:lang w:val="en-ZA"/>
          <w14:ligatures w14:val="none"/>
        </w:rPr>
        <w:t>et al.,</w:t>
      </w:r>
      <w:r w:rsidR="00435612"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 2021)</w:t>
      </w:r>
      <w:r w:rsidR="00467378" w:rsidRPr="00FC0C03">
        <w:rPr>
          <w:rFonts w:asciiTheme="majorHAnsi" w:hAnsiTheme="majorHAnsi"/>
          <w:sz w:val="24"/>
          <w:szCs w:val="24"/>
        </w:rPr>
        <w:t xml:space="preserve">. </w:t>
      </w:r>
      <w:r w:rsidR="00572921" w:rsidRPr="00FC0C03">
        <w:rPr>
          <w:rFonts w:asciiTheme="majorHAnsi" w:hAnsiTheme="majorHAnsi"/>
          <w:sz w:val="24"/>
          <w:szCs w:val="24"/>
        </w:rPr>
        <w:t>It</w:t>
      </w:r>
      <w:r w:rsidR="00C66F12" w:rsidRPr="00FC0C03">
        <w:rPr>
          <w:rFonts w:asciiTheme="majorHAnsi" w:hAnsiTheme="majorHAnsi"/>
          <w:sz w:val="24"/>
          <w:szCs w:val="24"/>
        </w:rPr>
        <w:t xml:space="preserve"> is one of the fundamental factors of nutritional security, and a proxy used to measure diet quality</w:t>
      </w:r>
      <w:r w:rsidR="007B1D21" w:rsidRPr="00FC0C03">
        <w:rPr>
          <w:rFonts w:asciiTheme="majorHAnsi" w:hAnsiTheme="majorHAnsi"/>
          <w:sz w:val="24"/>
          <w:szCs w:val="24"/>
        </w:rPr>
        <w:t xml:space="preserve"> </w: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begin" w:fldLock="1"/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instrText>ADDIN CSL_CITATION {"citationItems":[{"id":"ITEM-1","itemData":{"ISSN":"0029-6643","author":[{"dropping-particle":"","family":"Jones","given":"Andrew D","non-dropping-particle":"","parse-names":false,"suffix":""}],"container-title":"Nutrition reviews","id":"ITEM-1","issue":"10","issued":{"date-parts":[["2017"]]},"page":"769-782","publisher":"Oxford University Press","title":"Critical review of the emerging research evidence on agricultural biodiversity, diet diversity, and nutritional status in low-and middle-income countries","type":"article-journal","volume":"75"},"uris":["http://www.mendeley.com/documents/?uuid=dfaae986-7d9a-4b25-aa30-7cbe03383efb"]}],"mendeley":{"formattedCitation":"(Jones, 2017)","manualFormatting":"(Jones, 2017;","plainTextFormattedCitation":"(Jones, 2017)","previouslyFormattedCitation":"(Jones, 2017)"},"properties":{"noteIndex":0},"schema":"https://github.com/citation-style-language/schema/raw/master/csl-citation.json"}</w:instrTex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separate"/>
      </w:r>
      <w:r w:rsidR="007B1D21" w:rsidRPr="00FC0C03">
        <w:rPr>
          <w:rFonts w:asciiTheme="majorHAnsi" w:eastAsia="Times New Roman" w:hAnsiTheme="majorHAnsi" w:cs="Times New Roman"/>
          <w:noProof/>
          <w:snapToGrid w:val="0"/>
          <w:color w:val="000000"/>
          <w:sz w:val="24"/>
          <w:szCs w:val="24"/>
          <w:lang w:val="en-US" w:eastAsia="de-DE" w:bidi="en-US"/>
          <w14:ligatures w14:val="none"/>
        </w:rPr>
        <w:t>(Jones, 2017;</w: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end"/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t xml:space="preserve"> </w: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begin" w:fldLock="1"/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instrText>ADDIN CSL_CITATION {"citationItems":[{"id":"ITEM-1","itemData":{"ISSN":"1932-6203","author":[{"dropping-particle":"","family":"Ali","given":"Nazia Binte","non-dropping-particle":"","parse-names":false,"suffix":""},{"dropping-particle":"","family":"Tahsina","given":"Tazeen","non-dropping-particle":"","parse-names":false,"suffix":""},{"dropping-particle":"","family":"Hoque","given":"Dewan Md Emdadul","non-dropping-particle":"","parse-names":false,"suffix":""},{"dropping-particle":"","family":"Hasan","given":"Mohammad Mehedi","non-dropping-particle":"","parse-names":false,"suffix":""},{"dropping-particle":"","family":"Iqbal","given":"Afrin","non-dropping-particle":"","parse-names":false,"suffix":""},{"dropping-particle":"","family":"Huda","given":"Tanvir M","non-dropping-particle":"","parse-names":false,"suffix":""},{"dropping-particle":"","family":"Arifeen","given":"Shams","non-dropping-particle":"El","parse-names":false,"suffix":""}],"container-title":"PloS one","id":"ITEM-1","issue":"8","issued":{"date-parts":[["2019"]]},"page":"e0221929","publisher":"Public Library of Science San Francisco, CA USA","title":"Association of food security and other socio-economic factors with dietary diversity and nutritional statuses of children aged 6-59 months in rural Bangladesh","type":"article-journal","volume":"14"},"uris":["http://www.mendeley.com/documents/?uuid=9db7841a-0d94-405b-b196-45039e48e3ff"]}],"mendeley":{"formattedCitation":"(Ali et al., 2019)","manualFormatting":"Ali et al., 2019)","plainTextFormattedCitation":"(Ali et al., 2019)","previouslyFormattedCitation":"(Ali et al., 2019)"},"properties":{"noteIndex":0},"schema":"https://github.com/citation-style-language/schema/raw/master/csl-citation.json"}</w:instrTex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separate"/>
      </w:r>
      <w:r w:rsidR="007B1D21" w:rsidRPr="00FC0C03">
        <w:rPr>
          <w:rFonts w:asciiTheme="majorHAnsi" w:eastAsia="Times New Roman" w:hAnsiTheme="majorHAnsi" w:cs="Times New Roman"/>
          <w:noProof/>
          <w:snapToGrid w:val="0"/>
          <w:color w:val="000000"/>
          <w:sz w:val="24"/>
          <w:szCs w:val="24"/>
          <w:lang w:val="en-US" w:eastAsia="de-DE" w:bidi="en-US"/>
          <w14:ligatures w14:val="none"/>
        </w:rPr>
        <w:t xml:space="preserve">Ali </w:t>
      </w:r>
      <w:r w:rsidR="007B1D21" w:rsidRPr="00FC0C03">
        <w:rPr>
          <w:rFonts w:asciiTheme="majorHAnsi" w:eastAsia="Times New Roman" w:hAnsiTheme="majorHAnsi" w:cs="Times New Roman"/>
          <w:i/>
          <w:noProof/>
          <w:snapToGrid w:val="0"/>
          <w:color w:val="000000"/>
          <w:sz w:val="24"/>
          <w:szCs w:val="24"/>
          <w:lang w:val="en-US" w:eastAsia="de-DE" w:bidi="en-US"/>
          <w14:ligatures w14:val="none"/>
        </w:rPr>
        <w:t>et al.,</w:t>
      </w:r>
      <w:r w:rsidR="007B1D21" w:rsidRPr="00FC0C03">
        <w:rPr>
          <w:rFonts w:asciiTheme="majorHAnsi" w:eastAsia="Times New Roman" w:hAnsiTheme="majorHAnsi" w:cs="Times New Roman"/>
          <w:noProof/>
          <w:snapToGrid w:val="0"/>
          <w:color w:val="000000"/>
          <w:sz w:val="24"/>
          <w:szCs w:val="24"/>
          <w:lang w:val="en-US" w:eastAsia="de-DE" w:bidi="en-US"/>
          <w14:ligatures w14:val="none"/>
        </w:rPr>
        <w:t xml:space="preserve"> 2019)</w:t>
      </w:r>
      <w:r w:rsidR="007B1D21" w:rsidRPr="00FC0C03">
        <w:rPr>
          <w:rFonts w:asciiTheme="majorHAnsi" w:eastAsia="Times New Roman" w:hAnsiTheme="majorHAnsi" w:cs="Times New Roman"/>
          <w:snapToGrid w:val="0"/>
          <w:color w:val="000000"/>
          <w:sz w:val="24"/>
          <w:szCs w:val="24"/>
          <w:lang w:val="en-US" w:eastAsia="de-DE" w:bidi="en-US"/>
          <w14:ligatures w14:val="none"/>
        </w:rPr>
        <w:fldChar w:fldCharType="end"/>
      </w:r>
      <w:r w:rsidR="00C66F12" w:rsidRPr="00FC0C03">
        <w:rPr>
          <w:rFonts w:asciiTheme="majorHAnsi" w:hAnsiTheme="majorHAnsi"/>
          <w:sz w:val="24"/>
          <w:szCs w:val="24"/>
        </w:rPr>
        <w:t>.</w:t>
      </w:r>
      <w:r w:rsidR="00AA4B78" w:rsidRPr="00FC0C03">
        <w:rPr>
          <w:rFonts w:asciiTheme="majorHAnsi" w:hAnsiTheme="majorHAnsi"/>
          <w:sz w:val="24"/>
          <w:szCs w:val="24"/>
        </w:rPr>
        <w:t xml:space="preserve"> </w:t>
      </w:r>
      <w:r w:rsidR="009E336E">
        <w:rPr>
          <w:rFonts w:asciiTheme="majorHAnsi" w:hAnsiTheme="majorHAnsi"/>
          <w:sz w:val="24"/>
          <w:szCs w:val="24"/>
        </w:rPr>
        <w:t>The</w:t>
      </w:r>
      <w:r w:rsidR="009E336E" w:rsidRPr="00FC0C03">
        <w:rPr>
          <w:rFonts w:asciiTheme="majorHAnsi" w:hAnsiTheme="majorHAnsi"/>
          <w:sz w:val="24"/>
          <w:szCs w:val="24"/>
        </w:rPr>
        <w:t xml:space="preserve"> </w:t>
      </w:r>
      <w:r w:rsidR="000F4DD7" w:rsidRPr="00FC0C03">
        <w:rPr>
          <w:rFonts w:asciiTheme="majorHAnsi" w:hAnsiTheme="majorHAnsi"/>
          <w:sz w:val="24"/>
          <w:szCs w:val="24"/>
        </w:rPr>
        <w:t>dietary diversity scor</w:t>
      </w:r>
      <w:r w:rsidR="009E336E">
        <w:rPr>
          <w:rFonts w:asciiTheme="majorHAnsi" w:hAnsiTheme="majorHAnsi"/>
          <w:sz w:val="24"/>
          <w:szCs w:val="24"/>
        </w:rPr>
        <w:t>ing</w:t>
      </w:r>
      <w:r w:rsidR="00B70F46">
        <w:rPr>
          <w:rFonts w:asciiTheme="majorHAnsi" w:hAnsiTheme="majorHAnsi"/>
          <w:sz w:val="24"/>
          <w:szCs w:val="24"/>
        </w:rPr>
        <w:t xml:space="preserve"> method</w:t>
      </w:r>
      <w:r w:rsidR="000F4DD7" w:rsidRPr="00FC0C03">
        <w:rPr>
          <w:rFonts w:asciiTheme="majorHAnsi" w:hAnsiTheme="majorHAnsi"/>
          <w:sz w:val="24"/>
          <w:szCs w:val="24"/>
        </w:rPr>
        <w:t>, which is a count of food items consumed by a household over the preceding 24 hours</w:t>
      </w:r>
      <w:r w:rsidR="009E336E">
        <w:rPr>
          <w:rFonts w:asciiTheme="majorHAnsi" w:hAnsiTheme="majorHAnsi"/>
          <w:sz w:val="24"/>
          <w:szCs w:val="24"/>
        </w:rPr>
        <w:t xml:space="preserve">, is the preferred measure of estimating dietary diversity </w:t>
      </w:r>
      <w:r w:rsidR="0034158B"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>(</w:t>
      </w:r>
      <w:r w:rsidR="000F4DD7"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Verger </w:t>
      </w:r>
      <w:r w:rsidR="000F4DD7" w:rsidRPr="00FC0C03">
        <w:rPr>
          <w:rFonts w:asciiTheme="majorHAnsi" w:eastAsia="Calibri" w:hAnsiTheme="majorHAnsi" w:cs="Times New Roman"/>
          <w:i/>
          <w:noProof/>
          <w:kern w:val="0"/>
          <w:sz w:val="24"/>
          <w:szCs w:val="24"/>
          <w:lang w:val="en-ZA"/>
          <w14:ligatures w14:val="none"/>
        </w:rPr>
        <w:t>et al.,</w:t>
      </w:r>
      <w:r w:rsidR="000F4DD7"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 2021)</w:t>
      </w:r>
      <w:r w:rsidR="000F4DD7" w:rsidRPr="00FC0C03">
        <w:rPr>
          <w:rFonts w:asciiTheme="majorHAnsi" w:hAnsiTheme="majorHAnsi"/>
          <w:sz w:val="24"/>
          <w:szCs w:val="24"/>
        </w:rPr>
        <w:t>.</w:t>
      </w:r>
      <w:r w:rsidR="00C66F12" w:rsidRPr="00FC0C03">
        <w:rPr>
          <w:rFonts w:asciiTheme="majorHAnsi" w:hAnsiTheme="majorHAnsi"/>
          <w:sz w:val="24"/>
          <w:szCs w:val="24"/>
        </w:rPr>
        <w:t xml:space="preserve"> The objective of the study was to investigate the </w:t>
      </w:r>
      <w:r w:rsidR="007E2262" w:rsidRPr="00FC0C03">
        <w:rPr>
          <w:rFonts w:asciiTheme="majorHAnsi" w:hAnsiTheme="majorHAnsi"/>
          <w:sz w:val="24"/>
          <w:szCs w:val="24"/>
        </w:rPr>
        <w:t>relationship</w:t>
      </w:r>
      <w:r w:rsidR="00C66F12" w:rsidRPr="00FC0C03">
        <w:rPr>
          <w:rFonts w:asciiTheme="majorHAnsi" w:hAnsiTheme="majorHAnsi"/>
          <w:sz w:val="24"/>
          <w:szCs w:val="24"/>
        </w:rPr>
        <w:t xml:space="preserve"> between village chicken flock sizes and diet</w:t>
      </w:r>
      <w:r w:rsidR="000B3D5E" w:rsidRPr="00FC0C03">
        <w:rPr>
          <w:rFonts w:asciiTheme="majorHAnsi" w:hAnsiTheme="majorHAnsi"/>
          <w:sz w:val="24"/>
          <w:szCs w:val="24"/>
        </w:rPr>
        <w:t>ary</w:t>
      </w:r>
      <w:r w:rsidR="00C66F12" w:rsidRPr="00FC0C03">
        <w:rPr>
          <w:rFonts w:asciiTheme="majorHAnsi" w:hAnsiTheme="majorHAnsi"/>
          <w:sz w:val="24"/>
          <w:szCs w:val="24"/>
        </w:rPr>
        <w:t xml:space="preserve"> diversity of households </w:t>
      </w:r>
      <w:r w:rsidR="000B3D5E" w:rsidRPr="00FC0C03">
        <w:rPr>
          <w:rFonts w:asciiTheme="majorHAnsi" w:hAnsiTheme="majorHAnsi"/>
          <w:sz w:val="24"/>
          <w:szCs w:val="24"/>
        </w:rPr>
        <w:t xml:space="preserve">in urban, peri-urban and rural environments. These different environments are usually reflected as the distance from the city centre, forming </w:t>
      </w:r>
      <w:r w:rsidR="00C66F12" w:rsidRPr="00FC0C03">
        <w:rPr>
          <w:rFonts w:asciiTheme="majorHAnsi" w:hAnsiTheme="majorHAnsi"/>
          <w:sz w:val="24"/>
          <w:szCs w:val="24"/>
        </w:rPr>
        <w:t>a rural-urban gradient</w:t>
      </w:r>
      <w:r w:rsidR="000B3D5E" w:rsidRPr="00FC0C03">
        <w:rPr>
          <w:rFonts w:asciiTheme="majorHAnsi" w:hAnsiTheme="majorHAnsi"/>
          <w:sz w:val="24"/>
          <w:szCs w:val="24"/>
        </w:rPr>
        <w:t xml:space="preserve"> </w:t>
      </w:r>
      <w:r w:rsidR="000B3D5E" w:rsidRPr="00FC0C03">
        <w:rPr>
          <w:rFonts w:asciiTheme="majorHAnsi" w:hAnsiTheme="majorHAnsi"/>
          <w:sz w:val="24"/>
          <w:szCs w:val="24"/>
          <w:lang w:val="en-ZA"/>
        </w:rPr>
        <w:t>(</w:t>
      </w:r>
      <w:proofErr w:type="spellStart"/>
      <w:r w:rsidR="000B3D5E" w:rsidRPr="00FC0C03">
        <w:rPr>
          <w:rFonts w:asciiTheme="majorHAnsi" w:hAnsiTheme="majorHAnsi"/>
          <w:sz w:val="24"/>
          <w:szCs w:val="24"/>
          <w:lang w:val="en-ZA"/>
        </w:rPr>
        <w:t>Chagomoka</w:t>
      </w:r>
      <w:proofErr w:type="spellEnd"/>
      <w:r w:rsidR="000B3D5E" w:rsidRPr="00FC0C03">
        <w:rPr>
          <w:rFonts w:asciiTheme="majorHAnsi" w:hAnsiTheme="majorHAnsi"/>
          <w:sz w:val="24"/>
          <w:szCs w:val="24"/>
          <w:lang w:val="en-ZA"/>
        </w:rPr>
        <w:t xml:space="preserve"> </w:t>
      </w:r>
      <w:r w:rsidR="000B3D5E" w:rsidRPr="00FC0C03">
        <w:rPr>
          <w:rFonts w:asciiTheme="majorHAnsi" w:hAnsiTheme="majorHAnsi"/>
          <w:i/>
          <w:iCs/>
          <w:sz w:val="24"/>
          <w:szCs w:val="24"/>
          <w:lang w:val="en-ZA"/>
        </w:rPr>
        <w:t>et al</w:t>
      </w:r>
      <w:r w:rsidR="000B3D5E" w:rsidRPr="00FC0C03">
        <w:rPr>
          <w:rFonts w:asciiTheme="majorHAnsi" w:hAnsiTheme="majorHAnsi"/>
          <w:sz w:val="24"/>
          <w:szCs w:val="24"/>
          <w:lang w:val="en-ZA"/>
        </w:rPr>
        <w:t>., 2015)</w:t>
      </w:r>
      <w:r w:rsidR="00C66F12" w:rsidRPr="00FC0C03">
        <w:rPr>
          <w:rFonts w:asciiTheme="majorHAnsi" w:hAnsiTheme="majorHAnsi"/>
          <w:sz w:val="24"/>
          <w:szCs w:val="24"/>
        </w:rPr>
        <w:t>.</w:t>
      </w:r>
      <w:r w:rsidR="003E1FC2" w:rsidRPr="00FC0C03">
        <w:rPr>
          <w:rFonts w:asciiTheme="majorHAnsi" w:hAnsiTheme="majorHAnsi"/>
          <w:sz w:val="24"/>
          <w:szCs w:val="24"/>
        </w:rPr>
        <w:t xml:space="preserve"> </w:t>
      </w:r>
    </w:p>
    <w:p w14:paraId="167B5498" w14:textId="77777777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624CAA52" w14:textId="77777777" w:rsidR="008861F7" w:rsidRPr="00FC0C03" w:rsidRDefault="007B30E3" w:rsidP="00C66F12">
      <w:pPr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Materials and Methods</w:t>
      </w:r>
    </w:p>
    <w:p w14:paraId="1F63B1C6" w14:textId="65D3C789" w:rsidR="007B30E3" w:rsidRPr="00FC0C03" w:rsidRDefault="007E2262" w:rsidP="00C66F12">
      <w:pPr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sz w:val="24"/>
          <w:szCs w:val="24"/>
        </w:rPr>
        <w:t>Ethical approval for t</w:t>
      </w:r>
      <w:r w:rsidR="00C66F12" w:rsidRPr="00FC0C03">
        <w:rPr>
          <w:rFonts w:asciiTheme="majorHAnsi" w:hAnsiTheme="majorHAnsi"/>
          <w:sz w:val="24"/>
          <w:szCs w:val="24"/>
        </w:rPr>
        <w:t xml:space="preserve">he study was </w:t>
      </w:r>
      <w:r w:rsidRPr="00FC0C03">
        <w:rPr>
          <w:rFonts w:asciiTheme="majorHAnsi" w:hAnsiTheme="majorHAnsi"/>
          <w:sz w:val="24"/>
          <w:szCs w:val="24"/>
        </w:rPr>
        <w:t>provided by the University of KwaZulu-Natal (R</w:t>
      </w:r>
      <w:r w:rsidR="00C66F12" w:rsidRPr="00FC0C03">
        <w:rPr>
          <w:rFonts w:asciiTheme="majorHAnsi" w:hAnsiTheme="majorHAnsi"/>
          <w:sz w:val="24"/>
          <w:szCs w:val="24"/>
        </w:rPr>
        <w:t>eference number: HSSREC/00005927/2023</w:t>
      </w:r>
      <w:r w:rsidRPr="00FC0C03">
        <w:rPr>
          <w:rFonts w:asciiTheme="majorHAnsi" w:hAnsiTheme="majorHAnsi"/>
          <w:sz w:val="24"/>
          <w:szCs w:val="24"/>
        </w:rPr>
        <w:t>)</w:t>
      </w:r>
      <w:r w:rsidR="00C66F12" w:rsidRPr="00FC0C03">
        <w:rPr>
          <w:rFonts w:asciiTheme="majorHAnsi" w:hAnsiTheme="majorHAnsi"/>
          <w:sz w:val="24"/>
          <w:szCs w:val="24"/>
        </w:rPr>
        <w:t>.</w:t>
      </w:r>
      <w:r w:rsidR="007B1D21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7B1D21" w:rsidRPr="00FC0C03">
        <w:rPr>
          <w:rFonts w:asciiTheme="majorHAnsi" w:hAnsiTheme="majorHAnsi"/>
          <w:sz w:val="24"/>
          <w:szCs w:val="24"/>
        </w:rPr>
        <w:t xml:space="preserve">Twelve sites were selected </w:t>
      </w:r>
      <w:r w:rsidR="00467378" w:rsidRPr="00FC0C03">
        <w:rPr>
          <w:rFonts w:asciiTheme="majorHAnsi" w:hAnsiTheme="majorHAnsi"/>
          <w:sz w:val="24"/>
          <w:szCs w:val="24"/>
        </w:rPr>
        <w:t xml:space="preserve">in urban, peri-urban and rural environments </w:t>
      </w:r>
      <w:r w:rsidR="007B1D21" w:rsidRPr="00FC0C03">
        <w:rPr>
          <w:rFonts w:asciiTheme="majorHAnsi" w:hAnsiTheme="majorHAnsi"/>
          <w:sz w:val="24"/>
          <w:szCs w:val="24"/>
        </w:rPr>
        <w:t>to create a rural–urban gradient</w:t>
      </w:r>
      <w:r w:rsidR="00467378" w:rsidRPr="00FC0C03">
        <w:rPr>
          <w:rFonts w:asciiTheme="majorHAnsi" w:hAnsiTheme="majorHAnsi"/>
          <w:sz w:val="24"/>
          <w:szCs w:val="24"/>
        </w:rPr>
        <w:t xml:space="preserve"> on dietary diversity</w:t>
      </w:r>
      <w:r w:rsidR="009E336E">
        <w:rPr>
          <w:rFonts w:asciiTheme="majorHAnsi" w:hAnsiTheme="majorHAnsi"/>
          <w:sz w:val="24"/>
          <w:szCs w:val="24"/>
        </w:rPr>
        <w:t xml:space="preserve"> scores</w:t>
      </w:r>
      <w:r w:rsidR="007B1D21" w:rsidRPr="00FC0C03">
        <w:rPr>
          <w:rFonts w:asciiTheme="majorHAnsi" w:hAnsiTheme="majorHAnsi"/>
          <w:sz w:val="24"/>
          <w:szCs w:val="24"/>
        </w:rPr>
        <w:t xml:space="preserve">. The sites representing the urban settlements lay within 10 km from the city centre, while the peri-urban residential areas were located between 10 and 40 km from </w:t>
      </w:r>
      <w:r w:rsidRPr="00FC0C03">
        <w:rPr>
          <w:rFonts w:asciiTheme="majorHAnsi" w:hAnsiTheme="majorHAnsi"/>
          <w:sz w:val="24"/>
          <w:szCs w:val="24"/>
        </w:rPr>
        <w:t xml:space="preserve">Pietermaritzburg </w:t>
      </w:r>
      <w:r w:rsidR="007B1D21" w:rsidRPr="00FC0C03">
        <w:rPr>
          <w:rFonts w:asciiTheme="majorHAnsi" w:hAnsiTheme="majorHAnsi"/>
          <w:sz w:val="24"/>
          <w:szCs w:val="24"/>
        </w:rPr>
        <w:t>city. The rural settlements were between 40 and 70 km from the city centre. </w:t>
      </w:r>
      <w:r w:rsidR="00C66F12" w:rsidRPr="00FC0C03">
        <w:rPr>
          <w:rFonts w:asciiTheme="majorHAnsi" w:hAnsiTheme="majorHAnsi"/>
          <w:sz w:val="24"/>
          <w:szCs w:val="24"/>
        </w:rPr>
        <w:t xml:space="preserve"> Face-to-face interviews were conducted using </w:t>
      </w:r>
      <w:r w:rsidR="000B3D5E" w:rsidRPr="00FC0C03">
        <w:rPr>
          <w:rFonts w:asciiTheme="majorHAnsi" w:hAnsiTheme="majorHAnsi"/>
          <w:sz w:val="24"/>
          <w:szCs w:val="24"/>
        </w:rPr>
        <w:t xml:space="preserve">a </w:t>
      </w:r>
      <w:r w:rsidR="00C66F12" w:rsidRPr="00FC0C03">
        <w:rPr>
          <w:rFonts w:asciiTheme="majorHAnsi" w:hAnsiTheme="majorHAnsi"/>
          <w:sz w:val="24"/>
          <w:szCs w:val="24"/>
        </w:rPr>
        <w:t>structured questionnaire on rural (</w:t>
      </w:r>
      <w:r w:rsidR="00C66F12" w:rsidRPr="00FC0C03">
        <w:rPr>
          <w:rFonts w:asciiTheme="majorHAnsi" w:hAnsiTheme="majorHAnsi"/>
          <w:i/>
          <w:sz w:val="24"/>
          <w:szCs w:val="24"/>
        </w:rPr>
        <w:t>n</w:t>
      </w:r>
      <w:r w:rsidR="00C66F12" w:rsidRPr="00FC0C03">
        <w:rPr>
          <w:rFonts w:asciiTheme="majorHAnsi" w:hAnsiTheme="majorHAnsi"/>
          <w:sz w:val="24"/>
          <w:szCs w:val="24"/>
        </w:rPr>
        <w:t xml:space="preserve"> = 100), peri-urban (</w:t>
      </w:r>
      <w:r w:rsidR="00C66F12" w:rsidRPr="00FC0C03">
        <w:rPr>
          <w:rFonts w:asciiTheme="majorHAnsi" w:hAnsiTheme="majorHAnsi"/>
          <w:i/>
          <w:sz w:val="24"/>
          <w:szCs w:val="24"/>
        </w:rPr>
        <w:t>n</w:t>
      </w:r>
      <w:r w:rsidR="00C66F12" w:rsidRPr="00FC0C03">
        <w:rPr>
          <w:rFonts w:asciiTheme="majorHAnsi" w:hAnsiTheme="majorHAnsi"/>
          <w:sz w:val="24"/>
          <w:szCs w:val="24"/>
        </w:rPr>
        <w:t xml:space="preserve"> = 100), and urban (</w:t>
      </w:r>
      <w:r w:rsidR="00C66F12" w:rsidRPr="00FC0C03">
        <w:rPr>
          <w:rFonts w:asciiTheme="majorHAnsi" w:hAnsiTheme="majorHAnsi"/>
          <w:i/>
          <w:sz w:val="24"/>
          <w:szCs w:val="24"/>
        </w:rPr>
        <w:t>n</w:t>
      </w:r>
      <w:r w:rsidR="00C66F12" w:rsidRPr="00FC0C03">
        <w:rPr>
          <w:rFonts w:asciiTheme="majorHAnsi" w:hAnsiTheme="majorHAnsi"/>
          <w:sz w:val="24"/>
          <w:szCs w:val="24"/>
        </w:rPr>
        <w:t xml:space="preserve"> = 100) areas of Pietermaritzburg uMgungundlovu District, KwaZulu-Natal in South Africa.</w:t>
      </w:r>
      <w:r w:rsidR="007B1D21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The questionnaire </w:t>
      </w:r>
      <w:r w:rsidR="000B3D5E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captured 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household demography, </w:t>
      </w:r>
      <w:r w:rsidR="000B3D5E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chicken 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flock sizes</w:t>
      </w:r>
      <w:r w:rsidR="000B3D5E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and composition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, reasons for keeping village chickens, and the household’s daily diet composition and diversity. Dietary diversity was asse</w:t>
      </w:r>
      <w:r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sse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d using a 24-h dietary recall and a </w:t>
      </w:r>
      <w:r w:rsidR="00B70F46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dietary diversity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scor</w:t>
      </w:r>
      <w:r w:rsidR="00E07B29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ing</w:t>
      </w:r>
      <w:r w:rsidR="002C2002" w:rsidRPr="00FC0C03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method. </w:t>
      </w:r>
      <w:bookmarkStart w:id="0" w:name="_GoBack"/>
      <w:bookmarkEnd w:id="0"/>
    </w:p>
    <w:p w14:paraId="31DE43A2" w14:textId="77777777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04CA2778" w14:textId="77777777" w:rsidR="008861F7" w:rsidRPr="00FC0C03" w:rsidRDefault="007B30E3" w:rsidP="00C66F12">
      <w:pPr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Results</w:t>
      </w:r>
    </w:p>
    <w:p w14:paraId="35CAF992" w14:textId="456F3ABA" w:rsidR="007B30E3" w:rsidRPr="00FC0C03" w:rsidRDefault="00BC138F" w:rsidP="00C66F12">
      <w:pPr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There was a </w:t>
      </w:r>
      <w:r w:rsidR="008B0C2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linear 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increase in the flock size of village chickens with the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8B0C2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distance from the city centre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  <w:r w:rsidR="00006A7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57292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An increase of 1 km from the city centre increased v</w:t>
      </w:r>
      <w:r w:rsidR="00006A7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illage chicken flock size </w:t>
      </w:r>
      <w:r w:rsidR="0057292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by </w:t>
      </w:r>
      <w:r w:rsidR="00006A7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30.4</w:t>
      </w:r>
      <w:r w:rsidR="0057292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(P&lt;0.01)</w:t>
      </w:r>
      <w:r w:rsidR="00006A7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.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Village chicken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s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contributed positively to household income from chicken sales and manure.</w:t>
      </w:r>
      <w:r w:rsidR="00EE07DE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A </w:t>
      </w:r>
      <w:r w:rsidR="00A31759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negative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quadratic relationship was observed between distance from </w:t>
      </w:r>
      <w:r w:rsidR="003F4318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the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city centre and 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the number of </w:t>
      </w:r>
      <w:r w:rsidR="00541D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livestock-derived foods (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LDFs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) that were consumed</w:t>
      </w:r>
      <w:r w:rsidR="00FD55EE" w:rsidRPr="00FC0C03">
        <w:rPr>
          <w:rFonts w:asciiTheme="majorHAnsi" w:hAnsiTheme="majorHAnsi"/>
          <w:sz w:val="24"/>
          <w:szCs w:val="24"/>
        </w:rPr>
        <w:t xml:space="preserve"> </w:t>
      </w:r>
      <w:r w:rsidRPr="00FC0C03">
        <w:rPr>
          <w:rFonts w:asciiTheme="majorHAnsi" w:hAnsiTheme="majorHAnsi"/>
          <w:sz w:val="24"/>
          <w:szCs w:val="24"/>
        </w:rPr>
        <w:t>(</w:t>
      </w:r>
      <w:r w:rsidR="00FD55EE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y = −1.06x</w:t>
      </w:r>
      <w:r w:rsidR="00FD55EE" w:rsidRPr="00FC0C03">
        <w:rPr>
          <w:rFonts w:asciiTheme="majorHAnsi" w:eastAsia="Calibri" w:hAnsiTheme="majorHAnsi" w:cs="Times New Roman"/>
          <w:kern w:val="0"/>
          <w:sz w:val="24"/>
          <w:szCs w:val="24"/>
          <w:vertAlign w:val="superscript"/>
          <w:lang w:val="en-ZA"/>
          <w14:ligatures w14:val="none"/>
        </w:rPr>
        <w:t>2</w:t>
      </w:r>
      <w:r w:rsidR="00FD55EE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+ 4.31x − 1.38;</w:t>
      </w:r>
      <w:r w:rsidR="00541D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P&lt;0.05). There was a linear 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increase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3F4318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in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distance from city centre and consum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ed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vegetables.</w:t>
      </w:r>
      <w:r w:rsidR="00AF7E73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The number of c</w:t>
      </w:r>
      <w:r w:rsidR="00AF7E73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onsum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ed</w:t>
      </w:r>
      <w:r w:rsidR="00AF7E73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vegetables increased with an increase in distance from city centre</w:t>
      </w:r>
      <w:r w:rsidR="00AF7E73" w:rsidRPr="00FC0C03">
        <w:rPr>
          <w:rFonts w:asciiTheme="majorHAnsi" w:hAnsiTheme="majorHAnsi"/>
          <w:sz w:val="24"/>
          <w:szCs w:val="24"/>
        </w:rPr>
        <w:t xml:space="preserve"> </w:t>
      </w:r>
      <w:r w:rsidR="008368F1" w:rsidRPr="00FC0C03">
        <w:rPr>
          <w:rFonts w:asciiTheme="majorHAnsi" w:hAnsiTheme="majorHAnsi"/>
          <w:sz w:val="24"/>
          <w:szCs w:val="24"/>
        </w:rPr>
        <w:t xml:space="preserve">by </w:t>
      </w:r>
      <w:r w:rsidR="00AF7E73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1.33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(P&lt;0.01)</w:t>
      </w:r>
      <w:r w:rsidR="00AF7E73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A </w:t>
      </w:r>
      <w:r w:rsidR="00A31759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negative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quadratic relationship was observed between distance from 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the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city centre and consum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ed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pulses</w:t>
      </w:r>
      <w:r w:rsidR="00480C1F" w:rsidRPr="00FC0C03">
        <w:rPr>
          <w:rFonts w:asciiTheme="majorHAnsi" w:hAnsiTheme="majorHAnsi"/>
          <w:sz w:val="24"/>
          <w:szCs w:val="24"/>
        </w:rPr>
        <w:t xml:space="preserve"> </w:t>
      </w:r>
      <w:r w:rsidR="00FD55EE" w:rsidRPr="00FC0C03">
        <w:rPr>
          <w:rFonts w:asciiTheme="majorHAnsi" w:hAnsiTheme="majorHAnsi"/>
          <w:sz w:val="24"/>
          <w:szCs w:val="24"/>
        </w:rPr>
        <w:t>(</w:t>
      </w:r>
      <w:r w:rsidR="00480C1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y = −1.02x</w:t>
      </w:r>
      <w:r w:rsidR="00480C1F" w:rsidRPr="00FC0C03">
        <w:rPr>
          <w:rFonts w:asciiTheme="majorHAnsi" w:eastAsia="Calibri" w:hAnsiTheme="majorHAnsi" w:cs="Times New Roman"/>
          <w:kern w:val="0"/>
          <w:sz w:val="24"/>
          <w:szCs w:val="24"/>
          <w:vertAlign w:val="superscript"/>
          <w:lang w:val="en-ZA"/>
          <w14:ligatures w14:val="none"/>
        </w:rPr>
        <w:t>2</w:t>
      </w:r>
      <w:r w:rsidR="00480C1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+ 4.27x − 2.13</w:t>
      </w:r>
      <w:r w:rsidR="00FD55EE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; 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P&lt;0.001). 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The negative elations suggest that the benefits of large flocks in rural areas are compromised by reduced levels of income.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The number of c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onsum</w:t>
      </w:r>
      <w:r w:rsidR="008368F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ed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LDFs increased </w:t>
      </w:r>
      <w:r w:rsidR="00053F35" w:rsidRPr="00FC0C03">
        <w:rPr>
          <w:rFonts w:asciiTheme="majorHAnsi" w:hAnsiTheme="majorHAnsi"/>
          <w:sz w:val="24"/>
          <w:szCs w:val="24"/>
        </w:rPr>
        <w:t>by</w:t>
      </w:r>
      <w:r w:rsidR="00053F3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0.45 (P&lt;0.05)</w:t>
      </w:r>
      <w:r w:rsidR="00053F35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a</w:t>
      </w:r>
      <w:r w:rsidR="00053F35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s the </w:t>
      </w:r>
      <w:r w:rsidR="00053F35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lastRenderedPageBreak/>
        <w:t xml:space="preserve">flock size 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increase</w:t>
      </w:r>
      <w:r w:rsidR="00053F35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d</w:t>
      </w:r>
      <w:r w:rsidR="00C11845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  <w:r w:rsidR="00FC07BE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The number of c</w:t>
      </w:r>
      <w:r w:rsidR="00C31694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onsum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ed</w:t>
      </w:r>
      <w:r w:rsidR="00C31694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vegetables increased with an increase in village chicken flock sizes</w:t>
      </w:r>
      <w:r w:rsidR="00C31694" w:rsidRPr="00FC0C03">
        <w:rPr>
          <w:rFonts w:asciiTheme="majorHAnsi" w:hAnsiTheme="majorHAnsi"/>
          <w:sz w:val="24"/>
          <w:szCs w:val="24"/>
        </w:rPr>
        <w:t xml:space="preserve"> </w:t>
      </w:r>
      <w:r w:rsidR="00D977BF" w:rsidRPr="00FC0C03">
        <w:rPr>
          <w:rFonts w:asciiTheme="majorHAnsi" w:hAnsiTheme="majorHAnsi"/>
          <w:sz w:val="24"/>
          <w:szCs w:val="24"/>
        </w:rPr>
        <w:t>by</w:t>
      </w:r>
      <w:r w:rsidR="00E35C3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0.68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(P&lt;0.01)</w:t>
      </w:r>
      <w:r w:rsidR="00C31694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  <w:r w:rsidR="00C66F1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A96240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There was a 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linear </w:t>
      </w:r>
      <w:r w:rsidR="00A96240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increase in the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A96240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dietary diversity score with 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distance from city centre. Dietary diversity score increased </w:t>
      </w:r>
      <w:r w:rsidR="00D977BF" w:rsidRPr="00FC0C03">
        <w:rPr>
          <w:rFonts w:asciiTheme="majorHAnsi" w:hAnsiTheme="majorHAnsi"/>
          <w:sz w:val="24"/>
          <w:szCs w:val="24"/>
        </w:rPr>
        <w:t>b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y 0.24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(P&lt;0.05)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  <w:r w:rsidR="00E35C3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There was a positive linear relationship between village chicken flock sizes and dietary diversity. Dietary diversity score increased with an increase in</w:t>
      </w:r>
      <w:r w:rsidR="00C6790A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village </w:t>
      </w:r>
      <w:r w:rsidR="00E35C3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chicken flock sizes 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b</w:t>
      </w:r>
      <w:r w:rsidR="00E35C3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y 1.50</w:t>
      </w:r>
      <w:r w:rsidR="00D977BF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(P&lt;0.05)</w:t>
      </w:r>
      <w:r w:rsidR="00E35C31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. </w:t>
      </w:r>
    </w:p>
    <w:p w14:paraId="3D5C9672" w14:textId="14449DC3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15ED1987" w14:textId="77777777" w:rsidR="008861F7" w:rsidRPr="00FC0C03" w:rsidRDefault="007B30E3" w:rsidP="00C66F12">
      <w:pPr>
        <w:spacing w:line="240" w:lineRule="auto"/>
        <w:jc w:val="both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Conclusions</w:t>
      </w:r>
    </w:p>
    <w:p w14:paraId="27C3A217" w14:textId="3BA95F0B" w:rsidR="00C66F12" w:rsidRPr="00FC0C03" w:rsidRDefault="00C66F12" w:rsidP="00C66F12">
      <w:pPr>
        <w:spacing w:line="240" w:lineRule="auto"/>
        <w:jc w:val="both"/>
        <w:rPr>
          <w:rFonts w:asciiTheme="majorHAnsi" w:eastAsia="Calibri" w:hAnsiTheme="majorHAnsi" w:cs="Times New Roman"/>
          <w:b/>
          <w:kern w:val="0"/>
          <w:sz w:val="24"/>
          <w:szCs w:val="24"/>
          <w:lang w:val="en-ZA"/>
          <w14:ligatures w14:val="none"/>
        </w:rPr>
      </w:pP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Availability of village chickens improve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s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household’s dietary diversity and alleviate poverty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in both urban and rural areas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. 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E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xpanding village flock sizes could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, therefore,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enhance 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food and nutrition security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at the 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household</w:t>
      </w:r>
      <w:r w:rsidR="007E2262"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 xml:space="preserve"> level</w:t>
      </w:r>
      <w:r w:rsidRPr="00FC0C03">
        <w:rPr>
          <w:rFonts w:asciiTheme="majorHAnsi" w:eastAsia="Calibri" w:hAnsiTheme="majorHAnsi" w:cs="Times New Roman"/>
          <w:kern w:val="0"/>
          <w:sz w:val="24"/>
          <w:szCs w:val="24"/>
          <w:lang w:val="en-ZA"/>
          <w14:ligatures w14:val="none"/>
        </w:rPr>
        <w:t>.</w:t>
      </w:r>
    </w:p>
    <w:p w14:paraId="68E461EC" w14:textId="68DAAA49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41A3C7EB" w14:textId="77777777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p w14:paraId="0ADB320F" w14:textId="388E0A69" w:rsidR="007B30E3" w:rsidRPr="00FC0C03" w:rsidRDefault="007B30E3">
      <w:pPr>
        <w:rPr>
          <w:rFonts w:asciiTheme="majorHAnsi" w:hAnsiTheme="majorHAnsi"/>
          <w:b/>
          <w:bCs/>
          <w:sz w:val="24"/>
          <w:szCs w:val="24"/>
          <w:lang w:val="en-US"/>
        </w:rPr>
      </w:pPr>
      <w:r w:rsidRPr="00FC0C03">
        <w:rPr>
          <w:rFonts w:asciiTheme="majorHAnsi" w:hAnsiTheme="majorHAnsi"/>
          <w:b/>
          <w:bCs/>
          <w:sz w:val="24"/>
          <w:szCs w:val="24"/>
          <w:lang w:val="en-US"/>
        </w:rPr>
        <w:t>References</w:t>
      </w:r>
    </w:p>
    <w:p w14:paraId="6748FF9D" w14:textId="25B5FC2F" w:rsidR="007B1D21" w:rsidRPr="00FC0C03" w:rsidRDefault="007B1D21" w:rsidP="007B1D21">
      <w:pPr>
        <w:widowControl w:val="0"/>
        <w:autoSpaceDE w:val="0"/>
        <w:autoSpaceDN w:val="0"/>
        <w:adjustRightInd w:val="0"/>
        <w:spacing w:line="360" w:lineRule="auto"/>
        <w:ind w:left="482" w:hanging="482"/>
        <w:jc w:val="both"/>
        <w:rPr>
          <w:rFonts w:asciiTheme="majorHAnsi" w:eastAsia="Calibri" w:hAnsiTheme="majorHAnsi" w:cs="Times New Roman"/>
          <w:noProof/>
          <w:kern w:val="0"/>
          <w:sz w:val="24"/>
          <w:szCs w:val="24"/>
          <w:lang w:val="pt-PT"/>
          <w14:ligatures w14:val="none"/>
        </w:rPr>
      </w:pP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Ali, N. B., Tahsina, T., Hoque, D. M. E., Hasan, M. M., Iqbal, A., Huda, T. M., and El Arifeen, S. (2019). Association of food security and other socio-economic factors with dietary diversity and nutritional statuses of children aged 6-59 months in rural Bangladesh.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pt-PT"/>
          <w14:ligatures w14:val="none"/>
        </w:rPr>
        <w:t>PloS One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pt-PT"/>
          <w14:ligatures w14:val="none"/>
        </w:rPr>
        <w:t xml:space="preserve">,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pt-PT"/>
          <w14:ligatures w14:val="none"/>
        </w:rPr>
        <w:t>14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pt-PT"/>
          <w14:ligatures w14:val="none"/>
        </w:rPr>
        <w:t>(8), e0221929.</w:t>
      </w:r>
    </w:p>
    <w:p w14:paraId="51986526" w14:textId="3B349824" w:rsidR="007B1D21" w:rsidRPr="00FC0C03" w:rsidRDefault="007B1D21" w:rsidP="007B1D21">
      <w:pPr>
        <w:widowControl w:val="0"/>
        <w:autoSpaceDE w:val="0"/>
        <w:autoSpaceDN w:val="0"/>
        <w:adjustRightInd w:val="0"/>
        <w:spacing w:line="360" w:lineRule="auto"/>
        <w:ind w:left="482" w:hanging="482"/>
        <w:jc w:val="both"/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</w:pP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Chagomoka, T., Drescher, A., Glaser, R., Marschner, B., Schlesinger, J., and Nyandoro, G. (2015). Vegetable production, consumption and its contribution to diets along the urban–rural continuum in Northern Ghana.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en-ZA"/>
          <w14:ligatures w14:val="none"/>
        </w:rPr>
        <w:t>African Journal of Food, Agriculture, Nutrition and Development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,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en-ZA"/>
          <w14:ligatures w14:val="none"/>
        </w:rPr>
        <w:t>15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>(4), 10352–10367.</w:t>
      </w:r>
    </w:p>
    <w:p w14:paraId="387BF1D2" w14:textId="77777777" w:rsidR="00435612" w:rsidRPr="00FC0C03" w:rsidRDefault="007B1D21" w:rsidP="007B1D21">
      <w:pPr>
        <w:widowControl w:val="0"/>
        <w:autoSpaceDE w:val="0"/>
        <w:autoSpaceDN w:val="0"/>
        <w:adjustRightInd w:val="0"/>
        <w:spacing w:line="360" w:lineRule="auto"/>
        <w:ind w:left="482" w:hanging="482"/>
        <w:jc w:val="both"/>
        <w:rPr>
          <w:rFonts w:asciiTheme="majorHAnsi" w:hAnsiTheme="majorHAnsi"/>
          <w:sz w:val="24"/>
          <w:szCs w:val="24"/>
        </w:rPr>
      </w:pP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Jones, A. D. (2017). Critical review of the emerging research evidence on agricultural biodiversity, diet diversity, and nutritional status in low-and middle-income countries.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en-ZA"/>
          <w14:ligatures w14:val="none"/>
        </w:rPr>
        <w:t>Nutrition Reviews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, </w:t>
      </w:r>
      <w:r w:rsidRPr="00FC0C03">
        <w:rPr>
          <w:rFonts w:asciiTheme="majorHAnsi" w:eastAsia="Calibri" w:hAnsiTheme="majorHAnsi" w:cs="Times New Roman"/>
          <w:i/>
          <w:iCs/>
          <w:noProof/>
          <w:kern w:val="0"/>
          <w:sz w:val="24"/>
          <w:szCs w:val="24"/>
          <w:lang w:val="en-ZA"/>
          <w14:ligatures w14:val="none"/>
        </w:rPr>
        <w:t>75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>(10), 769–782.</w:t>
      </w:r>
      <w:r w:rsidR="00435612" w:rsidRPr="00FC0C03">
        <w:rPr>
          <w:rFonts w:asciiTheme="majorHAnsi" w:hAnsiTheme="majorHAnsi"/>
          <w:sz w:val="24"/>
          <w:szCs w:val="24"/>
        </w:rPr>
        <w:t xml:space="preserve"> </w:t>
      </w:r>
    </w:p>
    <w:p w14:paraId="1BFBF141" w14:textId="144865F4" w:rsidR="007B1D21" w:rsidRPr="00FC0C03" w:rsidRDefault="00435612" w:rsidP="007B1D21">
      <w:pPr>
        <w:widowControl w:val="0"/>
        <w:autoSpaceDE w:val="0"/>
        <w:autoSpaceDN w:val="0"/>
        <w:adjustRightInd w:val="0"/>
        <w:spacing w:line="360" w:lineRule="auto"/>
        <w:ind w:left="482" w:hanging="482"/>
        <w:jc w:val="both"/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</w:pP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 xml:space="preserve">Verger, E.O., Le Port, A., Borderon, A., Bourbon, G., Moursi, M., Savy, M., Mariotti, F. and Martin-Prevel, Y., 2021. Dietary diversity indicators and their associations with dietary adequacy and health outcomes: a systematic scoping review. </w:t>
      </w:r>
      <w:r w:rsidRPr="00FC0C03">
        <w:rPr>
          <w:rFonts w:asciiTheme="majorHAnsi" w:eastAsia="Calibri" w:hAnsiTheme="majorHAnsi" w:cs="Times New Roman"/>
          <w:i/>
          <w:noProof/>
          <w:kern w:val="0"/>
          <w:sz w:val="24"/>
          <w:szCs w:val="24"/>
          <w:lang w:val="en-ZA"/>
          <w14:ligatures w14:val="none"/>
        </w:rPr>
        <w:t>Advances in Nutrition</w:t>
      </w:r>
      <w:r w:rsidRPr="00FC0C03">
        <w:rPr>
          <w:rFonts w:asciiTheme="majorHAnsi" w:eastAsia="Calibri" w:hAnsiTheme="majorHAnsi" w:cs="Times New Roman"/>
          <w:noProof/>
          <w:kern w:val="0"/>
          <w:sz w:val="24"/>
          <w:szCs w:val="24"/>
          <w:lang w:val="en-ZA"/>
          <w14:ligatures w14:val="none"/>
        </w:rPr>
        <w:t>, 12(5), pp.1659-1672.</w:t>
      </w:r>
    </w:p>
    <w:p w14:paraId="3C3224CD" w14:textId="77777777" w:rsidR="007B1D21" w:rsidRPr="00FC0C03" w:rsidRDefault="007B1D21">
      <w:pPr>
        <w:rPr>
          <w:rFonts w:asciiTheme="majorHAnsi" w:hAnsiTheme="majorHAnsi"/>
          <w:b/>
          <w:bCs/>
          <w:sz w:val="24"/>
          <w:szCs w:val="24"/>
          <w:lang w:val="en-US"/>
        </w:rPr>
      </w:pPr>
    </w:p>
    <w:sectPr w:rsidR="007B1D21" w:rsidRPr="00FC0C0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E3"/>
    <w:rsid w:val="00006A7F"/>
    <w:rsid w:val="000273B5"/>
    <w:rsid w:val="00053F35"/>
    <w:rsid w:val="00074E26"/>
    <w:rsid w:val="000B3D5E"/>
    <w:rsid w:val="000C77AB"/>
    <w:rsid w:val="000D646F"/>
    <w:rsid w:val="000E0437"/>
    <w:rsid w:val="000E64D8"/>
    <w:rsid w:val="000F4DD7"/>
    <w:rsid w:val="002115DF"/>
    <w:rsid w:val="002178A7"/>
    <w:rsid w:val="00250C31"/>
    <w:rsid w:val="002B105B"/>
    <w:rsid w:val="002C2002"/>
    <w:rsid w:val="002C5535"/>
    <w:rsid w:val="002E60FB"/>
    <w:rsid w:val="0034158B"/>
    <w:rsid w:val="00383DCD"/>
    <w:rsid w:val="00393C95"/>
    <w:rsid w:val="00397193"/>
    <w:rsid w:val="003B1714"/>
    <w:rsid w:val="003E1FC2"/>
    <w:rsid w:val="003E54C5"/>
    <w:rsid w:val="003F4318"/>
    <w:rsid w:val="00401994"/>
    <w:rsid w:val="00403266"/>
    <w:rsid w:val="00435612"/>
    <w:rsid w:val="004620D2"/>
    <w:rsid w:val="00467378"/>
    <w:rsid w:val="00480C1F"/>
    <w:rsid w:val="004C4428"/>
    <w:rsid w:val="004D24FC"/>
    <w:rsid w:val="004D4452"/>
    <w:rsid w:val="00501C4D"/>
    <w:rsid w:val="00520B65"/>
    <w:rsid w:val="00526BB0"/>
    <w:rsid w:val="00541DBF"/>
    <w:rsid w:val="00572921"/>
    <w:rsid w:val="005C1DC8"/>
    <w:rsid w:val="005D3826"/>
    <w:rsid w:val="0060158D"/>
    <w:rsid w:val="00625B14"/>
    <w:rsid w:val="0063425E"/>
    <w:rsid w:val="00647CDE"/>
    <w:rsid w:val="006C3C45"/>
    <w:rsid w:val="007B1D21"/>
    <w:rsid w:val="007B30E3"/>
    <w:rsid w:val="007E2262"/>
    <w:rsid w:val="007E47C4"/>
    <w:rsid w:val="007F0E2E"/>
    <w:rsid w:val="00813AFA"/>
    <w:rsid w:val="008368F1"/>
    <w:rsid w:val="00852E08"/>
    <w:rsid w:val="00875473"/>
    <w:rsid w:val="00881825"/>
    <w:rsid w:val="008861F7"/>
    <w:rsid w:val="008B0C22"/>
    <w:rsid w:val="008E1DE8"/>
    <w:rsid w:val="00905EB5"/>
    <w:rsid w:val="00933E8C"/>
    <w:rsid w:val="0098534F"/>
    <w:rsid w:val="009B2485"/>
    <w:rsid w:val="009E336E"/>
    <w:rsid w:val="00A31759"/>
    <w:rsid w:val="00A704B5"/>
    <w:rsid w:val="00A76872"/>
    <w:rsid w:val="00A96240"/>
    <w:rsid w:val="00AA06C9"/>
    <w:rsid w:val="00AA4B78"/>
    <w:rsid w:val="00AE4DD1"/>
    <w:rsid w:val="00AF7E73"/>
    <w:rsid w:val="00B5147D"/>
    <w:rsid w:val="00B52E4E"/>
    <w:rsid w:val="00B70F46"/>
    <w:rsid w:val="00BA767C"/>
    <w:rsid w:val="00BB14B8"/>
    <w:rsid w:val="00BC138F"/>
    <w:rsid w:val="00C11845"/>
    <w:rsid w:val="00C31694"/>
    <w:rsid w:val="00C53AE2"/>
    <w:rsid w:val="00C6273A"/>
    <w:rsid w:val="00C66F12"/>
    <w:rsid w:val="00C6790A"/>
    <w:rsid w:val="00C803E5"/>
    <w:rsid w:val="00C92096"/>
    <w:rsid w:val="00C95030"/>
    <w:rsid w:val="00C97E8E"/>
    <w:rsid w:val="00CB0CD5"/>
    <w:rsid w:val="00CB14C0"/>
    <w:rsid w:val="00CB1D31"/>
    <w:rsid w:val="00D74055"/>
    <w:rsid w:val="00D977BF"/>
    <w:rsid w:val="00DD21B5"/>
    <w:rsid w:val="00E07B29"/>
    <w:rsid w:val="00E27EE6"/>
    <w:rsid w:val="00E35C31"/>
    <w:rsid w:val="00E4621C"/>
    <w:rsid w:val="00E54A42"/>
    <w:rsid w:val="00ED1A43"/>
    <w:rsid w:val="00ED40A1"/>
    <w:rsid w:val="00EE07DE"/>
    <w:rsid w:val="00F07671"/>
    <w:rsid w:val="00F32E00"/>
    <w:rsid w:val="00F465F1"/>
    <w:rsid w:val="00FC07BE"/>
    <w:rsid w:val="00FC0C03"/>
    <w:rsid w:val="00FD03AB"/>
    <w:rsid w:val="00FD55EE"/>
    <w:rsid w:val="00FE695E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D2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E22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Cresswell Mseleku (212504154)</cp:lastModifiedBy>
  <cp:revision>3</cp:revision>
  <dcterms:created xsi:type="dcterms:W3CDTF">2025-01-16T11:16:00Z</dcterms:created>
  <dcterms:modified xsi:type="dcterms:W3CDTF">2025-01-16T11:18:00Z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GrammarlyDocumentId">
    <vt:lpwstr>03dc400db7477b1d74da788f59a00b5e995b84712bad5a6f63e6571ee8fb322c</vt:lpwstr>
  </property>
</Properties>
</file>