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ECB3" w14:textId="310CE578" w:rsidR="007B30E3" w:rsidRPr="00A16ACA" w:rsidRDefault="007B30E3">
      <w:pPr>
        <w:rPr>
          <w:lang w:val="en-US"/>
        </w:rPr>
      </w:pPr>
      <w:r>
        <w:rPr>
          <w:b/>
          <w:bCs/>
          <w:lang w:val="en-US"/>
        </w:rPr>
        <w:t>Application</w:t>
      </w:r>
      <w:r w:rsidR="00A16ACA">
        <w:rPr>
          <w:b/>
          <w:bCs/>
          <w:lang w:val="en-US"/>
        </w:rPr>
        <w:t xml:space="preserve"> </w:t>
      </w:r>
      <w:r w:rsidR="00D02261">
        <w:rPr>
          <w:lang w:val="en-US"/>
        </w:rPr>
        <w:t xml:space="preserve">Genetic selection on maternal breeding values could be used </w:t>
      </w:r>
      <w:r w:rsidR="00821D12">
        <w:rPr>
          <w:lang w:val="en-US"/>
        </w:rPr>
        <w:t>t</w:t>
      </w:r>
      <w:r w:rsidR="00A16ACA">
        <w:rPr>
          <w:lang w:val="en-US"/>
        </w:rPr>
        <w:t xml:space="preserve">o reduce stillborn lambs and death from dystocia </w:t>
      </w:r>
      <w:r w:rsidR="00D02261">
        <w:rPr>
          <w:lang w:val="en-US"/>
        </w:rPr>
        <w:t>in maternal breeds.</w:t>
      </w:r>
    </w:p>
    <w:p w14:paraId="3468C8E7" w14:textId="1B9C77A9" w:rsidR="00887145" w:rsidRDefault="007B30E3">
      <w:pPr>
        <w:rPr>
          <w:lang w:val="en-US"/>
        </w:rPr>
      </w:pPr>
      <w:r>
        <w:rPr>
          <w:b/>
          <w:bCs/>
          <w:lang w:val="en-US"/>
        </w:rPr>
        <w:t>Introduction</w:t>
      </w:r>
      <w:r w:rsidR="00887145">
        <w:rPr>
          <w:b/>
          <w:bCs/>
          <w:lang w:val="en-US"/>
        </w:rPr>
        <w:t xml:space="preserve"> </w:t>
      </w:r>
      <w:r w:rsidR="00887145" w:rsidRPr="00887145">
        <w:rPr>
          <w:lang w:val="en-US"/>
        </w:rPr>
        <w:t xml:space="preserve">Poor lamb survival is a major cause of productive inefficiency in the sheep sector. Survival rates vary dramatically between flock and system; however, it is estimated between 10-15% of all lambs born die every year before weaning </w:t>
      </w:r>
      <w:r w:rsidR="00887145">
        <w:rPr>
          <w:lang w:val="en-US"/>
        </w:rPr>
        <w:t>in the UK and around the world (Dwyer et al, 2016).</w:t>
      </w:r>
      <w:r w:rsidR="009538AC">
        <w:rPr>
          <w:lang w:val="en-US"/>
        </w:rPr>
        <w:t xml:space="preserve"> Investigating why these lambs die could help inform future breeding decisions.</w:t>
      </w:r>
    </w:p>
    <w:p w14:paraId="31DE43A2" w14:textId="06A6FCC5" w:rsidR="007B30E3" w:rsidRPr="000E7AE2" w:rsidRDefault="007B30E3">
      <w:pPr>
        <w:rPr>
          <w:lang w:val="en-US"/>
        </w:rPr>
      </w:pPr>
      <w:r>
        <w:rPr>
          <w:b/>
          <w:bCs/>
          <w:lang w:val="en-US"/>
        </w:rPr>
        <w:t>Materials and Methods</w:t>
      </w:r>
      <w:r w:rsidR="003C448C">
        <w:rPr>
          <w:b/>
          <w:bCs/>
          <w:lang w:val="en-US"/>
        </w:rPr>
        <w:t xml:space="preserve"> </w:t>
      </w:r>
      <w:r w:rsidR="00D92C87">
        <w:rPr>
          <w:lang w:val="en-US"/>
        </w:rPr>
        <w:t>Lamb</w:t>
      </w:r>
      <w:r w:rsidR="000E7AE2">
        <w:rPr>
          <w:lang w:val="en-US"/>
        </w:rPr>
        <w:t xml:space="preserve"> record</w:t>
      </w:r>
      <w:r w:rsidR="00D92C87">
        <w:rPr>
          <w:lang w:val="en-US"/>
        </w:rPr>
        <w:t>s (n= 58,851)</w:t>
      </w:r>
      <w:r w:rsidR="000E7AE2">
        <w:rPr>
          <w:lang w:val="en-US"/>
        </w:rPr>
        <w:t xml:space="preserve"> for survival to 48 hours and 8 weeks</w:t>
      </w:r>
      <w:r w:rsidR="000770DD">
        <w:rPr>
          <w:lang w:val="en-US"/>
        </w:rPr>
        <w:t xml:space="preserve">, </w:t>
      </w:r>
      <w:r w:rsidR="000E7AE2">
        <w:rPr>
          <w:lang w:val="en-US"/>
        </w:rPr>
        <w:t>were collected over 7 years, across 22 farms and</w:t>
      </w:r>
      <w:r w:rsidR="005F225C">
        <w:rPr>
          <w:lang w:val="en-US"/>
        </w:rPr>
        <w:t xml:space="preserve"> 7</w:t>
      </w:r>
      <w:r w:rsidR="000E7AE2">
        <w:rPr>
          <w:lang w:val="en-US"/>
        </w:rPr>
        <w:t xml:space="preserve"> different breed lines that make up the Innovis breeding program. Farmers recorded the cause of death</w:t>
      </w:r>
      <w:r w:rsidR="00D02261">
        <w:rPr>
          <w:lang w:val="en-US"/>
        </w:rPr>
        <w:t xml:space="preserve">. </w:t>
      </w:r>
      <w:r w:rsidR="00821D12">
        <w:rPr>
          <w:lang w:val="en-US"/>
        </w:rPr>
        <w:t>The most common identified causes of death</w:t>
      </w:r>
      <w:r w:rsidR="000770DD">
        <w:rPr>
          <w:lang w:val="en-US"/>
        </w:rPr>
        <w:t>;</w:t>
      </w:r>
      <w:r w:rsidR="00821D12">
        <w:rPr>
          <w:lang w:val="en-US"/>
        </w:rPr>
        <w:t xml:space="preserve"> </w:t>
      </w:r>
      <w:r w:rsidR="00821D12" w:rsidRPr="00D02261">
        <w:rPr>
          <w:lang w:val="en-US"/>
        </w:rPr>
        <w:t xml:space="preserve">dystocia, starvation/mismothering/exposure or </w:t>
      </w:r>
      <w:r w:rsidR="00821D12">
        <w:rPr>
          <w:lang w:val="en-US"/>
        </w:rPr>
        <w:t>stillbirth,</w:t>
      </w:r>
      <w:r w:rsidR="00D02261" w:rsidRPr="00D02261">
        <w:rPr>
          <w:lang w:val="en-US"/>
        </w:rPr>
        <w:t xml:space="preserve"> </w:t>
      </w:r>
      <w:r w:rsidR="00A16ACA">
        <w:rPr>
          <w:lang w:val="en-US"/>
        </w:rPr>
        <w:t xml:space="preserve">were </w:t>
      </w:r>
      <w:proofErr w:type="spellStart"/>
      <w:r w:rsidR="00A16ACA">
        <w:rPr>
          <w:lang w:val="en-US"/>
        </w:rPr>
        <w:t>analysed</w:t>
      </w:r>
      <w:proofErr w:type="spellEnd"/>
      <w:r w:rsidR="00D02261">
        <w:rPr>
          <w:lang w:val="en-US"/>
        </w:rPr>
        <w:t>.</w:t>
      </w:r>
      <w:r w:rsidR="000E7AE2">
        <w:rPr>
          <w:lang w:val="en-US"/>
        </w:rPr>
        <w:t xml:space="preserve"> Significance of fixed effects were assessed using </w:t>
      </w:r>
      <w:r w:rsidR="002148E2">
        <w:rPr>
          <w:lang w:val="en-US"/>
        </w:rPr>
        <w:t>general</w:t>
      </w:r>
      <w:r w:rsidR="000E7AE2">
        <w:rPr>
          <w:lang w:val="en-US"/>
        </w:rPr>
        <w:t xml:space="preserve"> linear regression </w:t>
      </w:r>
      <w:r w:rsidR="00D02261">
        <w:rPr>
          <w:lang w:val="en-US"/>
        </w:rPr>
        <w:t xml:space="preserve">in </w:t>
      </w:r>
      <w:r w:rsidR="000E7AE2">
        <w:rPr>
          <w:lang w:val="en-US"/>
        </w:rPr>
        <w:t>GenStat</w:t>
      </w:r>
      <w:r w:rsidR="00821D12">
        <w:rPr>
          <w:lang w:val="en-US"/>
        </w:rPr>
        <w:t xml:space="preserve"> </w:t>
      </w:r>
      <w:r w:rsidR="00821D12" w:rsidRPr="00821D12">
        <w:t>(VSN International, 2022)</w:t>
      </w:r>
      <w:r w:rsidR="000E7AE2">
        <w:rPr>
          <w:lang w:val="en-US"/>
        </w:rPr>
        <w:t>. Significant fixed effects were flock, lamb sex, lamb breed, lamb birth type and birthweight</w:t>
      </w:r>
      <w:r w:rsidR="009538AC">
        <w:rPr>
          <w:lang w:val="en-US"/>
        </w:rPr>
        <w:t xml:space="preserve"> </w:t>
      </w:r>
      <w:r w:rsidR="00D02261">
        <w:rPr>
          <w:lang w:val="en-US"/>
        </w:rPr>
        <w:t xml:space="preserve">was </w:t>
      </w:r>
      <w:r w:rsidR="009538AC">
        <w:rPr>
          <w:lang w:val="en-US"/>
        </w:rPr>
        <w:t xml:space="preserve">a significant </w:t>
      </w:r>
      <w:r w:rsidR="00EB3E01">
        <w:rPr>
          <w:lang w:val="en-US"/>
        </w:rPr>
        <w:t>covariate</w:t>
      </w:r>
      <w:r w:rsidR="000E7AE2">
        <w:rPr>
          <w:lang w:val="en-US"/>
        </w:rPr>
        <w:t xml:space="preserve">. All significant 2-way interactions were fitted. </w:t>
      </w:r>
      <w:r w:rsidR="009538AC">
        <w:rPr>
          <w:lang w:val="en-US"/>
        </w:rPr>
        <w:t xml:space="preserve">Predicted means for each level of fixed effect were calculated and pair-wise t-tests assessed if differences were statistically significant. </w:t>
      </w:r>
      <w:r w:rsidR="00D92C87">
        <w:rPr>
          <w:lang w:val="en-US"/>
        </w:rPr>
        <w:t>H</w:t>
      </w:r>
      <w:r w:rsidR="000E7AE2">
        <w:rPr>
          <w:lang w:val="en-US"/>
        </w:rPr>
        <w:t xml:space="preserve">eritability and maternal heritability </w:t>
      </w:r>
      <w:r w:rsidR="00D92C87">
        <w:rPr>
          <w:lang w:val="en-US"/>
        </w:rPr>
        <w:t xml:space="preserve">were estimated </w:t>
      </w:r>
      <w:r w:rsidR="000E7AE2">
        <w:rPr>
          <w:lang w:val="en-US"/>
        </w:rPr>
        <w:t xml:space="preserve">by fitting a </w:t>
      </w:r>
      <w:r w:rsidR="00AB34B3">
        <w:rPr>
          <w:lang w:val="en-US"/>
        </w:rPr>
        <w:t xml:space="preserve">univariate </w:t>
      </w:r>
      <w:r w:rsidR="000E7AE2">
        <w:rPr>
          <w:lang w:val="en-US"/>
        </w:rPr>
        <w:t>animal model</w:t>
      </w:r>
      <w:r w:rsidR="00D92C87">
        <w:rPr>
          <w:lang w:val="en-US"/>
        </w:rPr>
        <w:t>, with the above fixed effects and covariates,</w:t>
      </w:r>
      <w:r w:rsidR="000E7AE2">
        <w:rPr>
          <w:lang w:val="en-US"/>
        </w:rPr>
        <w:t xml:space="preserve"> in </w:t>
      </w:r>
      <w:proofErr w:type="spellStart"/>
      <w:r w:rsidR="000E7AE2">
        <w:rPr>
          <w:lang w:val="en-US"/>
        </w:rPr>
        <w:t>ASReml</w:t>
      </w:r>
      <w:proofErr w:type="spellEnd"/>
      <w:r w:rsidR="00D92C87">
        <w:rPr>
          <w:lang w:val="en-US"/>
        </w:rPr>
        <w:t>,</w:t>
      </w:r>
      <w:r w:rsidR="000E7AE2">
        <w:rPr>
          <w:lang w:val="en-US"/>
        </w:rPr>
        <w:t xml:space="preserve"> using 1</w:t>
      </w:r>
      <w:r w:rsidR="00B14617">
        <w:rPr>
          <w:lang w:val="en-US"/>
        </w:rPr>
        <w:t>60</w:t>
      </w:r>
      <w:r w:rsidR="00D92C87">
        <w:rPr>
          <w:lang w:val="en-US"/>
        </w:rPr>
        <w:t>,</w:t>
      </w:r>
      <w:r w:rsidR="00B14617">
        <w:rPr>
          <w:lang w:val="en-US"/>
        </w:rPr>
        <w:t>482</w:t>
      </w:r>
      <w:r w:rsidR="000E7AE2">
        <w:rPr>
          <w:lang w:val="en-US"/>
        </w:rPr>
        <w:t xml:space="preserve"> pedigree records over </w:t>
      </w:r>
      <w:r w:rsidR="00B14617">
        <w:rPr>
          <w:lang w:val="en-US"/>
        </w:rPr>
        <w:t>17</w:t>
      </w:r>
      <w:r w:rsidR="000E7AE2">
        <w:rPr>
          <w:lang w:val="en-US"/>
        </w:rPr>
        <w:t xml:space="preserve"> generation</w:t>
      </w:r>
      <w:r w:rsidR="00D92C87">
        <w:rPr>
          <w:lang w:val="en-US"/>
        </w:rPr>
        <w:t>s</w:t>
      </w:r>
      <w:r w:rsidR="000E7AE2">
        <w:rPr>
          <w:lang w:val="en-US"/>
        </w:rPr>
        <w:t xml:space="preserve">. </w:t>
      </w:r>
    </w:p>
    <w:p w14:paraId="3D5C9672" w14:textId="0398D8E9" w:rsidR="007B30E3" w:rsidRDefault="007B30E3">
      <w:pPr>
        <w:rPr>
          <w:lang w:val="en-US"/>
        </w:rPr>
      </w:pPr>
      <w:r>
        <w:rPr>
          <w:b/>
          <w:bCs/>
          <w:lang w:val="en-US"/>
        </w:rPr>
        <w:t>Results</w:t>
      </w:r>
      <w:r w:rsidR="003C448C">
        <w:rPr>
          <w:b/>
          <w:bCs/>
          <w:lang w:val="en-US"/>
        </w:rPr>
        <w:t xml:space="preserve"> </w:t>
      </w:r>
      <w:r w:rsidR="00D92C87">
        <w:rPr>
          <w:lang w:val="en-US"/>
        </w:rPr>
        <w:t xml:space="preserve">Nine hundred and twenty </w:t>
      </w:r>
      <w:r w:rsidR="009538AC">
        <w:rPr>
          <w:lang w:val="en-US"/>
        </w:rPr>
        <w:t>lambs were assigned as being stillborn (1.5%</w:t>
      </w:r>
      <w:r w:rsidR="00D92C87">
        <w:rPr>
          <w:lang w:val="en-US"/>
        </w:rPr>
        <w:t xml:space="preserve"> of all lambs in the dataset</w:t>
      </w:r>
      <w:r w:rsidR="009538AC">
        <w:rPr>
          <w:lang w:val="en-US"/>
        </w:rPr>
        <w:t xml:space="preserve">), 568 lambs were assigned a cause of death as dystocia (0.9%) and 575 lambs were assigned starvation/mismothering or exposure as a cause of death (1.0%). There were significant </w:t>
      </w:r>
      <w:r w:rsidR="003C448C">
        <w:rPr>
          <w:lang w:val="en-US"/>
        </w:rPr>
        <w:t>differences between males and females for all causes of death with males more likely to die than females from all causes. For birth type there w</w:t>
      </w:r>
      <w:r w:rsidR="00D92C87">
        <w:rPr>
          <w:lang w:val="en-US"/>
        </w:rPr>
        <w:t>ere</w:t>
      </w:r>
      <w:r w:rsidR="003C448C">
        <w:rPr>
          <w:lang w:val="en-US"/>
        </w:rPr>
        <w:t xml:space="preserve"> significant differences between single born lambs, twin born lambs and lambs born in litters of 3 or more</w:t>
      </w:r>
      <w:r w:rsidR="00D02261">
        <w:rPr>
          <w:lang w:val="en-US"/>
        </w:rPr>
        <w:t>. T</w:t>
      </w:r>
      <w:r w:rsidR="003C448C">
        <w:rPr>
          <w:lang w:val="en-US"/>
        </w:rPr>
        <w:t xml:space="preserve">here was a significant difference between all </w:t>
      </w:r>
      <w:r w:rsidR="00D02261">
        <w:rPr>
          <w:lang w:val="en-US"/>
        </w:rPr>
        <w:t xml:space="preserve">birth type </w:t>
      </w:r>
      <w:r w:rsidR="003C448C">
        <w:rPr>
          <w:lang w:val="en-US"/>
        </w:rPr>
        <w:t>categories for starvation/mismothering or exposure, with triplets most likely to die</w:t>
      </w:r>
      <w:r w:rsidR="00D02261">
        <w:rPr>
          <w:lang w:val="en-US"/>
        </w:rPr>
        <w:t>. T</w:t>
      </w:r>
      <w:r w:rsidR="003C448C">
        <w:rPr>
          <w:lang w:val="en-US"/>
        </w:rPr>
        <w:t>here was a significant difference between single lambs and higher litter sizes for lambs dying from dystocia, with singles more likely to die</w:t>
      </w:r>
      <w:r w:rsidR="00D02261">
        <w:rPr>
          <w:lang w:val="en-US"/>
        </w:rPr>
        <w:t>. T</w:t>
      </w:r>
      <w:r w:rsidR="003C448C">
        <w:rPr>
          <w:lang w:val="en-US"/>
        </w:rPr>
        <w:t xml:space="preserve">riplets were significantly more likely to be stillborn than singles or twins. </w:t>
      </w:r>
      <w:r w:rsidR="00D92C87">
        <w:rPr>
          <w:lang w:val="en-US"/>
        </w:rPr>
        <w:t xml:space="preserve">Cause of death </w:t>
      </w:r>
      <w:proofErr w:type="spellStart"/>
      <w:r w:rsidR="00D92C87">
        <w:rPr>
          <w:lang w:val="en-US"/>
        </w:rPr>
        <w:t>heritabilities</w:t>
      </w:r>
      <w:proofErr w:type="spellEnd"/>
      <w:r w:rsidR="00D92C87">
        <w:rPr>
          <w:lang w:val="en-US"/>
        </w:rPr>
        <w:t xml:space="preserve"> were low and not significantly different from zero (Table 1), but stillborn and dystocia had a significant maternal heritability. </w:t>
      </w:r>
    </w:p>
    <w:p w14:paraId="64051FC4" w14:textId="0A05E10A" w:rsidR="003C448C" w:rsidRPr="000E7AE2" w:rsidRDefault="003C448C">
      <w:pPr>
        <w:rPr>
          <w:lang w:val="en-US"/>
        </w:rPr>
      </w:pPr>
      <w:r>
        <w:rPr>
          <w:lang w:val="en-US"/>
        </w:rPr>
        <w:t>Table 1</w:t>
      </w:r>
    </w:p>
    <w:p w14:paraId="41A3C7EB" w14:textId="1A941038" w:rsidR="007B30E3" w:rsidRPr="00A16ACA" w:rsidRDefault="007B30E3">
      <w:pPr>
        <w:rPr>
          <w:lang w:val="en-US"/>
        </w:rPr>
      </w:pPr>
      <w:r>
        <w:rPr>
          <w:b/>
          <w:bCs/>
          <w:lang w:val="en-US"/>
        </w:rPr>
        <w:t>Conclusions</w:t>
      </w:r>
      <w:r w:rsidR="00EB3E01">
        <w:rPr>
          <w:b/>
          <w:bCs/>
          <w:lang w:val="en-US"/>
        </w:rPr>
        <w:t xml:space="preserve"> </w:t>
      </w:r>
      <w:r w:rsidR="00A16ACA">
        <w:rPr>
          <w:lang w:val="en-US"/>
        </w:rPr>
        <w:t>To reduce deaths from dystocia and reduce stillborn lambs, maternal selection is required. Direct and maternal heritability for starvation/mismothering or exposure were not significant, so selective breeding is not likely to reduce these death</w:t>
      </w:r>
      <w:r w:rsidR="00905ED9">
        <w:rPr>
          <w:lang w:val="en-US"/>
        </w:rPr>
        <w:t>s</w:t>
      </w:r>
      <w:r w:rsidR="00D02261">
        <w:rPr>
          <w:lang w:val="en-US"/>
        </w:rPr>
        <w:t xml:space="preserve">; </w:t>
      </w:r>
      <w:r w:rsidR="00A16ACA">
        <w:rPr>
          <w:lang w:val="en-US"/>
        </w:rPr>
        <w:t xml:space="preserve">management decisions are likely to be more effective. </w:t>
      </w:r>
      <w:r w:rsidR="00814214">
        <w:rPr>
          <w:lang w:val="en-US"/>
        </w:rPr>
        <w:t>These</w:t>
      </w:r>
      <w:r w:rsidR="00905ED9">
        <w:rPr>
          <w:lang w:val="en-US"/>
        </w:rPr>
        <w:t xml:space="preserve"> </w:t>
      </w:r>
      <w:r w:rsidR="00D02261">
        <w:rPr>
          <w:lang w:val="en-US"/>
        </w:rPr>
        <w:t xml:space="preserve">causes of death </w:t>
      </w:r>
      <w:r w:rsidR="00905ED9">
        <w:rPr>
          <w:lang w:val="en-US"/>
        </w:rPr>
        <w:t xml:space="preserve">could be used in the future to increase accuracy of </w:t>
      </w:r>
      <w:r w:rsidR="00D02261">
        <w:rPr>
          <w:lang w:val="en-US"/>
        </w:rPr>
        <w:t xml:space="preserve">genetic evaluation of </w:t>
      </w:r>
      <w:r w:rsidR="00905ED9">
        <w:rPr>
          <w:lang w:val="en-US"/>
        </w:rPr>
        <w:t xml:space="preserve">lamb survival traits. </w:t>
      </w:r>
    </w:p>
    <w:p w14:paraId="5E65DB3F" w14:textId="0498EC2A" w:rsidR="00B63FA2" w:rsidRPr="00B63FA2" w:rsidRDefault="007B30E3" w:rsidP="00B63FA2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  <w:r w:rsidR="00905ED9">
        <w:rPr>
          <w:b/>
          <w:bCs/>
          <w:lang w:val="en-US"/>
        </w:rPr>
        <w:t xml:space="preserve"> </w:t>
      </w:r>
      <w:r w:rsidR="003C448C" w:rsidRPr="003C448C">
        <w:rPr>
          <w:lang w:val="en-US"/>
        </w:rPr>
        <w:t xml:space="preserve">Dwyer, C.M., </w:t>
      </w:r>
      <w:proofErr w:type="spellStart"/>
      <w:r w:rsidR="003C448C" w:rsidRPr="003C448C">
        <w:rPr>
          <w:lang w:val="en-US"/>
        </w:rPr>
        <w:t>Conington</w:t>
      </w:r>
      <w:proofErr w:type="spellEnd"/>
      <w:r w:rsidR="003C448C" w:rsidRPr="003C448C">
        <w:rPr>
          <w:lang w:val="en-US"/>
        </w:rPr>
        <w:t>, J., Corbiere, F., Holmoy, I.H., Muri, K., Nowak, R., Rooke, J.,</w:t>
      </w:r>
      <w:r w:rsidR="003C448C">
        <w:rPr>
          <w:lang w:val="en-US"/>
        </w:rPr>
        <w:t xml:space="preserve"> </w:t>
      </w:r>
      <w:r w:rsidR="003C448C" w:rsidRPr="003C448C">
        <w:rPr>
          <w:lang w:val="en-US"/>
        </w:rPr>
        <w:t>Vipond, J., Gautier, J.M., 2016. Invited review: Improving neonatal survival in</w:t>
      </w:r>
      <w:r w:rsidR="003C448C">
        <w:rPr>
          <w:lang w:val="en-US"/>
        </w:rPr>
        <w:t xml:space="preserve"> </w:t>
      </w:r>
      <w:r w:rsidR="003C448C" w:rsidRPr="003C448C">
        <w:rPr>
          <w:lang w:val="en-US"/>
        </w:rPr>
        <w:t>small ruminants: Science into practice. Animal 10, 449–459.</w:t>
      </w:r>
    </w:p>
    <w:p w14:paraId="1B156443" w14:textId="01F63BEE" w:rsidR="00B63FA2" w:rsidRDefault="00B63FA2" w:rsidP="00B63FA2">
      <w:pPr>
        <w:rPr>
          <w:lang w:val="en-US"/>
        </w:rPr>
      </w:pPr>
      <w:r w:rsidRPr="00B63FA2">
        <w:t>VSN International, 2022. GenStat for Windows. VSN International, Hemel</w:t>
      </w:r>
      <w:r>
        <w:t xml:space="preserve"> </w:t>
      </w:r>
      <w:r w:rsidRPr="00B63FA2">
        <w:t>Hempstead, UK.</w:t>
      </w:r>
    </w:p>
    <w:p w14:paraId="7884CF14" w14:textId="77777777" w:rsidR="00D92C87" w:rsidRDefault="00D92C87" w:rsidP="003C448C">
      <w:pPr>
        <w:rPr>
          <w:b/>
          <w:bCs/>
          <w:lang w:val="en-US"/>
        </w:rPr>
      </w:pPr>
    </w:p>
    <w:p w14:paraId="6A94DD5C" w14:textId="77777777" w:rsidR="00D92C87" w:rsidRDefault="00D92C87" w:rsidP="003C448C">
      <w:pPr>
        <w:rPr>
          <w:b/>
          <w:bCs/>
          <w:lang w:val="en-US"/>
        </w:rPr>
      </w:pPr>
    </w:p>
    <w:p w14:paraId="65534638" w14:textId="77777777" w:rsidR="00D92C87" w:rsidRDefault="00D92C87" w:rsidP="003C448C">
      <w:pPr>
        <w:rPr>
          <w:b/>
          <w:bCs/>
          <w:lang w:val="en-US"/>
        </w:rPr>
      </w:pPr>
    </w:p>
    <w:p w14:paraId="5FB2AED8" w14:textId="77777777" w:rsidR="00D92C87" w:rsidRDefault="00D92C87" w:rsidP="003C448C">
      <w:pPr>
        <w:rPr>
          <w:b/>
          <w:bCs/>
          <w:lang w:val="en-US"/>
        </w:rPr>
      </w:pPr>
    </w:p>
    <w:p w14:paraId="6FDE1FD9" w14:textId="7DE5BAA3" w:rsidR="003C448C" w:rsidRDefault="003C448C" w:rsidP="003C448C">
      <w:pPr>
        <w:rPr>
          <w:lang w:val="en-US"/>
        </w:rPr>
      </w:pPr>
      <w:r w:rsidRPr="003C448C">
        <w:rPr>
          <w:b/>
          <w:bCs/>
          <w:lang w:val="en-US"/>
        </w:rPr>
        <w:lastRenderedPageBreak/>
        <w:t>Table 1</w:t>
      </w:r>
      <w:r>
        <w:rPr>
          <w:b/>
          <w:bCs/>
          <w:lang w:val="en-US"/>
        </w:rPr>
        <w:t xml:space="preserve">: </w:t>
      </w:r>
      <w:r>
        <w:rPr>
          <w:lang w:val="en-US"/>
        </w:rPr>
        <w:t xml:space="preserve">Variance components </w:t>
      </w:r>
      <w:r w:rsidR="00D92C87">
        <w:rPr>
          <w:lang w:val="en-US"/>
        </w:rPr>
        <w:t>(</w:t>
      </w:r>
      <w:r w:rsidR="00D92C87">
        <w:t>σ</w:t>
      </w:r>
      <w:r w:rsidR="00D92C87">
        <w:rPr>
          <w:vertAlign w:val="superscript"/>
        </w:rPr>
        <w:t>2</w:t>
      </w:r>
      <w:r w:rsidR="00D92C87">
        <w:rPr>
          <w:vertAlign w:val="subscript"/>
        </w:rPr>
        <w:t>a</w:t>
      </w:r>
      <w:r w:rsidR="00D92C87">
        <w:rPr>
          <w:lang w:val="en-US"/>
        </w:rPr>
        <w:t xml:space="preserve"> = additive variance, </w:t>
      </w:r>
      <w:r w:rsidR="00D92C87">
        <w:t>σ</w:t>
      </w:r>
      <w:r w:rsidR="00D92C87">
        <w:rPr>
          <w:vertAlign w:val="superscript"/>
        </w:rPr>
        <w:t>2</w:t>
      </w:r>
      <w:r w:rsidR="00D92C87">
        <w:rPr>
          <w:vertAlign w:val="subscript"/>
        </w:rPr>
        <w:t>m</w:t>
      </w:r>
      <w:r w:rsidR="00D92C87">
        <w:rPr>
          <w:lang w:val="en-US"/>
        </w:rPr>
        <w:t xml:space="preserve"> = maternal variance, </w:t>
      </w:r>
      <w:r w:rsidR="00D92C87">
        <w:t>σ</w:t>
      </w:r>
      <w:r w:rsidR="00D92C87">
        <w:rPr>
          <w:vertAlign w:val="superscript"/>
        </w:rPr>
        <w:t>2</w:t>
      </w:r>
      <w:r w:rsidR="00D92C87">
        <w:rPr>
          <w:vertAlign w:val="subscript"/>
        </w:rPr>
        <w:t>p</w:t>
      </w:r>
      <w:r w:rsidR="00D92C87">
        <w:rPr>
          <w:lang w:val="en-US"/>
        </w:rPr>
        <w:t xml:space="preserve"> = phenotypic variance) </w:t>
      </w:r>
      <w:r>
        <w:rPr>
          <w:lang w:val="en-US"/>
        </w:rPr>
        <w:t xml:space="preserve">and heritability estimates </w:t>
      </w:r>
      <w:r w:rsidR="00D92C87">
        <w:rPr>
          <w:lang w:val="en-US"/>
        </w:rPr>
        <w:t>(h</w:t>
      </w:r>
      <w:r w:rsidR="00D92C87">
        <w:rPr>
          <w:vertAlign w:val="superscript"/>
          <w:lang w:val="en-US"/>
        </w:rPr>
        <w:t>2</w:t>
      </w:r>
      <w:r w:rsidR="00D92C87">
        <w:rPr>
          <w:lang w:val="en-US"/>
        </w:rPr>
        <w:t xml:space="preserve"> = heritability, h</w:t>
      </w:r>
      <w:r w:rsidR="00D92C87" w:rsidRPr="00D92C87">
        <w:rPr>
          <w:vertAlign w:val="superscript"/>
          <w:lang w:val="en-US"/>
        </w:rPr>
        <w:t>2</w:t>
      </w:r>
      <w:r w:rsidR="00D92C87">
        <w:rPr>
          <w:vertAlign w:val="subscript"/>
          <w:lang w:val="en-US"/>
        </w:rPr>
        <w:t>m</w:t>
      </w:r>
      <w:r>
        <w:rPr>
          <w:lang w:val="en-US"/>
        </w:rPr>
        <w:t xml:space="preserve"> </w:t>
      </w:r>
      <w:r w:rsidR="00D92C87">
        <w:rPr>
          <w:lang w:val="en-US"/>
        </w:rPr>
        <w:t xml:space="preserve">= maternal heritability) for </w:t>
      </w:r>
      <w:r>
        <w:rPr>
          <w:lang w:val="en-US"/>
        </w:rPr>
        <w:t>farmer assigned causes of death</w:t>
      </w:r>
      <w:r w:rsidR="00D92C87">
        <w:rPr>
          <w:lang w:val="en-US"/>
        </w:rPr>
        <w:t xml:space="preserve"> with standard errors. </w:t>
      </w:r>
      <w:r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1349"/>
        <w:gridCol w:w="1349"/>
        <w:gridCol w:w="1254"/>
        <w:gridCol w:w="1276"/>
        <w:gridCol w:w="1224"/>
      </w:tblGrid>
      <w:tr w:rsidR="00B63FA2" w14:paraId="4074E8E2" w14:textId="77777777" w:rsidTr="00B63FA2">
        <w:tc>
          <w:tcPr>
            <w:tcW w:w="2564" w:type="dxa"/>
          </w:tcPr>
          <w:p w14:paraId="53ABCF15" w14:textId="4FE9FBC8" w:rsidR="00B63FA2" w:rsidRDefault="00B63FA2" w:rsidP="00E61D07">
            <w:pPr>
              <w:rPr>
                <w:lang w:val="en-US"/>
              </w:rPr>
            </w:pPr>
            <w:r>
              <w:rPr>
                <w:lang w:val="en-US"/>
              </w:rPr>
              <w:t>Trait</w:t>
            </w:r>
          </w:p>
        </w:tc>
        <w:tc>
          <w:tcPr>
            <w:tcW w:w="1349" w:type="dxa"/>
          </w:tcPr>
          <w:p w14:paraId="0134407C" w14:textId="2C298294" w:rsidR="00B63FA2" w:rsidRPr="00E61D07" w:rsidRDefault="00B63FA2" w:rsidP="00E61D07">
            <w:pPr>
              <w:jc w:val="center"/>
              <w:rPr>
                <w:vertAlign w:val="subscript"/>
                <w:lang w:val="en-US"/>
              </w:rPr>
            </w:pPr>
            <w:r>
              <w:t>σ</w:t>
            </w:r>
            <w:r>
              <w:rPr>
                <w:vertAlign w:val="superscript"/>
              </w:rPr>
              <w:t>2</w:t>
            </w:r>
            <w:r>
              <w:rPr>
                <w:vertAlign w:val="subscript"/>
              </w:rPr>
              <w:t>a</w:t>
            </w:r>
          </w:p>
        </w:tc>
        <w:tc>
          <w:tcPr>
            <w:tcW w:w="1349" w:type="dxa"/>
          </w:tcPr>
          <w:p w14:paraId="4C9A7F15" w14:textId="19D684A9" w:rsidR="00B63FA2" w:rsidRPr="00E61D07" w:rsidRDefault="00B63FA2" w:rsidP="00E61D07">
            <w:pPr>
              <w:jc w:val="center"/>
              <w:rPr>
                <w:vertAlign w:val="subscript"/>
                <w:lang w:val="en-US"/>
              </w:rPr>
            </w:pPr>
            <w:r>
              <w:t>σ</w:t>
            </w:r>
            <w:r>
              <w:rPr>
                <w:vertAlign w:val="superscript"/>
              </w:rPr>
              <w:t>2</w:t>
            </w:r>
            <w:r>
              <w:rPr>
                <w:vertAlign w:val="subscript"/>
              </w:rPr>
              <w:t>m</w:t>
            </w:r>
          </w:p>
        </w:tc>
        <w:tc>
          <w:tcPr>
            <w:tcW w:w="1254" w:type="dxa"/>
          </w:tcPr>
          <w:p w14:paraId="51BC9819" w14:textId="726088D8" w:rsidR="00B63FA2" w:rsidRPr="00B63FA2" w:rsidRDefault="00B63FA2" w:rsidP="00E61D07">
            <w:pPr>
              <w:jc w:val="center"/>
              <w:rPr>
                <w:vertAlign w:val="subscript"/>
                <w:lang w:val="en-US"/>
              </w:rPr>
            </w:pPr>
            <w:r>
              <w:t>σ</w:t>
            </w:r>
            <w:r>
              <w:rPr>
                <w:vertAlign w:val="superscript"/>
              </w:rPr>
              <w:t>2</w:t>
            </w:r>
            <w:r>
              <w:rPr>
                <w:vertAlign w:val="subscript"/>
              </w:rPr>
              <w:t>p</w:t>
            </w:r>
          </w:p>
        </w:tc>
        <w:tc>
          <w:tcPr>
            <w:tcW w:w="1276" w:type="dxa"/>
          </w:tcPr>
          <w:p w14:paraId="5E0A1EA5" w14:textId="4633F14B" w:rsidR="00B63FA2" w:rsidRPr="00E61D07" w:rsidRDefault="00B63FA2" w:rsidP="00E61D07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1224" w:type="dxa"/>
          </w:tcPr>
          <w:p w14:paraId="45469953" w14:textId="73460923" w:rsidR="00B63FA2" w:rsidRPr="00E61D07" w:rsidRDefault="00B63FA2" w:rsidP="00E61D07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m</w:t>
            </w:r>
            <w:r>
              <w:rPr>
                <w:vertAlign w:val="superscript"/>
                <w:lang w:val="en-US"/>
              </w:rPr>
              <w:t>2</w:t>
            </w:r>
          </w:p>
        </w:tc>
      </w:tr>
      <w:tr w:rsidR="00B63FA2" w14:paraId="25144371" w14:textId="77777777" w:rsidTr="00B63FA2">
        <w:tc>
          <w:tcPr>
            <w:tcW w:w="2564" w:type="dxa"/>
          </w:tcPr>
          <w:p w14:paraId="6016F6DF" w14:textId="0118DC3F" w:rsidR="00B63FA2" w:rsidRDefault="00B63FA2" w:rsidP="00E61D07">
            <w:pPr>
              <w:rPr>
                <w:lang w:val="en-US"/>
              </w:rPr>
            </w:pPr>
            <w:r>
              <w:rPr>
                <w:lang w:val="en-US"/>
              </w:rPr>
              <w:t>Stillborn</w:t>
            </w:r>
          </w:p>
        </w:tc>
        <w:tc>
          <w:tcPr>
            <w:tcW w:w="1349" w:type="dxa"/>
          </w:tcPr>
          <w:p w14:paraId="6C09C1DE" w14:textId="7100484E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0.14±0.13</w:t>
            </w:r>
          </w:p>
        </w:tc>
        <w:tc>
          <w:tcPr>
            <w:tcW w:w="1349" w:type="dxa"/>
          </w:tcPr>
          <w:p w14:paraId="4D5F6153" w14:textId="3C9161BB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0.33±0.16</w:t>
            </w:r>
          </w:p>
        </w:tc>
        <w:tc>
          <w:tcPr>
            <w:tcW w:w="1254" w:type="dxa"/>
          </w:tcPr>
          <w:p w14:paraId="367D71A4" w14:textId="1F5F2C5C" w:rsidR="00B63FA2" w:rsidRDefault="006E03FC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5.04±0.15</w:t>
            </w:r>
          </w:p>
        </w:tc>
        <w:tc>
          <w:tcPr>
            <w:tcW w:w="1276" w:type="dxa"/>
          </w:tcPr>
          <w:p w14:paraId="5F259AC5" w14:textId="4B23C65B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</w:t>
            </w:r>
            <w:r>
              <w:rPr>
                <w:rFonts w:eastAsiaTheme="minorEastAsia"/>
                <w:lang w:val="en-US"/>
              </w:rPr>
              <w:t>±0.03</w:t>
            </w:r>
          </w:p>
        </w:tc>
        <w:tc>
          <w:tcPr>
            <w:tcW w:w="1224" w:type="dxa"/>
          </w:tcPr>
          <w:p w14:paraId="40AF6DCE" w14:textId="23930970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0.06±0.03</w:t>
            </w:r>
          </w:p>
        </w:tc>
      </w:tr>
      <w:tr w:rsidR="00B63FA2" w14:paraId="1B32C8BA" w14:textId="77777777" w:rsidTr="00B63FA2">
        <w:tc>
          <w:tcPr>
            <w:tcW w:w="2564" w:type="dxa"/>
          </w:tcPr>
          <w:p w14:paraId="156C0418" w14:textId="021D6467" w:rsidR="00B63FA2" w:rsidRDefault="00B63FA2" w:rsidP="00E61D07">
            <w:pPr>
              <w:rPr>
                <w:lang w:val="en-US"/>
              </w:rPr>
            </w:pPr>
            <w:r>
              <w:rPr>
                <w:lang w:val="en-US"/>
              </w:rPr>
              <w:t>Dystocia</w:t>
            </w:r>
          </w:p>
        </w:tc>
        <w:tc>
          <w:tcPr>
            <w:tcW w:w="1349" w:type="dxa"/>
          </w:tcPr>
          <w:p w14:paraId="6BE5CF7A" w14:textId="1E5AAEAC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6E03FC">
              <w:rPr>
                <w:lang w:val="en-US"/>
              </w:rPr>
              <w:t>17</w:t>
            </w:r>
            <w:r>
              <w:rPr>
                <w:rFonts w:eastAsiaTheme="minorEastAsia"/>
                <w:lang w:val="en-US"/>
              </w:rPr>
              <w:t>±0.1</w:t>
            </w:r>
            <w:r w:rsidR="006E03FC">
              <w:rPr>
                <w:rFonts w:eastAsiaTheme="minorEastAsia"/>
                <w:lang w:val="en-US"/>
              </w:rPr>
              <w:t>8</w:t>
            </w:r>
          </w:p>
        </w:tc>
        <w:tc>
          <w:tcPr>
            <w:tcW w:w="1349" w:type="dxa"/>
          </w:tcPr>
          <w:p w14:paraId="6A557574" w14:textId="48B037B1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  <w:r w:rsidR="006E03FC">
              <w:rPr>
                <w:lang w:val="en-US"/>
              </w:rPr>
              <w:t>5</w:t>
            </w:r>
            <w:r>
              <w:rPr>
                <w:rFonts w:eastAsiaTheme="minorEastAsia"/>
                <w:lang w:val="en-US"/>
              </w:rPr>
              <w:t>±0.26</w:t>
            </w:r>
          </w:p>
        </w:tc>
        <w:tc>
          <w:tcPr>
            <w:tcW w:w="1254" w:type="dxa"/>
          </w:tcPr>
          <w:p w14:paraId="3A94839F" w14:textId="7870C939" w:rsidR="00B63FA2" w:rsidRDefault="006E03FC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4.47±0.33</w:t>
            </w:r>
          </w:p>
        </w:tc>
        <w:tc>
          <w:tcPr>
            <w:tcW w:w="1276" w:type="dxa"/>
          </w:tcPr>
          <w:p w14:paraId="6B87BFF9" w14:textId="057D7F97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0.04±0.04</w:t>
            </w:r>
          </w:p>
        </w:tc>
        <w:tc>
          <w:tcPr>
            <w:tcW w:w="1224" w:type="dxa"/>
          </w:tcPr>
          <w:p w14:paraId="51DCB5AF" w14:textId="64E71D39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0.10±0.06</w:t>
            </w:r>
          </w:p>
        </w:tc>
      </w:tr>
      <w:tr w:rsidR="00B63FA2" w14:paraId="72CCCEA6" w14:textId="77777777" w:rsidTr="00B63FA2">
        <w:tc>
          <w:tcPr>
            <w:tcW w:w="2564" w:type="dxa"/>
          </w:tcPr>
          <w:p w14:paraId="064B4C5C" w14:textId="3AB3667F" w:rsidR="00B63FA2" w:rsidRDefault="00B63FA2" w:rsidP="00E61D07">
            <w:pPr>
              <w:rPr>
                <w:lang w:val="en-US"/>
              </w:rPr>
            </w:pPr>
            <w:r>
              <w:rPr>
                <w:lang w:val="en-US"/>
              </w:rPr>
              <w:t>Starvation/Mismothering or exposure</w:t>
            </w:r>
          </w:p>
        </w:tc>
        <w:tc>
          <w:tcPr>
            <w:tcW w:w="1349" w:type="dxa"/>
          </w:tcPr>
          <w:p w14:paraId="11BD0F29" w14:textId="6E42C0BA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6E03FC">
              <w:rPr>
                <w:lang w:val="en-US"/>
              </w:rPr>
              <w:t>1</w:t>
            </w:r>
            <w:r>
              <w:rPr>
                <w:lang w:val="en-US"/>
              </w:rPr>
              <w:t>5±0.</w:t>
            </w:r>
            <w:r w:rsidR="006E03FC">
              <w:rPr>
                <w:lang w:val="en-US"/>
              </w:rPr>
              <w:t>19</w:t>
            </w:r>
          </w:p>
        </w:tc>
        <w:tc>
          <w:tcPr>
            <w:tcW w:w="1349" w:type="dxa"/>
          </w:tcPr>
          <w:p w14:paraId="1CFB520B" w14:textId="0AE08A74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6E03FC">
              <w:rPr>
                <w:lang w:val="en-US"/>
              </w:rPr>
              <w:t>09</w:t>
            </w:r>
            <w:r>
              <w:rPr>
                <w:lang w:val="en-US"/>
              </w:rPr>
              <w:t>±0.1</w:t>
            </w:r>
            <w:r w:rsidR="006E03FC">
              <w:rPr>
                <w:lang w:val="en-US"/>
              </w:rPr>
              <w:t>6</w:t>
            </w:r>
          </w:p>
        </w:tc>
        <w:tc>
          <w:tcPr>
            <w:tcW w:w="1254" w:type="dxa"/>
          </w:tcPr>
          <w:p w14:paraId="4706D5AE" w14:textId="0BFE1130" w:rsidR="00B63FA2" w:rsidRDefault="006E03FC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4.65±0.20</w:t>
            </w:r>
          </w:p>
        </w:tc>
        <w:tc>
          <w:tcPr>
            <w:tcW w:w="1276" w:type="dxa"/>
          </w:tcPr>
          <w:p w14:paraId="708721AC" w14:textId="6E8A3457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0.03±0.04</w:t>
            </w:r>
          </w:p>
        </w:tc>
        <w:tc>
          <w:tcPr>
            <w:tcW w:w="1224" w:type="dxa"/>
          </w:tcPr>
          <w:p w14:paraId="0B23ADBC" w14:textId="2A393824" w:rsidR="00B63FA2" w:rsidRDefault="00B63FA2" w:rsidP="00E61D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0.02±0.03</w:t>
            </w:r>
          </w:p>
        </w:tc>
      </w:tr>
    </w:tbl>
    <w:p w14:paraId="02A9FAE7" w14:textId="77777777" w:rsidR="003C448C" w:rsidRPr="003C448C" w:rsidRDefault="003C448C" w:rsidP="00E61D07">
      <w:pPr>
        <w:rPr>
          <w:lang w:val="en-US"/>
        </w:rPr>
      </w:pPr>
    </w:p>
    <w:sectPr w:rsidR="003C448C" w:rsidRPr="003C448C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01BAF"/>
    <w:rsid w:val="000770DD"/>
    <w:rsid w:val="000B4280"/>
    <w:rsid w:val="000C2391"/>
    <w:rsid w:val="000E7AE2"/>
    <w:rsid w:val="0017786E"/>
    <w:rsid w:val="002148E2"/>
    <w:rsid w:val="002630C5"/>
    <w:rsid w:val="00332908"/>
    <w:rsid w:val="00383DCD"/>
    <w:rsid w:val="00397193"/>
    <w:rsid w:val="003C448C"/>
    <w:rsid w:val="005A382F"/>
    <w:rsid w:val="005F225C"/>
    <w:rsid w:val="00625B14"/>
    <w:rsid w:val="006E03FC"/>
    <w:rsid w:val="007B30E3"/>
    <w:rsid w:val="00814214"/>
    <w:rsid w:val="00821D12"/>
    <w:rsid w:val="00887145"/>
    <w:rsid w:val="00905ED9"/>
    <w:rsid w:val="00933E8C"/>
    <w:rsid w:val="009538AC"/>
    <w:rsid w:val="009728EB"/>
    <w:rsid w:val="009A40DD"/>
    <w:rsid w:val="00A16ACA"/>
    <w:rsid w:val="00A261C1"/>
    <w:rsid w:val="00AB34B3"/>
    <w:rsid w:val="00B14617"/>
    <w:rsid w:val="00B50020"/>
    <w:rsid w:val="00B52E4E"/>
    <w:rsid w:val="00B63FA2"/>
    <w:rsid w:val="00C53AE2"/>
    <w:rsid w:val="00C95030"/>
    <w:rsid w:val="00D02261"/>
    <w:rsid w:val="00D92C87"/>
    <w:rsid w:val="00DB6A35"/>
    <w:rsid w:val="00DD21B5"/>
    <w:rsid w:val="00E27EE6"/>
    <w:rsid w:val="00E4472B"/>
    <w:rsid w:val="00E61D07"/>
    <w:rsid w:val="00EB3E01"/>
    <w:rsid w:val="00E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D07"/>
    <w:rPr>
      <w:color w:val="666666"/>
    </w:rPr>
  </w:style>
  <w:style w:type="paragraph" w:styleId="Revision">
    <w:name w:val="Revision"/>
    <w:hidden/>
    <w:uiPriority w:val="99"/>
    <w:semiHidden/>
    <w:rsid w:val="00D022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2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Kim Hay</cp:lastModifiedBy>
  <cp:revision>3</cp:revision>
  <dcterms:created xsi:type="dcterms:W3CDTF">2024-12-23T10:47:00Z</dcterms:created>
  <dcterms:modified xsi:type="dcterms:W3CDTF">2024-12-23T10:59:00Z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