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A54B" w14:textId="6D102113" w:rsidR="0070779A" w:rsidRDefault="0070779A">
      <w:pPr>
        <w:rPr>
          <w:b/>
          <w:lang w:val="en-US"/>
        </w:rPr>
      </w:pPr>
      <w:r w:rsidRPr="00B3177A">
        <w:rPr>
          <w:b/>
          <w:lang w:val="en-US"/>
        </w:rPr>
        <w:t>Application</w:t>
      </w:r>
    </w:p>
    <w:p w14:paraId="4F6A6655" w14:textId="50A63C65" w:rsidR="000A1B9B" w:rsidRDefault="000A1B9B">
      <w:pPr>
        <w:rPr>
          <w:lang w:val="en-US"/>
        </w:rPr>
      </w:pPr>
      <w:proofErr w:type="spellStart"/>
      <w:r>
        <w:rPr>
          <w:lang w:val="en-US"/>
        </w:rPr>
        <w:t>Subfertile</w:t>
      </w:r>
      <w:proofErr w:type="spellEnd"/>
      <w:r>
        <w:rPr>
          <w:lang w:val="en-US"/>
        </w:rPr>
        <w:t xml:space="preserve"> mares are a common challenge, with both conception failure and early embryo loss frequently reported (</w:t>
      </w:r>
      <w:proofErr w:type="spellStart"/>
      <w:r>
        <w:rPr>
          <w:lang w:val="en-US"/>
        </w:rPr>
        <w:t>Petroski</w:t>
      </w:r>
      <w:proofErr w:type="spellEnd"/>
      <w:r>
        <w:rPr>
          <w:lang w:val="en-US"/>
        </w:rPr>
        <w:t xml:space="preserve">-Rose 2018), causing </w:t>
      </w:r>
      <w:r w:rsidR="008A3779">
        <w:rPr>
          <w:lang w:val="en-US"/>
        </w:rPr>
        <w:t>stress</w:t>
      </w:r>
      <w:r>
        <w:rPr>
          <w:lang w:val="en-US"/>
        </w:rPr>
        <w:t xml:space="preserve"> and financial loss. </w:t>
      </w:r>
    </w:p>
    <w:p w14:paraId="70AE0FE6" w14:textId="67481A65" w:rsidR="002578A6" w:rsidRDefault="005A5911">
      <w:pPr>
        <w:rPr>
          <w:lang w:val="en-US"/>
        </w:rPr>
      </w:pPr>
      <w:r>
        <w:rPr>
          <w:lang w:val="en-US"/>
        </w:rPr>
        <w:t>Poor fertility is often age related (</w:t>
      </w:r>
      <w:proofErr w:type="spellStart"/>
      <w:r>
        <w:rPr>
          <w:lang w:val="en-US"/>
        </w:rPr>
        <w:t>Carnevale</w:t>
      </w:r>
      <w:proofErr w:type="spellEnd"/>
      <w:r>
        <w:rPr>
          <w:lang w:val="en-US"/>
        </w:rPr>
        <w:t xml:space="preserve"> et al 2020), as horses are unusual within livestock being frequently primiparous in teenage years following an earlier, ridden, career.</w:t>
      </w:r>
      <w:r w:rsidR="008D3D8E">
        <w:rPr>
          <w:lang w:val="en-US"/>
        </w:rPr>
        <w:t xml:space="preserve"> There is an unmet need for practical, commercial solutions to maximize mare reproductive success, particularly in older</w:t>
      </w:r>
      <w:r w:rsidR="002578A6">
        <w:rPr>
          <w:lang w:val="en-US"/>
        </w:rPr>
        <w:t xml:space="preserve"> </w:t>
      </w:r>
      <w:r w:rsidR="008D3D8E">
        <w:rPr>
          <w:lang w:val="en-US"/>
        </w:rPr>
        <w:t xml:space="preserve">primiparous </w:t>
      </w:r>
      <w:r w:rsidR="002578A6">
        <w:rPr>
          <w:lang w:val="en-US"/>
        </w:rPr>
        <w:t xml:space="preserve">mares, and in competition mares where embryo collection needs to </w:t>
      </w:r>
      <w:proofErr w:type="gramStart"/>
      <w:r w:rsidR="002578A6">
        <w:rPr>
          <w:lang w:val="en-US"/>
        </w:rPr>
        <w:t>be timed</w:t>
      </w:r>
      <w:proofErr w:type="gramEnd"/>
      <w:r w:rsidR="002578A6">
        <w:rPr>
          <w:lang w:val="en-US"/>
        </w:rPr>
        <w:t xml:space="preserve"> within a competition schedule. </w:t>
      </w:r>
    </w:p>
    <w:p w14:paraId="6FA29CC9" w14:textId="1DEDA0A7" w:rsidR="0022424B" w:rsidRDefault="005A5911">
      <w:pPr>
        <w:rPr>
          <w:lang w:val="en-US"/>
        </w:rPr>
      </w:pPr>
      <w:r>
        <w:rPr>
          <w:lang w:val="en-US"/>
        </w:rPr>
        <w:t xml:space="preserve">For competition mares the convenience of a single appointment around her competition schedule, which can include outside the breeding season, makes ovum pick-up an attractive option. </w:t>
      </w:r>
      <w:r w:rsidR="0022424B">
        <w:rPr>
          <w:lang w:val="en-US"/>
        </w:rPr>
        <w:t xml:space="preserve">Assisted Reproductive Technologies </w:t>
      </w:r>
      <w:proofErr w:type="gramStart"/>
      <w:r w:rsidR="0022424B">
        <w:rPr>
          <w:lang w:val="en-US"/>
        </w:rPr>
        <w:t>are established</w:t>
      </w:r>
      <w:proofErr w:type="gramEnd"/>
      <w:r w:rsidR="0022424B">
        <w:rPr>
          <w:lang w:val="en-US"/>
        </w:rPr>
        <w:t xml:space="preserve"> in broodmares both to optimize success in sub-fertile females, and to offer convenient options for competition mares. </w:t>
      </w:r>
    </w:p>
    <w:p w14:paraId="6955C246" w14:textId="77777777" w:rsidR="0092287F" w:rsidRPr="00B3177A" w:rsidRDefault="0092287F">
      <w:pPr>
        <w:rPr>
          <w:lang w:val="en-US"/>
        </w:rPr>
      </w:pPr>
    </w:p>
    <w:p w14:paraId="3E2B60F4" w14:textId="05E832FB" w:rsidR="0070779A" w:rsidRDefault="0070779A">
      <w:pPr>
        <w:rPr>
          <w:b/>
          <w:lang w:val="en-US"/>
        </w:rPr>
      </w:pPr>
      <w:r w:rsidRPr="00B3177A">
        <w:rPr>
          <w:b/>
          <w:lang w:val="en-US"/>
        </w:rPr>
        <w:t>Introduction</w:t>
      </w:r>
    </w:p>
    <w:p w14:paraId="7B5ED7AB" w14:textId="375FAF5C" w:rsidR="00BF2267" w:rsidRDefault="0092287F">
      <w:pPr>
        <w:rPr>
          <w:lang w:val="en-US"/>
        </w:rPr>
      </w:pPr>
      <w:r>
        <w:rPr>
          <w:lang w:val="en-US"/>
        </w:rPr>
        <w:t xml:space="preserve">Previous research has shown the benefit of supplementing the diet for mare fertility as a simple, practical option for owners and stud </w:t>
      </w:r>
      <w:proofErr w:type="gramStart"/>
      <w:r>
        <w:rPr>
          <w:lang w:val="en-US"/>
        </w:rPr>
        <w:t>managers</w:t>
      </w:r>
      <w:proofErr w:type="gramEnd"/>
      <w:r>
        <w:rPr>
          <w:lang w:val="en-US"/>
        </w:rPr>
        <w:t xml:space="preserve"> alike (</w:t>
      </w:r>
      <w:proofErr w:type="spellStart"/>
      <w:r>
        <w:rPr>
          <w:lang w:val="en-US"/>
        </w:rPr>
        <w:t>Cantandi</w:t>
      </w:r>
      <w:proofErr w:type="spellEnd"/>
      <w:r>
        <w:rPr>
          <w:lang w:val="en-US"/>
        </w:rPr>
        <w:t xml:space="preserve"> et al 2022). Complementary feeds specifically targeting broodmare fertility are limited, </w:t>
      </w:r>
      <w:r w:rsidR="000A1B9B">
        <w:rPr>
          <w:lang w:val="en-US"/>
        </w:rPr>
        <w:t>yet there is a</w:t>
      </w:r>
      <w:r>
        <w:rPr>
          <w:lang w:val="en-US"/>
        </w:rPr>
        <w:t xml:space="preserve"> window of opportunity for dietary interventions, from eight weeks prior to covering through to first pregnancy confirmation scan. </w:t>
      </w:r>
    </w:p>
    <w:p w14:paraId="6CD735BC" w14:textId="35849364" w:rsidR="0022424B" w:rsidRDefault="006B025A">
      <w:pPr>
        <w:rPr>
          <w:lang w:val="en-US"/>
        </w:rPr>
      </w:pPr>
      <w:r>
        <w:rPr>
          <w:lang w:val="en-US"/>
        </w:rPr>
        <w:t xml:space="preserve">The project aimed to test a dietary approach to mare </w:t>
      </w:r>
      <w:r w:rsidR="008D3D8E">
        <w:rPr>
          <w:lang w:val="en-US"/>
        </w:rPr>
        <w:t>sub-fertility</w:t>
      </w:r>
      <w:r>
        <w:rPr>
          <w:lang w:val="en-US"/>
        </w:rPr>
        <w:t xml:space="preserve">. </w:t>
      </w:r>
      <w:r w:rsidR="005A5911">
        <w:rPr>
          <w:lang w:val="en-US"/>
        </w:rPr>
        <w:t xml:space="preserve">The novel feed trialled is a unique complex of key micronutrients, including </w:t>
      </w:r>
      <w:r w:rsidR="002578A6">
        <w:rPr>
          <w:lang w:val="en-US"/>
        </w:rPr>
        <w:t xml:space="preserve">digestibility enhancers, omega fatty acids, </w:t>
      </w:r>
      <w:proofErr w:type="gramStart"/>
      <w:r w:rsidR="002578A6">
        <w:rPr>
          <w:lang w:val="en-US"/>
        </w:rPr>
        <w:t>chelated</w:t>
      </w:r>
      <w:proofErr w:type="gramEnd"/>
      <w:r w:rsidR="002578A6">
        <w:rPr>
          <w:lang w:val="en-US"/>
        </w:rPr>
        <w:t xml:space="preserve"> trace elements, together with</w:t>
      </w:r>
      <w:r w:rsidR="005A5911">
        <w:rPr>
          <w:lang w:val="en-US"/>
        </w:rPr>
        <w:t xml:space="preserve"> vitamins </w:t>
      </w:r>
      <w:r w:rsidR="002578A6">
        <w:rPr>
          <w:lang w:val="en-US"/>
        </w:rPr>
        <w:t xml:space="preserve">recognised </w:t>
      </w:r>
      <w:r w:rsidR="005A5911">
        <w:rPr>
          <w:lang w:val="en-US"/>
        </w:rPr>
        <w:t xml:space="preserve">for </w:t>
      </w:r>
      <w:proofErr w:type="spellStart"/>
      <w:r w:rsidR="005A5911">
        <w:rPr>
          <w:lang w:val="en-US"/>
        </w:rPr>
        <w:t>oestrus</w:t>
      </w:r>
      <w:proofErr w:type="spellEnd"/>
      <w:r w:rsidR="005A5911">
        <w:rPr>
          <w:lang w:val="en-US"/>
        </w:rPr>
        <w:t xml:space="preserve"> an</w:t>
      </w:r>
      <w:r w:rsidR="002578A6">
        <w:rPr>
          <w:lang w:val="en-US"/>
        </w:rPr>
        <w:t>d reproduction</w:t>
      </w:r>
      <w:r w:rsidR="005A5911">
        <w:rPr>
          <w:lang w:val="en-US"/>
        </w:rPr>
        <w:t xml:space="preserve"> as detailed in EU and UK regulations on feed for particular nutritional purposes (</w:t>
      </w:r>
      <w:r w:rsidR="009D48C3">
        <w:rPr>
          <w:lang w:val="en-US"/>
        </w:rPr>
        <w:t xml:space="preserve">EU </w:t>
      </w:r>
      <w:r w:rsidR="005A5911">
        <w:rPr>
          <w:lang w:val="en-US"/>
        </w:rPr>
        <w:t>C</w:t>
      </w:r>
      <w:r w:rsidR="002578A6">
        <w:rPr>
          <w:lang w:val="en-US"/>
        </w:rPr>
        <w:t>ommission Regulation. 2020</w:t>
      </w:r>
      <w:r w:rsidR="005A5911">
        <w:rPr>
          <w:lang w:val="en-US"/>
        </w:rPr>
        <w:t>)</w:t>
      </w:r>
      <w:r>
        <w:rPr>
          <w:lang w:val="en-US"/>
        </w:rPr>
        <w:t>.</w:t>
      </w:r>
    </w:p>
    <w:p w14:paraId="05290D65" w14:textId="67037615" w:rsidR="0092287F" w:rsidRPr="0092287F" w:rsidRDefault="0092287F">
      <w:pPr>
        <w:rPr>
          <w:lang w:val="en-US"/>
        </w:rPr>
      </w:pPr>
    </w:p>
    <w:p w14:paraId="0084C585" w14:textId="58F848F1" w:rsidR="0070779A" w:rsidRDefault="0070779A">
      <w:pPr>
        <w:rPr>
          <w:b/>
          <w:lang w:val="en-US"/>
        </w:rPr>
      </w:pPr>
      <w:r w:rsidRPr="00B3177A">
        <w:rPr>
          <w:b/>
          <w:lang w:val="en-US"/>
        </w:rPr>
        <w:t>Materials and Methods</w:t>
      </w:r>
    </w:p>
    <w:p w14:paraId="2C745D3F" w14:textId="759D13B9" w:rsidR="001618FF" w:rsidRDefault="001618FF">
      <w:pPr>
        <w:rPr>
          <w:lang w:val="en-US"/>
        </w:rPr>
      </w:pPr>
      <w:r>
        <w:rPr>
          <w:lang w:val="en-US"/>
        </w:rPr>
        <w:t xml:space="preserve">The trial used mares recruited to an ovum pick-up and intracytoplasmic sperm injection programme as a way to quantify </w:t>
      </w:r>
      <w:r w:rsidR="00080F4E">
        <w:rPr>
          <w:lang w:val="en-US"/>
        </w:rPr>
        <w:t xml:space="preserve">oocyte numbers and </w:t>
      </w:r>
      <w:r>
        <w:rPr>
          <w:lang w:val="en-US"/>
        </w:rPr>
        <w:t xml:space="preserve">successful </w:t>
      </w:r>
      <w:r w:rsidR="00473F53">
        <w:rPr>
          <w:lang w:val="en-US"/>
        </w:rPr>
        <w:t>blastocyst formation</w:t>
      </w:r>
      <w:r w:rsidR="008D3D8E">
        <w:rPr>
          <w:lang w:val="en-US"/>
        </w:rPr>
        <w:t>,</w:t>
      </w:r>
      <w:r w:rsidR="00473F53">
        <w:rPr>
          <w:lang w:val="en-US"/>
        </w:rPr>
        <w:t xml:space="preserve"> </w:t>
      </w:r>
      <w:r>
        <w:rPr>
          <w:lang w:val="en-US"/>
        </w:rPr>
        <w:t>not</w:t>
      </w:r>
      <w:r w:rsidR="008D3D8E">
        <w:rPr>
          <w:lang w:val="en-US"/>
        </w:rPr>
        <w:t xml:space="preserve"> easily</w:t>
      </w:r>
      <w:r>
        <w:rPr>
          <w:lang w:val="en-US"/>
        </w:rPr>
        <w:t xml:space="preserve"> possible in the naturally covered mare. </w:t>
      </w:r>
    </w:p>
    <w:p w14:paraId="48132097" w14:textId="6B7E11D8" w:rsidR="007857B5" w:rsidRDefault="006F54D9">
      <w:pPr>
        <w:rPr>
          <w:lang w:val="en-US"/>
        </w:rPr>
      </w:pPr>
      <w:r>
        <w:rPr>
          <w:lang w:val="en-US"/>
        </w:rPr>
        <w:t>All mares</w:t>
      </w:r>
      <w:r w:rsidR="002578A6">
        <w:rPr>
          <w:lang w:val="en-US"/>
        </w:rPr>
        <w:t xml:space="preserve"> (Treatment group n=28, No-treatment group </w:t>
      </w:r>
      <w:r>
        <w:rPr>
          <w:lang w:val="en-US"/>
        </w:rPr>
        <w:t xml:space="preserve">n=31), were fed a standard broodmare basal diet. </w:t>
      </w:r>
      <w:r w:rsidR="00D97158">
        <w:rPr>
          <w:lang w:val="en-US"/>
        </w:rPr>
        <w:t>T</w:t>
      </w:r>
      <w:r>
        <w:rPr>
          <w:lang w:val="en-US"/>
        </w:rPr>
        <w:t xml:space="preserve">reatment group also received the </w:t>
      </w:r>
      <w:r w:rsidR="007857B5">
        <w:rPr>
          <w:lang w:val="en-US"/>
        </w:rPr>
        <w:t>novel feed daily</w:t>
      </w:r>
      <w:r w:rsidR="002578A6">
        <w:rPr>
          <w:lang w:val="en-US"/>
        </w:rPr>
        <w:t xml:space="preserve">. How long they received the feed was dependent on when </w:t>
      </w:r>
      <w:r>
        <w:rPr>
          <w:lang w:val="en-US"/>
        </w:rPr>
        <w:t>they entered the programme,</w:t>
      </w:r>
      <w:r w:rsidR="002578A6">
        <w:rPr>
          <w:lang w:val="en-US"/>
        </w:rPr>
        <w:t xml:space="preserve"> and whether more than one three-week cycle</w:t>
      </w:r>
      <w:r>
        <w:rPr>
          <w:lang w:val="en-US"/>
        </w:rPr>
        <w:t xml:space="preserve"> was required</w:t>
      </w:r>
      <w:r w:rsidR="007857B5">
        <w:rPr>
          <w:lang w:val="en-US"/>
        </w:rPr>
        <w:t>.</w:t>
      </w:r>
      <w:r>
        <w:rPr>
          <w:lang w:val="en-US"/>
        </w:rPr>
        <w:t xml:space="preserve"> </w:t>
      </w:r>
      <w:r w:rsidR="007857B5">
        <w:rPr>
          <w:lang w:val="en-US"/>
        </w:rPr>
        <w:t xml:space="preserve"> </w:t>
      </w:r>
      <w:r w:rsidR="00197AF3">
        <w:rPr>
          <w:lang w:val="en-US"/>
        </w:rPr>
        <w:t xml:space="preserve">Mares </w:t>
      </w:r>
      <w:proofErr w:type="gramStart"/>
      <w:r w:rsidR="00197AF3">
        <w:rPr>
          <w:lang w:val="en-US"/>
        </w:rPr>
        <w:t>were housed</w:t>
      </w:r>
      <w:proofErr w:type="gramEnd"/>
      <w:r w:rsidR="00197AF3">
        <w:rPr>
          <w:lang w:val="en-US"/>
        </w:rPr>
        <w:t xml:space="preserve"> either at a veterinary clinic, commercial stud or in private yards. All mares were non-lactating and predominantly Warmblood </w:t>
      </w:r>
      <w:r w:rsidR="002578A6">
        <w:rPr>
          <w:lang w:val="en-US"/>
        </w:rPr>
        <w:t>breed. Ages range</w:t>
      </w:r>
      <w:r w:rsidR="00441FA3">
        <w:rPr>
          <w:lang w:val="en-US"/>
        </w:rPr>
        <w:t xml:space="preserve">d from 14 to </w:t>
      </w:r>
      <w:r w:rsidR="006E742D">
        <w:rPr>
          <w:lang w:val="en-US"/>
        </w:rPr>
        <w:t>22 years</w:t>
      </w:r>
      <w:r w:rsidR="00197AF3">
        <w:rPr>
          <w:lang w:val="en-US"/>
        </w:rPr>
        <w:t xml:space="preserve"> Treatment</w:t>
      </w:r>
      <w:r w:rsidR="006E742D">
        <w:rPr>
          <w:lang w:val="en-US"/>
        </w:rPr>
        <w:t>,</w:t>
      </w:r>
      <w:r w:rsidR="00441FA3">
        <w:rPr>
          <w:lang w:val="en-US"/>
        </w:rPr>
        <w:t xml:space="preserve"> and 4 to </w:t>
      </w:r>
      <w:r w:rsidR="00197AF3">
        <w:rPr>
          <w:lang w:val="en-US"/>
        </w:rPr>
        <w:t xml:space="preserve">24 </w:t>
      </w:r>
      <w:r w:rsidR="00757C7E">
        <w:rPr>
          <w:lang w:val="en-US"/>
        </w:rPr>
        <w:t xml:space="preserve">years </w:t>
      </w:r>
      <w:r w:rsidR="00197AF3">
        <w:rPr>
          <w:lang w:val="en-US"/>
        </w:rPr>
        <w:t>No-treatment.</w:t>
      </w:r>
      <w:r w:rsidR="006E742D">
        <w:rPr>
          <w:lang w:val="en-US"/>
        </w:rPr>
        <w:t xml:space="preserve"> </w:t>
      </w:r>
    </w:p>
    <w:p w14:paraId="731631C5" w14:textId="68347FB9" w:rsidR="00757C7E" w:rsidRDefault="00757C7E">
      <w:pPr>
        <w:rPr>
          <w:lang w:val="en-US"/>
        </w:rPr>
      </w:pPr>
      <w:r>
        <w:rPr>
          <w:lang w:val="en-US"/>
        </w:rPr>
        <w:t>Average number of oocytes, maturation rate, cleavage rate, blastocyst rate, percentage successful sessions</w:t>
      </w:r>
      <w:r w:rsidR="008D3D8E">
        <w:rPr>
          <w:lang w:val="en-US"/>
        </w:rPr>
        <w:t xml:space="preserve"> (ovum pick-up </w:t>
      </w:r>
      <w:r w:rsidR="008D3D8E" w:rsidRPr="008D3D8E">
        <w:rPr>
          <w:u w:val="single"/>
          <w:lang w:val="en-US"/>
        </w:rPr>
        <w:t>&gt;</w:t>
      </w:r>
      <w:r w:rsidR="008D3D8E">
        <w:rPr>
          <w:lang w:val="en-US"/>
        </w:rPr>
        <w:t xml:space="preserve"> 1 embryo)</w:t>
      </w:r>
      <w:r>
        <w:rPr>
          <w:lang w:val="en-US"/>
        </w:rPr>
        <w:t xml:space="preserve"> and average freeze day following</w:t>
      </w:r>
      <w:r w:rsidR="006F54D9">
        <w:rPr>
          <w:lang w:val="en-US"/>
        </w:rPr>
        <w:t xml:space="preserve"> sperm injection were assessed by in vitro analysis. </w:t>
      </w:r>
    </w:p>
    <w:p w14:paraId="0565F3F5" w14:textId="2FFCE5E0" w:rsidR="00757C7E" w:rsidRPr="007857B5" w:rsidRDefault="00757C7E">
      <w:pPr>
        <w:rPr>
          <w:lang w:val="en-US"/>
        </w:rPr>
      </w:pPr>
      <w:r>
        <w:rPr>
          <w:lang w:val="en-US"/>
        </w:rPr>
        <w:t xml:space="preserve">Statistical analysis used an unpaired t-test for average oocyte numbers, ages and freeze days. Fisher’s exact tests </w:t>
      </w:r>
      <w:proofErr w:type="gramStart"/>
      <w:r>
        <w:rPr>
          <w:lang w:val="en-US"/>
        </w:rPr>
        <w:t>were used</w:t>
      </w:r>
      <w:proofErr w:type="gramEnd"/>
      <w:r>
        <w:rPr>
          <w:lang w:val="en-US"/>
        </w:rPr>
        <w:t xml:space="preserve"> to </w:t>
      </w: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maturation, cleavage and blastocyst rate between groups. </w:t>
      </w:r>
    </w:p>
    <w:p w14:paraId="1A0BB6DF" w14:textId="77777777" w:rsidR="00584A57" w:rsidRDefault="00584A57">
      <w:pPr>
        <w:rPr>
          <w:b/>
          <w:lang w:val="en-US"/>
        </w:rPr>
      </w:pPr>
    </w:p>
    <w:p w14:paraId="4E733658" w14:textId="01DB8467" w:rsidR="0070779A" w:rsidRDefault="00584A57">
      <w:pPr>
        <w:rPr>
          <w:b/>
          <w:lang w:val="en-US"/>
        </w:rPr>
      </w:pPr>
      <w:r>
        <w:rPr>
          <w:b/>
          <w:lang w:val="en-US"/>
        </w:rPr>
        <w:lastRenderedPageBreak/>
        <w:t>Result</w:t>
      </w:r>
    </w:p>
    <w:p w14:paraId="7E8AAB0E" w14:textId="076DBC72" w:rsidR="007F1E96" w:rsidRDefault="005C3BEC">
      <w:pPr>
        <w:rPr>
          <w:lang w:val="en-US"/>
        </w:rPr>
      </w:pPr>
      <w:r>
        <w:rPr>
          <w:lang w:val="en-US"/>
        </w:rPr>
        <w:t xml:space="preserve">Data </w:t>
      </w:r>
      <w:proofErr w:type="gramStart"/>
      <w:r w:rsidR="004D04E7">
        <w:rPr>
          <w:lang w:val="en-US"/>
        </w:rPr>
        <w:t>were</w:t>
      </w:r>
      <w:r>
        <w:rPr>
          <w:lang w:val="en-US"/>
        </w:rPr>
        <w:t xml:space="preserve"> split</w:t>
      </w:r>
      <w:proofErr w:type="gramEnd"/>
      <w:r>
        <w:rPr>
          <w:lang w:val="en-US"/>
        </w:rPr>
        <w:t xml:space="preserve"> into three groups</w:t>
      </w:r>
      <w:r w:rsidR="008A5AD9">
        <w:rPr>
          <w:lang w:val="en-US"/>
        </w:rPr>
        <w:t xml:space="preserve"> for analysis. Firstly</w:t>
      </w:r>
      <w:r w:rsidR="004E3C64">
        <w:rPr>
          <w:lang w:val="en-US"/>
        </w:rPr>
        <w:t>,</w:t>
      </w:r>
      <w:r w:rsidR="008A5AD9">
        <w:rPr>
          <w:lang w:val="en-US"/>
        </w:rPr>
        <w:t xml:space="preserve"> total</w:t>
      </w:r>
      <w:r w:rsidR="001664E5">
        <w:rPr>
          <w:lang w:val="en-US"/>
        </w:rPr>
        <w:t xml:space="preserve"> ovum pick-up sessions</w:t>
      </w:r>
      <w:r>
        <w:rPr>
          <w:lang w:val="en-US"/>
        </w:rPr>
        <w:t xml:space="preserve"> in each group</w:t>
      </w:r>
      <w:r w:rsidR="001664E5">
        <w:rPr>
          <w:lang w:val="en-US"/>
        </w:rPr>
        <w:t xml:space="preserve"> (Tre</w:t>
      </w:r>
      <w:r w:rsidR="004E3C64">
        <w:rPr>
          <w:lang w:val="en-US"/>
        </w:rPr>
        <w:t>atment n=31, No-treatment n=34). S</w:t>
      </w:r>
      <w:r w:rsidR="001664E5">
        <w:rPr>
          <w:lang w:val="en-US"/>
        </w:rPr>
        <w:t>econdly</w:t>
      </w:r>
      <w:r w:rsidR="004E3C64">
        <w:rPr>
          <w:lang w:val="en-US"/>
        </w:rPr>
        <w:t>,</w:t>
      </w:r>
      <w:r w:rsidR="001664E5">
        <w:rPr>
          <w:lang w:val="en-US"/>
        </w:rPr>
        <w:t xml:space="preserve"> sessions</w:t>
      </w:r>
      <w:r>
        <w:rPr>
          <w:lang w:val="en-US"/>
        </w:rPr>
        <w:t xml:space="preserve"> </w:t>
      </w:r>
      <w:r w:rsidR="001664E5">
        <w:rPr>
          <w:lang w:val="en-US"/>
        </w:rPr>
        <w:t xml:space="preserve">with mares </w:t>
      </w:r>
      <w:r>
        <w:rPr>
          <w:lang w:val="en-US"/>
        </w:rPr>
        <w:t>over 15 years old</w:t>
      </w:r>
      <w:r w:rsidR="001664E5">
        <w:rPr>
          <w:lang w:val="en-US"/>
        </w:rPr>
        <w:t xml:space="preserve"> (Treatment n=22, No-treatment n=12)</w:t>
      </w:r>
      <w:r w:rsidR="002578A6">
        <w:rPr>
          <w:lang w:val="en-US"/>
        </w:rPr>
        <w:t xml:space="preserve"> to reflect the particular challenge in older mares. F</w:t>
      </w:r>
      <w:r>
        <w:rPr>
          <w:lang w:val="en-US"/>
        </w:rPr>
        <w:t>inally</w:t>
      </w:r>
      <w:r w:rsidR="004E3C64">
        <w:rPr>
          <w:lang w:val="en-US"/>
        </w:rPr>
        <w:t>,</w:t>
      </w:r>
      <w:r>
        <w:rPr>
          <w:lang w:val="en-US"/>
        </w:rPr>
        <w:t xml:space="preserve"> </w:t>
      </w:r>
      <w:r w:rsidR="004D04E7">
        <w:rPr>
          <w:lang w:val="en-US"/>
        </w:rPr>
        <w:t xml:space="preserve">data from </w:t>
      </w:r>
      <w:r>
        <w:rPr>
          <w:lang w:val="en-US"/>
        </w:rPr>
        <w:t xml:space="preserve">mares over 15 years old </w:t>
      </w:r>
      <w:r w:rsidR="004D04E7">
        <w:rPr>
          <w:lang w:val="en-US"/>
        </w:rPr>
        <w:t>receiving the diet for a</w:t>
      </w:r>
      <w:r>
        <w:rPr>
          <w:lang w:val="en-US"/>
        </w:rPr>
        <w:t xml:space="preserve"> minimum of four weeks</w:t>
      </w:r>
      <w:r w:rsidR="001664E5">
        <w:rPr>
          <w:lang w:val="en-US"/>
        </w:rPr>
        <w:t xml:space="preserve"> (n=15)</w:t>
      </w:r>
      <w:r w:rsidR="002578A6">
        <w:rPr>
          <w:lang w:val="en-US"/>
        </w:rPr>
        <w:t xml:space="preserve"> to see effect of time on treatment</w:t>
      </w:r>
      <w:r w:rsidR="00FA34FD">
        <w:rPr>
          <w:lang w:val="en-US"/>
        </w:rPr>
        <w:t xml:space="preserve">. For no-treatment, </w:t>
      </w:r>
      <w:r w:rsidR="008A5AD9">
        <w:rPr>
          <w:lang w:val="en-US"/>
        </w:rPr>
        <w:t xml:space="preserve">the final group were sessions where </w:t>
      </w:r>
      <w:proofErr w:type="gramStart"/>
      <w:r w:rsidR="008A5AD9">
        <w:rPr>
          <w:lang w:val="en-US"/>
        </w:rPr>
        <w:t>age-group</w:t>
      </w:r>
      <w:proofErr w:type="gramEnd"/>
      <w:r w:rsidR="008A5AD9">
        <w:rPr>
          <w:lang w:val="en-US"/>
        </w:rPr>
        <w:t xml:space="preserve"> and</w:t>
      </w:r>
      <w:r w:rsidR="002578A6">
        <w:rPr>
          <w:lang w:val="en-US"/>
        </w:rPr>
        <w:t xml:space="preserve"> a minimum of four weeks in the programme</w:t>
      </w:r>
      <w:r w:rsidR="008A5AD9">
        <w:rPr>
          <w:lang w:val="en-US"/>
        </w:rPr>
        <w:t xml:space="preserve"> aligned</w:t>
      </w:r>
      <w:r w:rsidR="001664E5">
        <w:rPr>
          <w:lang w:val="en-US"/>
        </w:rPr>
        <w:t xml:space="preserve">, but no specific dietary change (n=10). </w:t>
      </w:r>
    </w:p>
    <w:p w14:paraId="5D730D74" w14:textId="073DE209" w:rsidR="005C3BEC" w:rsidRDefault="005C3BEC">
      <w:pPr>
        <w:rPr>
          <w:lang w:val="en-US"/>
        </w:rPr>
      </w:pPr>
      <w:r>
        <w:rPr>
          <w:lang w:val="en-US"/>
        </w:rPr>
        <w:t>No significant difference (p&lt;0.05) was found between groups in any parameters. However, a clearly higher proportion of successful sessions</w:t>
      </w:r>
      <w:r w:rsidR="00D97158">
        <w:rPr>
          <w:lang w:val="en-US"/>
        </w:rPr>
        <w:t xml:space="preserve"> </w:t>
      </w:r>
      <w:proofErr w:type="gramStart"/>
      <w:r w:rsidR="00D97158">
        <w:rPr>
          <w:lang w:val="en-US"/>
        </w:rPr>
        <w:t>were seen</w:t>
      </w:r>
      <w:proofErr w:type="gramEnd"/>
      <w:r w:rsidR="00D97158">
        <w:rPr>
          <w:lang w:val="en-US"/>
        </w:rPr>
        <w:t xml:space="preserve"> in the T</w:t>
      </w:r>
      <w:r>
        <w:rPr>
          <w:lang w:val="en-US"/>
        </w:rPr>
        <w:t xml:space="preserve">reatment </w:t>
      </w:r>
      <w:r w:rsidR="00D97158">
        <w:rPr>
          <w:lang w:val="en-US"/>
        </w:rPr>
        <w:t>group compared to N</w:t>
      </w:r>
      <w:r w:rsidR="001664E5">
        <w:rPr>
          <w:lang w:val="en-US"/>
        </w:rPr>
        <w:t>o-</w:t>
      </w:r>
      <w:r w:rsidR="00DE6C6B">
        <w:rPr>
          <w:lang w:val="en-US"/>
        </w:rPr>
        <w:t>treatment. T</w:t>
      </w:r>
      <w:r>
        <w:rPr>
          <w:lang w:val="en-US"/>
        </w:rPr>
        <w:t xml:space="preserve">his trend strengthened for mares over 15 </w:t>
      </w:r>
      <w:proofErr w:type="gramStart"/>
      <w:r>
        <w:rPr>
          <w:lang w:val="en-US"/>
        </w:rPr>
        <w:t>years,</w:t>
      </w:r>
      <w:proofErr w:type="gramEnd"/>
      <w:r>
        <w:rPr>
          <w:lang w:val="en-US"/>
        </w:rPr>
        <w:t xml:space="preserve"> and further for the group over 15 years and after four weeks of diet (Figure 1).</w:t>
      </w:r>
    </w:p>
    <w:p w14:paraId="7DDBA5C2" w14:textId="186FA544" w:rsidR="005C3BEC" w:rsidRDefault="005C3BEC">
      <w:pPr>
        <w:rPr>
          <w:lang w:val="en-US"/>
        </w:rPr>
      </w:pPr>
      <w:r w:rsidRPr="005C3BEC">
        <w:rPr>
          <w:b/>
          <w:lang w:val="en-US"/>
        </w:rPr>
        <w:t xml:space="preserve">Fig.1 </w:t>
      </w:r>
      <w:r w:rsidR="00D65489">
        <w:rPr>
          <w:b/>
          <w:lang w:val="en-US"/>
        </w:rPr>
        <w:t xml:space="preserve">Successful sessions </w:t>
      </w:r>
      <w:r w:rsidR="00D65489" w:rsidRPr="00D65489">
        <w:rPr>
          <w:lang w:val="en-US"/>
        </w:rPr>
        <w:t xml:space="preserve">(Ovum pick-up = </w:t>
      </w:r>
      <w:r w:rsidR="00D65489" w:rsidRPr="00D65489">
        <w:rPr>
          <w:u w:val="single"/>
          <w:lang w:val="en-US"/>
        </w:rPr>
        <w:t>&gt;</w:t>
      </w:r>
      <w:r w:rsidR="00D65489" w:rsidRPr="00D65489">
        <w:rPr>
          <w:lang w:val="en-US"/>
        </w:rPr>
        <w:t>1</w:t>
      </w:r>
      <w:r w:rsidR="003A4B82">
        <w:rPr>
          <w:lang w:val="en-US"/>
        </w:rPr>
        <w:t xml:space="preserve"> embryo</w:t>
      </w:r>
      <w:r w:rsidR="00D65489" w:rsidRPr="00D65489">
        <w:rPr>
          <w:lang w:val="en-US"/>
        </w:rPr>
        <w:t>)</w:t>
      </w:r>
    </w:p>
    <w:p w14:paraId="59D03E7D" w14:textId="6CC5DC25" w:rsidR="00667562" w:rsidRDefault="00667562">
      <w:pPr>
        <w:rPr>
          <w:b/>
          <w:lang w:val="en-US"/>
        </w:rPr>
      </w:pPr>
      <w:r>
        <w:rPr>
          <w:b/>
          <w:noProof/>
          <w:lang w:eastAsia="en-GB"/>
        </w:rPr>
        <w:drawing>
          <wp:inline distT="0" distB="0" distL="0" distR="0" wp14:anchorId="285A4C39" wp14:editId="1EC0437A">
            <wp:extent cx="4584700" cy="27559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97CD1" w14:textId="36F9FE9C" w:rsidR="00DE6C6B" w:rsidRPr="00D65489" w:rsidRDefault="00DE6C6B">
      <w:pPr>
        <w:rPr>
          <w:lang w:val="en-US"/>
        </w:rPr>
      </w:pPr>
      <w:r>
        <w:rPr>
          <w:lang w:val="en-US"/>
        </w:rPr>
        <w:t xml:space="preserve">One limitation of the trial was recognised </w:t>
      </w:r>
      <w:r w:rsidR="0015764C">
        <w:rPr>
          <w:lang w:val="en-US"/>
        </w:rPr>
        <w:t>in that</w:t>
      </w:r>
      <w:r>
        <w:rPr>
          <w:lang w:val="en-US"/>
        </w:rPr>
        <w:t xml:space="preserve"> the two mare groups were not matched by age, weight, breed, fertility history, semen choice or, importantly, basal diet. It was not possible</w:t>
      </w:r>
      <w:r w:rsidR="0015764C">
        <w:rPr>
          <w:lang w:val="en-US"/>
        </w:rPr>
        <w:t xml:space="preserve"> to implement these controls within a</w:t>
      </w:r>
      <w:r>
        <w:rPr>
          <w:lang w:val="en-US"/>
        </w:rPr>
        <w:t xml:space="preserve"> commercial setting</w:t>
      </w:r>
      <w:r w:rsidR="0015764C">
        <w:rPr>
          <w:lang w:val="en-US"/>
        </w:rPr>
        <w:t xml:space="preserve">, and it was recognised that the No-treatment, particularly, </w:t>
      </w:r>
      <w:proofErr w:type="gramStart"/>
      <w:r w:rsidR="0015764C">
        <w:rPr>
          <w:lang w:val="en-US"/>
        </w:rPr>
        <w:t>may</w:t>
      </w:r>
      <w:proofErr w:type="gramEnd"/>
      <w:r w:rsidR="0015764C">
        <w:rPr>
          <w:lang w:val="en-US"/>
        </w:rPr>
        <w:t xml:space="preserve"> have great</w:t>
      </w:r>
      <w:r w:rsidR="008C00F7">
        <w:rPr>
          <w:lang w:val="en-US"/>
        </w:rPr>
        <w:t>er</w:t>
      </w:r>
      <w:r w:rsidR="0015764C">
        <w:rPr>
          <w:lang w:val="en-US"/>
        </w:rPr>
        <w:t xml:space="preserve"> variation in basal diet, as they were privately housed. </w:t>
      </w:r>
    </w:p>
    <w:p w14:paraId="722ACF7A" w14:textId="77777777" w:rsidR="0015764C" w:rsidRDefault="0015764C">
      <w:pPr>
        <w:rPr>
          <w:b/>
          <w:lang w:val="en-US"/>
        </w:rPr>
      </w:pPr>
    </w:p>
    <w:p w14:paraId="7059FF7D" w14:textId="2ACC1412" w:rsidR="0070779A" w:rsidRDefault="0070779A">
      <w:pPr>
        <w:rPr>
          <w:b/>
          <w:lang w:val="en-US"/>
        </w:rPr>
      </w:pPr>
      <w:r w:rsidRPr="00B3177A">
        <w:rPr>
          <w:b/>
          <w:lang w:val="en-US"/>
        </w:rPr>
        <w:t>Conclusions</w:t>
      </w:r>
    </w:p>
    <w:p w14:paraId="26544979" w14:textId="5D4DBFF5" w:rsidR="00783526" w:rsidRDefault="00667562">
      <w:pPr>
        <w:rPr>
          <w:lang w:val="en-US"/>
        </w:rPr>
      </w:pPr>
      <w:r>
        <w:rPr>
          <w:lang w:val="en-US"/>
        </w:rPr>
        <w:t>Despite no statistical significance</w:t>
      </w:r>
      <w:r w:rsidR="00C45307">
        <w:rPr>
          <w:lang w:val="en-US"/>
        </w:rPr>
        <w:t xml:space="preserve">, clear trends for improvement in parameters </w:t>
      </w:r>
      <w:proofErr w:type="gramStart"/>
      <w:r w:rsidR="00C45307">
        <w:rPr>
          <w:lang w:val="en-US"/>
        </w:rPr>
        <w:t>were seen</w:t>
      </w:r>
      <w:proofErr w:type="gramEnd"/>
      <w:r w:rsidR="00C45307">
        <w:rPr>
          <w:lang w:val="en-US"/>
        </w:rPr>
        <w:t xml:space="preserve">, and these increased with mare age and time on the diet. For proportion of successful sessions, the greatest difference </w:t>
      </w:r>
      <w:proofErr w:type="gramStart"/>
      <w:r w:rsidR="00C45307">
        <w:rPr>
          <w:lang w:val="en-US"/>
        </w:rPr>
        <w:t>was seen</w:t>
      </w:r>
      <w:proofErr w:type="gramEnd"/>
      <w:r w:rsidR="00C45307">
        <w:rPr>
          <w:lang w:val="en-US"/>
        </w:rPr>
        <w:t xml:space="preserve"> in mares over 15 years who had received the diet for a minimum of four weeks (80% Treatment vs 50% Non-treatment). In the study by </w:t>
      </w:r>
      <w:proofErr w:type="spellStart"/>
      <w:r w:rsidR="00C45307">
        <w:rPr>
          <w:lang w:val="en-US"/>
        </w:rPr>
        <w:t>Catandi</w:t>
      </w:r>
      <w:proofErr w:type="spellEnd"/>
      <w:r w:rsidR="00C45307">
        <w:rPr>
          <w:lang w:val="en-US"/>
        </w:rPr>
        <w:t xml:space="preserve"> et al (</w:t>
      </w:r>
      <w:proofErr w:type="gramStart"/>
      <w:r w:rsidR="00C45307">
        <w:rPr>
          <w:lang w:val="en-US"/>
        </w:rPr>
        <w:t>2022)</w:t>
      </w:r>
      <w:proofErr w:type="gramEnd"/>
      <w:r w:rsidR="00C45307">
        <w:rPr>
          <w:lang w:val="en-US"/>
        </w:rPr>
        <w:t xml:space="preserve"> trial diet was fed for 8</w:t>
      </w:r>
      <w:r>
        <w:rPr>
          <w:lang w:val="en-US"/>
        </w:rPr>
        <w:t>-17 weeks, and</w:t>
      </w:r>
      <w:r w:rsidR="00C45307">
        <w:rPr>
          <w:lang w:val="en-US"/>
        </w:rPr>
        <w:t xml:space="preserve"> results</w:t>
      </w:r>
      <w:r>
        <w:rPr>
          <w:lang w:val="en-US"/>
        </w:rPr>
        <w:t xml:space="preserve"> in this trial also</w:t>
      </w:r>
      <w:r w:rsidR="00C45307">
        <w:rPr>
          <w:lang w:val="en-US"/>
        </w:rPr>
        <w:t xml:space="preserve"> support a longer feeding rate. Future research would look at fe</w:t>
      </w:r>
      <w:r w:rsidR="0001434E">
        <w:rPr>
          <w:lang w:val="en-US"/>
        </w:rPr>
        <w:t xml:space="preserve">eding </w:t>
      </w:r>
      <w:r>
        <w:rPr>
          <w:lang w:val="en-US"/>
        </w:rPr>
        <w:t xml:space="preserve">the novel feed </w:t>
      </w:r>
      <w:r w:rsidR="0001434E">
        <w:rPr>
          <w:lang w:val="en-US"/>
        </w:rPr>
        <w:t xml:space="preserve">for a minimum of 8 weeks, and ideally with more control over mare variables, such as age, breed and diet. </w:t>
      </w:r>
    </w:p>
    <w:p w14:paraId="114EF925" w14:textId="658F44F7" w:rsidR="005E5E07" w:rsidRDefault="005E5E07" w:rsidP="005E5E07">
      <w:pPr>
        <w:rPr>
          <w:lang w:val="en-US"/>
        </w:rPr>
      </w:pPr>
      <w:r>
        <w:rPr>
          <w:lang w:val="en-US"/>
        </w:rPr>
        <w:t xml:space="preserve">Trial results suggest that it </w:t>
      </w:r>
      <w:proofErr w:type="gramStart"/>
      <w:r>
        <w:rPr>
          <w:lang w:val="en-US"/>
        </w:rPr>
        <w:t>is recommended</w:t>
      </w:r>
      <w:proofErr w:type="gramEnd"/>
      <w:r>
        <w:rPr>
          <w:lang w:val="en-US"/>
        </w:rPr>
        <w:t xml:space="preserve"> to feed</w:t>
      </w:r>
      <w:r w:rsidR="00BA610A">
        <w:rPr>
          <w:lang w:val="en-US"/>
        </w:rPr>
        <w:t xml:space="preserve"> the novel feed,</w:t>
      </w:r>
      <w:r>
        <w:rPr>
          <w:lang w:val="en-US"/>
        </w:rPr>
        <w:t xml:space="preserve"> NAF </w:t>
      </w:r>
      <w:proofErr w:type="spellStart"/>
      <w:r>
        <w:rPr>
          <w:lang w:val="en-US"/>
        </w:rPr>
        <w:t>OvuCycle</w:t>
      </w:r>
      <w:proofErr w:type="spellEnd"/>
      <w:r w:rsidR="00BA610A">
        <w:rPr>
          <w:lang w:val="en-US"/>
        </w:rPr>
        <w:t>,</w:t>
      </w:r>
      <w:r>
        <w:rPr>
          <w:lang w:val="en-US"/>
        </w:rPr>
        <w:t xml:space="preserve"> for a minimum of four weeks before ovum pick</w:t>
      </w:r>
      <w:r w:rsidR="00FC37A8">
        <w:rPr>
          <w:lang w:val="en-US"/>
        </w:rPr>
        <w:t>-up</w:t>
      </w:r>
      <w:r>
        <w:rPr>
          <w:lang w:val="en-US"/>
        </w:rPr>
        <w:t xml:space="preserve">, and eight weeks may be preferable. </w:t>
      </w:r>
    </w:p>
    <w:p w14:paraId="1098F970" w14:textId="3CFD50B1" w:rsidR="00C45307" w:rsidRDefault="0001434E">
      <w:pPr>
        <w:rPr>
          <w:lang w:val="en-US"/>
        </w:rPr>
      </w:pPr>
      <w:r>
        <w:rPr>
          <w:lang w:val="en-US"/>
        </w:rPr>
        <w:lastRenderedPageBreak/>
        <w:t xml:space="preserve">Although further research </w:t>
      </w:r>
      <w:proofErr w:type="gramStart"/>
      <w:r>
        <w:rPr>
          <w:lang w:val="en-US"/>
        </w:rPr>
        <w:t>is recommended</w:t>
      </w:r>
      <w:proofErr w:type="gramEnd"/>
      <w:r>
        <w:rPr>
          <w:lang w:val="en-US"/>
        </w:rPr>
        <w:t>, these early results show a clear commercial app</w:t>
      </w:r>
      <w:r w:rsidR="00BA610A">
        <w:rPr>
          <w:lang w:val="en-US"/>
        </w:rPr>
        <w:t>lication for feed supplementation</w:t>
      </w:r>
      <w:bookmarkStart w:id="0" w:name="_GoBack"/>
      <w:bookmarkEnd w:id="0"/>
      <w:r>
        <w:rPr>
          <w:lang w:val="en-US"/>
        </w:rPr>
        <w:t xml:space="preserve">, particularly for owners of older mares. </w:t>
      </w:r>
      <w:r w:rsidR="00FC37A8">
        <w:rPr>
          <w:lang w:val="en-US"/>
        </w:rPr>
        <w:t>Not limited to Assisted Reproductive Technologies alone,</w:t>
      </w:r>
      <w:r w:rsidR="005E5E07">
        <w:rPr>
          <w:lang w:val="en-US"/>
        </w:rPr>
        <w:t xml:space="preserve"> the improvement trend </w:t>
      </w:r>
      <w:r w:rsidR="00FC37A8">
        <w:rPr>
          <w:lang w:val="en-US"/>
        </w:rPr>
        <w:t xml:space="preserve">also </w:t>
      </w:r>
      <w:r w:rsidR="005E5E07">
        <w:rPr>
          <w:lang w:val="en-US"/>
        </w:rPr>
        <w:t>has</w:t>
      </w:r>
      <w:r w:rsidR="00FC37A8">
        <w:rPr>
          <w:lang w:val="en-US"/>
        </w:rPr>
        <w:t xml:space="preserve"> commercial</w:t>
      </w:r>
      <w:r w:rsidR="005E5E07">
        <w:rPr>
          <w:lang w:val="en-US"/>
        </w:rPr>
        <w:t xml:space="preserve"> relevance fo</w:t>
      </w:r>
      <w:r w:rsidR="00FC37A8">
        <w:rPr>
          <w:lang w:val="en-US"/>
        </w:rPr>
        <w:t xml:space="preserve">r the wider equine stud </w:t>
      </w:r>
      <w:r w:rsidR="005E5E07">
        <w:rPr>
          <w:lang w:val="en-US"/>
        </w:rPr>
        <w:t xml:space="preserve">sector, and all broodmares, where only a single successful embryo is required, and a simple dietary approach </w:t>
      </w:r>
      <w:proofErr w:type="gramStart"/>
      <w:r w:rsidR="005E5E07">
        <w:rPr>
          <w:lang w:val="en-US"/>
        </w:rPr>
        <w:t>is easily implemented</w:t>
      </w:r>
      <w:proofErr w:type="gramEnd"/>
      <w:r w:rsidR="005E5E07">
        <w:rPr>
          <w:lang w:val="en-US"/>
        </w:rPr>
        <w:t xml:space="preserve">. </w:t>
      </w:r>
    </w:p>
    <w:p w14:paraId="23173E9B" w14:textId="504F5D7F" w:rsidR="00600EC7" w:rsidRDefault="00600EC7">
      <w:pPr>
        <w:rPr>
          <w:b/>
          <w:lang w:val="en-US"/>
        </w:rPr>
      </w:pPr>
    </w:p>
    <w:p w14:paraId="4DC97C67" w14:textId="77777777" w:rsidR="0070779A" w:rsidRPr="00B3177A" w:rsidRDefault="0070779A">
      <w:pPr>
        <w:rPr>
          <w:b/>
          <w:lang w:val="en-US"/>
        </w:rPr>
      </w:pPr>
      <w:r w:rsidRPr="00B3177A">
        <w:rPr>
          <w:b/>
          <w:lang w:val="en-US"/>
        </w:rPr>
        <w:t>References</w:t>
      </w:r>
    </w:p>
    <w:p w14:paraId="32594368" w14:textId="33BF3C31" w:rsidR="008C25AB" w:rsidRDefault="008C25AB">
      <w:pPr>
        <w:rPr>
          <w:rFonts w:cstheme="minorHAnsi"/>
          <w:lang w:val="en-US"/>
        </w:rPr>
      </w:pPr>
      <w:proofErr w:type="spellStart"/>
      <w:r w:rsidRPr="008C25AB">
        <w:rPr>
          <w:rFonts w:cstheme="minorHAnsi"/>
        </w:rPr>
        <w:t>Catandi</w:t>
      </w:r>
      <w:proofErr w:type="spellEnd"/>
      <w:r w:rsidRPr="008C25AB">
        <w:rPr>
          <w:rFonts w:cstheme="minorHAnsi"/>
        </w:rPr>
        <w:t xml:space="preserve"> G</w:t>
      </w:r>
      <w:r>
        <w:rPr>
          <w:rFonts w:cstheme="minorHAnsi"/>
        </w:rPr>
        <w:t>.</w:t>
      </w:r>
      <w:r w:rsidRPr="008C25AB">
        <w:rPr>
          <w:rFonts w:cstheme="minorHAnsi"/>
        </w:rPr>
        <w:t>D</w:t>
      </w:r>
      <w:r>
        <w:rPr>
          <w:rFonts w:cstheme="minorHAnsi"/>
        </w:rPr>
        <w:t>.</w:t>
      </w:r>
      <w:r w:rsidRPr="008C25AB">
        <w:rPr>
          <w:rFonts w:cstheme="minorHAnsi"/>
        </w:rPr>
        <w:t xml:space="preserve">, </w:t>
      </w:r>
      <w:proofErr w:type="spellStart"/>
      <w:r w:rsidRPr="008C25AB">
        <w:rPr>
          <w:rFonts w:cstheme="minorHAnsi"/>
        </w:rPr>
        <w:t>LiPuma</w:t>
      </w:r>
      <w:proofErr w:type="spellEnd"/>
      <w:r w:rsidRPr="008C25AB">
        <w:rPr>
          <w:rFonts w:cstheme="minorHAnsi"/>
        </w:rPr>
        <w:t xml:space="preserve"> L</w:t>
      </w:r>
      <w:r>
        <w:rPr>
          <w:rFonts w:cstheme="minorHAnsi"/>
        </w:rPr>
        <w:t>.</w:t>
      </w:r>
      <w:r w:rsidRPr="008C25AB">
        <w:rPr>
          <w:rFonts w:cstheme="minorHAnsi"/>
        </w:rPr>
        <w:t xml:space="preserve">, </w:t>
      </w:r>
      <w:proofErr w:type="spellStart"/>
      <w:r w:rsidRPr="008C25AB">
        <w:rPr>
          <w:rFonts w:cstheme="minorHAnsi"/>
        </w:rPr>
        <w:t>Obeidat</w:t>
      </w:r>
      <w:proofErr w:type="spellEnd"/>
      <w:r w:rsidRPr="008C25AB">
        <w:rPr>
          <w:rFonts w:cstheme="minorHAnsi"/>
        </w:rPr>
        <w:t xml:space="preserve"> Y</w:t>
      </w:r>
      <w:r>
        <w:rPr>
          <w:rFonts w:cstheme="minorHAnsi"/>
        </w:rPr>
        <w:t>.</w:t>
      </w:r>
      <w:r w:rsidRPr="008C25AB">
        <w:rPr>
          <w:rFonts w:cstheme="minorHAnsi"/>
        </w:rPr>
        <w:t>M</w:t>
      </w:r>
      <w:r>
        <w:rPr>
          <w:rFonts w:cstheme="minorHAnsi"/>
        </w:rPr>
        <w:t>.</w:t>
      </w:r>
      <w:r w:rsidRPr="008C25AB">
        <w:rPr>
          <w:rFonts w:cstheme="minorHAnsi"/>
        </w:rPr>
        <w:t xml:space="preserve">, </w:t>
      </w:r>
      <w:proofErr w:type="spellStart"/>
      <w:r w:rsidRPr="008C25AB">
        <w:rPr>
          <w:rFonts w:cstheme="minorHAnsi"/>
        </w:rPr>
        <w:t>Maclellan</w:t>
      </w:r>
      <w:proofErr w:type="spellEnd"/>
      <w:r w:rsidRPr="008C25AB">
        <w:rPr>
          <w:rFonts w:cstheme="minorHAnsi"/>
        </w:rPr>
        <w:t xml:space="preserve"> L</w:t>
      </w:r>
      <w:r>
        <w:rPr>
          <w:rFonts w:cstheme="minorHAnsi"/>
        </w:rPr>
        <w:t>.</w:t>
      </w:r>
      <w:r w:rsidRPr="008C25AB">
        <w:rPr>
          <w:rFonts w:cstheme="minorHAnsi"/>
        </w:rPr>
        <w:t>J</w:t>
      </w:r>
      <w:r>
        <w:rPr>
          <w:rFonts w:cstheme="minorHAnsi"/>
        </w:rPr>
        <w:t>.</w:t>
      </w:r>
      <w:r w:rsidRPr="008C25AB">
        <w:rPr>
          <w:rFonts w:cstheme="minorHAnsi"/>
        </w:rPr>
        <w:t xml:space="preserve">, </w:t>
      </w:r>
      <w:proofErr w:type="spellStart"/>
      <w:r w:rsidRPr="008C25AB">
        <w:rPr>
          <w:rFonts w:cstheme="minorHAnsi"/>
        </w:rPr>
        <w:t>Broeckling</w:t>
      </w:r>
      <w:proofErr w:type="spellEnd"/>
      <w:r w:rsidRPr="008C25AB">
        <w:rPr>
          <w:rFonts w:cstheme="minorHAnsi"/>
        </w:rPr>
        <w:t xml:space="preserve"> C</w:t>
      </w:r>
      <w:r>
        <w:rPr>
          <w:rFonts w:cstheme="minorHAnsi"/>
        </w:rPr>
        <w:t>.</w:t>
      </w:r>
      <w:r w:rsidRPr="008C25AB">
        <w:rPr>
          <w:rFonts w:cstheme="minorHAnsi"/>
        </w:rPr>
        <w:t>D</w:t>
      </w:r>
      <w:r>
        <w:rPr>
          <w:rFonts w:cstheme="minorHAnsi"/>
        </w:rPr>
        <w:t>.</w:t>
      </w:r>
      <w:r w:rsidRPr="008C25AB">
        <w:rPr>
          <w:rFonts w:cstheme="minorHAnsi"/>
        </w:rPr>
        <w:t>, Chen T</w:t>
      </w:r>
      <w:r>
        <w:rPr>
          <w:rFonts w:cstheme="minorHAnsi"/>
        </w:rPr>
        <w:t>.</w:t>
      </w:r>
      <w:r w:rsidRPr="008C25AB">
        <w:rPr>
          <w:rFonts w:cstheme="minorHAnsi"/>
        </w:rPr>
        <w:t xml:space="preserve">, </w:t>
      </w:r>
      <w:proofErr w:type="spellStart"/>
      <w:r w:rsidRPr="008C25AB">
        <w:rPr>
          <w:rFonts w:cstheme="minorHAnsi"/>
        </w:rPr>
        <w:t>Chicco</w:t>
      </w:r>
      <w:proofErr w:type="spellEnd"/>
      <w:r w:rsidRPr="008C25AB">
        <w:rPr>
          <w:rFonts w:cstheme="minorHAnsi"/>
        </w:rPr>
        <w:t xml:space="preserve"> A</w:t>
      </w:r>
      <w:r>
        <w:rPr>
          <w:rFonts w:cstheme="minorHAnsi"/>
        </w:rPr>
        <w:t>.</w:t>
      </w:r>
      <w:r w:rsidRPr="008C25AB">
        <w:rPr>
          <w:rFonts w:cstheme="minorHAnsi"/>
        </w:rPr>
        <w:t>J</w:t>
      </w:r>
      <w:r>
        <w:rPr>
          <w:rFonts w:cstheme="minorHAnsi"/>
        </w:rPr>
        <w:t>. and</w:t>
      </w:r>
      <w:r w:rsidRPr="008C25AB">
        <w:rPr>
          <w:rFonts w:cstheme="minorHAnsi"/>
        </w:rPr>
        <w:t xml:space="preserve"> </w:t>
      </w:r>
      <w:proofErr w:type="spellStart"/>
      <w:r w:rsidRPr="008C25AB">
        <w:rPr>
          <w:rFonts w:cstheme="minorHAnsi"/>
        </w:rPr>
        <w:t>Carnevale</w:t>
      </w:r>
      <w:proofErr w:type="spellEnd"/>
      <w:r w:rsidRPr="008C25AB">
        <w:rPr>
          <w:rFonts w:cstheme="minorHAnsi"/>
        </w:rPr>
        <w:t xml:space="preserve"> E</w:t>
      </w:r>
      <w:r>
        <w:rPr>
          <w:rFonts w:cstheme="minorHAnsi"/>
        </w:rPr>
        <w:t>.</w:t>
      </w:r>
      <w:r w:rsidRPr="008C25AB">
        <w:rPr>
          <w:rFonts w:cstheme="minorHAnsi"/>
        </w:rPr>
        <w:t xml:space="preserve">M. </w:t>
      </w:r>
      <w:r w:rsidR="007678DE">
        <w:rPr>
          <w:rFonts w:cstheme="minorHAnsi"/>
        </w:rPr>
        <w:t xml:space="preserve">2022. </w:t>
      </w:r>
      <w:r w:rsidRPr="008C25AB">
        <w:rPr>
          <w:rFonts w:cstheme="minorHAnsi"/>
        </w:rPr>
        <w:t xml:space="preserve">Oocyte metabolic function, lipid composition, and developmental potential </w:t>
      </w:r>
      <w:proofErr w:type="gramStart"/>
      <w:r w:rsidRPr="008C25AB">
        <w:rPr>
          <w:rFonts w:cstheme="minorHAnsi"/>
        </w:rPr>
        <w:t>are altered</w:t>
      </w:r>
      <w:proofErr w:type="gramEnd"/>
      <w:r w:rsidRPr="008C25AB">
        <w:rPr>
          <w:rFonts w:cstheme="minorHAnsi"/>
        </w:rPr>
        <w:t xml:space="preserve"> by diet in older mares. Reproduction. Jan 28</w:t>
      </w:r>
      <w:proofErr w:type="gramStart"/>
      <w:r w:rsidRPr="008C25AB">
        <w:rPr>
          <w:rFonts w:cstheme="minorHAnsi"/>
        </w:rPr>
        <w:t>;163</w:t>
      </w:r>
      <w:proofErr w:type="gramEnd"/>
      <w:r w:rsidRPr="008C25AB">
        <w:rPr>
          <w:rFonts w:cstheme="minorHAnsi"/>
        </w:rPr>
        <w:t>(4):183-1</w:t>
      </w:r>
      <w:r w:rsidR="007678DE">
        <w:rPr>
          <w:rFonts w:cstheme="minorHAnsi"/>
        </w:rPr>
        <w:t>98.</w:t>
      </w:r>
    </w:p>
    <w:p w14:paraId="02A94F25" w14:textId="0F2E23EA" w:rsidR="00602BEC" w:rsidRDefault="007B3B8B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Carnevale</w:t>
      </w:r>
      <w:proofErr w:type="spellEnd"/>
      <w:r>
        <w:rPr>
          <w:rFonts w:cstheme="minorHAnsi"/>
          <w:lang w:val="en-US"/>
        </w:rPr>
        <w:t xml:space="preserve"> E.M, </w:t>
      </w:r>
      <w:proofErr w:type="spellStart"/>
      <w:r>
        <w:rPr>
          <w:rFonts w:cstheme="minorHAnsi"/>
          <w:lang w:val="en-US"/>
        </w:rPr>
        <w:t>Cantandi</w:t>
      </w:r>
      <w:proofErr w:type="spellEnd"/>
      <w:r>
        <w:rPr>
          <w:rFonts w:cstheme="minorHAnsi"/>
          <w:lang w:val="en-US"/>
        </w:rPr>
        <w:t xml:space="preserve"> G.D and </w:t>
      </w:r>
      <w:proofErr w:type="spellStart"/>
      <w:r>
        <w:rPr>
          <w:rFonts w:cstheme="minorHAnsi"/>
          <w:lang w:val="en-US"/>
        </w:rPr>
        <w:t>Fresa</w:t>
      </w:r>
      <w:proofErr w:type="spellEnd"/>
      <w:r>
        <w:rPr>
          <w:rFonts w:cstheme="minorHAnsi"/>
          <w:lang w:val="en-US"/>
        </w:rPr>
        <w:t xml:space="preserve"> K. 2020. Equine aging and the oocyte: A potential model for reproductive aging in women. Journal of Equine Veterinary Science. Jun 89. 103022</w:t>
      </w:r>
    </w:p>
    <w:p w14:paraId="78248991" w14:textId="06B39348" w:rsidR="006B025A" w:rsidRDefault="006B025A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EU Commission Regulation 2020/354. 2020. Establishing a list of intended use of feed intended for particular nutritional purposes. </w:t>
      </w:r>
      <w:hyperlink r:id="rId7" w:history="1">
        <w:r w:rsidRPr="002473BE">
          <w:rPr>
            <w:rStyle w:val="Hyperlink"/>
            <w:rFonts w:cstheme="minorHAnsi"/>
            <w:lang w:val="en-US"/>
          </w:rPr>
          <w:t>https://eur-lex.europa.eu/legal-content/EN/TXT/PDF/?uri=CELEX:32020R0354&amp;from=EN</w:t>
        </w:r>
      </w:hyperlink>
      <w:r>
        <w:rPr>
          <w:rFonts w:cstheme="minorHAnsi"/>
          <w:lang w:val="en-US"/>
        </w:rPr>
        <w:t xml:space="preserve"> </w:t>
      </w:r>
    </w:p>
    <w:p w14:paraId="274E6638" w14:textId="3ACD1BA6" w:rsidR="008A3779" w:rsidRDefault="008A3779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Petroski</w:t>
      </w:r>
      <w:proofErr w:type="spellEnd"/>
      <w:r>
        <w:rPr>
          <w:rFonts w:cstheme="minorHAnsi"/>
          <w:lang w:val="en-US"/>
        </w:rPr>
        <w:t xml:space="preserve">-Rose L. Kentucky Equine Research. 2018. Conception failure in mares: seven causes. Accessed 25.10.2024 from </w:t>
      </w:r>
      <w:hyperlink r:id="rId8" w:history="1">
        <w:r w:rsidRPr="00E84BDA">
          <w:rPr>
            <w:rStyle w:val="Hyperlink"/>
            <w:rFonts w:cstheme="minorHAnsi"/>
            <w:lang w:val="en-US"/>
          </w:rPr>
          <w:t>https://ker.com/equinews/conception-failure-mares-seven-causes/</w:t>
        </w:r>
      </w:hyperlink>
      <w:r>
        <w:rPr>
          <w:rFonts w:cstheme="minorHAnsi"/>
          <w:lang w:val="en-US"/>
        </w:rPr>
        <w:t xml:space="preserve"> </w:t>
      </w:r>
    </w:p>
    <w:p w14:paraId="4627791F" w14:textId="13FE10F7" w:rsidR="007678DE" w:rsidRPr="00B3177A" w:rsidRDefault="007678D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</w:p>
    <w:sectPr w:rsidR="007678DE" w:rsidRPr="00B31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20560"/>
    <w:multiLevelType w:val="hybridMultilevel"/>
    <w:tmpl w:val="A3C097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9A"/>
    <w:rsid w:val="000047E4"/>
    <w:rsid w:val="0001434E"/>
    <w:rsid w:val="000407C6"/>
    <w:rsid w:val="00080F4E"/>
    <w:rsid w:val="000A1B9B"/>
    <w:rsid w:val="000A21C8"/>
    <w:rsid w:val="000C2A32"/>
    <w:rsid w:val="001126EF"/>
    <w:rsid w:val="0015764C"/>
    <w:rsid w:val="001618FF"/>
    <w:rsid w:val="001664E5"/>
    <w:rsid w:val="00197AF3"/>
    <w:rsid w:val="0022424B"/>
    <w:rsid w:val="002578A6"/>
    <w:rsid w:val="002E01EC"/>
    <w:rsid w:val="00335952"/>
    <w:rsid w:val="003902CA"/>
    <w:rsid w:val="003A4B82"/>
    <w:rsid w:val="003A7589"/>
    <w:rsid w:val="003F426C"/>
    <w:rsid w:val="0040233A"/>
    <w:rsid w:val="00441FA3"/>
    <w:rsid w:val="00445512"/>
    <w:rsid w:val="00473F53"/>
    <w:rsid w:val="004C713E"/>
    <w:rsid w:val="004D04E7"/>
    <w:rsid w:val="004E3C64"/>
    <w:rsid w:val="004F40F7"/>
    <w:rsid w:val="00584A57"/>
    <w:rsid w:val="005A5911"/>
    <w:rsid w:val="005C3BEC"/>
    <w:rsid w:val="005E17E6"/>
    <w:rsid w:val="005E5E07"/>
    <w:rsid w:val="00600EC7"/>
    <w:rsid w:val="00602BEC"/>
    <w:rsid w:val="00667562"/>
    <w:rsid w:val="00677A01"/>
    <w:rsid w:val="006B025A"/>
    <w:rsid w:val="006D1522"/>
    <w:rsid w:val="006E742D"/>
    <w:rsid w:val="006F54D9"/>
    <w:rsid w:val="0070779A"/>
    <w:rsid w:val="00752F9D"/>
    <w:rsid w:val="007535E3"/>
    <w:rsid w:val="00757C7E"/>
    <w:rsid w:val="00761FB0"/>
    <w:rsid w:val="007678DE"/>
    <w:rsid w:val="00774A0B"/>
    <w:rsid w:val="00783526"/>
    <w:rsid w:val="007857B5"/>
    <w:rsid w:val="007A2D53"/>
    <w:rsid w:val="007B3B8B"/>
    <w:rsid w:val="007B41AC"/>
    <w:rsid w:val="007C74A1"/>
    <w:rsid w:val="007F1E96"/>
    <w:rsid w:val="00807EF8"/>
    <w:rsid w:val="00847EA6"/>
    <w:rsid w:val="008616F2"/>
    <w:rsid w:val="008A3779"/>
    <w:rsid w:val="008A5AD9"/>
    <w:rsid w:val="008B7419"/>
    <w:rsid w:val="008C00F7"/>
    <w:rsid w:val="008C25AB"/>
    <w:rsid w:val="008D3D8E"/>
    <w:rsid w:val="00906F49"/>
    <w:rsid w:val="0090720F"/>
    <w:rsid w:val="0092287F"/>
    <w:rsid w:val="009D48C3"/>
    <w:rsid w:val="009E2756"/>
    <w:rsid w:val="00A07967"/>
    <w:rsid w:val="00AA6CBD"/>
    <w:rsid w:val="00AB6CF4"/>
    <w:rsid w:val="00B00714"/>
    <w:rsid w:val="00B3177A"/>
    <w:rsid w:val="00BA610A"/>
    <w:rsid w:val="00BC7D0F"/>
    <w:rsid w:val="00BF2267"/>
    <w:rsid w:val="00C10AE0"/>
    <w:rsid w:val="00C45307"/>
    <w:rsid w:val="00CA0B82"/>
    <w:rsid w:val="00CD081B"/>
    <w:rsid w:val="00CD403B"/>
    <w:rsid w:val="00D1328F"/>
    <w:rsid w:val="00D51EE2"/>
    <w:rsid w:val="00D60CA0"/>
    <w:rsid w:val="00D65489"/>
    <w:rsid w:val="00D83347"/>
    <w:rsid w:val="00D97158"/>
    <w:rsid w:val="00DB6E8B"/>
    <w:rsid w:val="00DC4DE8"/>
    <w:rsid w:val="00DE6C6B"/>
    <w:rsid w:val="00E75136"/>
    <w:rsid w:val="00E765AC"/>
    <w:rsid w:val="00E97895"/>
    <w:rsid w:val="00EF5AAD"/>
    <w:rsid w:val="00FA34FD"/>
    <w:rsid w:val="00FC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4B75"/>
  <w15:chartTrackingRefBased/>
  <w15:docId w15:val="{4FE63A2E-25A9-4C1F-8EC7-487DDFB6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BE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2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2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4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r.com/equinews/conception-failure-mares-seven-caus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eur-lex.europa.eu/legal-content/EN/TXT/PDF/?uri=CELEX:32020R0354&amp;from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2CE3-8A3D-419A-84C5-110371FD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Hore</dc:creator>
  <cp:keywords/>
  <dc:description/>
  <cp:lastModifiedBy>Kate Hore</cp:lastModifiedBy>
  <cp:revision>7</cp:revision>
  <dcterms:created xsi:type="dcterms:W3CDTF">2025-01-06T10:29:00Z</dcterms:created>
  <dcterms:modified xsi:type="dcterms:W3CDTF">2025-01-06T14:05:00Z</dcterms:modified>
</cp:coreProperties>
</file>