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1699EE" w14:textId="7F307FD3" w:rsidR="008D4C47" w:rsidRPr="00157A3D" w:rsidRDefault="000F3656" w:rsidP="001238BA">
      <w:pPr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/>
          <w:bCs/>
          <w:sz w:val="21"/>
          <w:szCs w:val="21"/>
        </w:rPr>
        <w:t xml:space="preserve">Chance of nil returns: a novel indicator to measure the changing impact of climate volatility on grassland productivity and support </w:t>
      </w:r>
      <w:r w:rsidR="008E4C19">
        <w:rPr>
          <w:rFonts w:cstheme="minorHAnsi"/>
          <w:b/>
          <w:bCs/>
          <w:sz w:val="21"/>
          <w:szCs w:val="21"/>
        </w:rPr>
        <w:t>on-farm</w:t>
      </w:r>
      <w:r>
        <w:rPr>
          <w:rFonts w:cstheme="minorHAnsi"/>
          <w:b/>
          <w:bCs/>
          <w:sz w:val="21"/>
          <w:szCs w:val="21"/>
        </w:rPr>
        <w:t xml:space="preserve"> decisions</w:t>
      </w:r>
    </w:p>
    <w:p w14:paraId="77F52DEF" w14:textId="7EF09AB8" w:rsidR="00F86525" w:rsidRDefault="00F86525" w:rsidP="001238BA">
      <w:pPr>
        <w:jc w:val="both"/>
        <w:rPr>
          <w:rFonts w:cstheme="minorHAnsi"/>
          <w:sz w:val="21"/>
          <w:szCs w:val="21"/>
        </w:rPr>
      </w:pPr>
      <w:r w:rsidRPr="00157A3D">
        <w:rPr>
          <w:rFonts w:cstheme="minorHAnsi"/>
          <w:b/>
          <w:bCs/>
          <w:sz w:val="21"/>
          <w:szCs w:val="21"/>
        </w:rPr>
        <w:t>Application:</w:t>
      </w:r>
      <w:r w:rsidR="0004510E" w:rsidRPr="00157A3D">
        <w:rPr>
          <w:rFonts w:cstheme="minorHAnsi"/>
          <w:sz w:val="21"/>
          <w:szCs w:val="21"/>
        </w:rPr>
        <w:t xml:space="preserve"> </w:t>
      </w:r>
      <w:r w:rsidR="00DF58A6">
        <w:rPr>
          <w:rFonts w:cstheme="minorHAnsi"/>
          <w:sz w:val="21"/>
          <w:szCs w:val="21"/>
        </w:rPr>
        <w:t>The message that our climate is becoming more volatile is often communicated to farmers in a</w:t>
      </w:r>
      <w:r w:rsidR="00D5075D">
        <w:rPr>
          <w:rFonts w:cstheme="minorHAnsi"/>
          <w:sz w:val="21"/>
          <w:szCs w:val="21"/>
        </w:rPr>
        <w:t xml:space="preserve"> confusing and inactionable manner. To support proactive climate adaptation, t</w:t>
      </w:r>
      <w:r w:rsidR="0004510E" w:rsidRPr="00157A3D">
        <w:rPr>
          <w:rFonts w:cstheme="minorHAnsi"/>
          <w:sz w:val="21"/>
          <w:szCs w:val="21"/>
        </w:rPr>
        <w:t xml:space="preserve">his </w:t>
      </w:r>
      <w:r w:rsidR="0032638F">
        <w:rPr>
          <w:rFonts w:cstheme="minorHAnsi"/>
          <w:sz w:val="21"/>
          <w:szCs w:val="21"/>
        </w:rPr>
        <w:t xml:space="preserve">study </w:t>
      </w:r>
      <w:r w:rsidR="00D5075D">
        <w:rPr>
          <w:rFonts w:cstheme="minorHAnsi"/>
          <w:sz w:val="21"/>
          <w:szCs w:val="21"/>
        </w:rPr>
        <w:t xml:space="preserve">proposes </w:t>
      </w:r>
      <w:r w:rsidR="0032638F">
        <w:rPr>
          <w:rFonts w:cstheme="minorHAnsi"/>
          <w:sz w:val="21"/>
          <w:szCs w:val="21"/>
        </w:rPr>
        <w:t xml:space="preserve">a </w:t>
      </w:r>
      <w:r w:rsidR="00D5075D" w:rsidRPr="00D5075D">
        <w:rPr>
          <w:rFonts w:cstheme="minorHAnsi"/>
          <w:sz w:val="21"/>
          <w:szCs w:val="21"/>
        </w:rPr>
        <w:t xml:space="preserve">novel indicator </w:t>
      </w:r>
      <w:r w:rsidR="00D5075D">
        <w:rPr>
          <w:rFonts w:cstheme="minorHAnsi"/>
          <w:sz w:val="21"/>
          <w:szCs w:val="21"/>
        </w:rPr>
        <w:t xml:space="preserve">of pasture growth volatility that is clear, transparent and </w:t>
      </w:r>
      <w:r w:rsidR="00B07B9B">
        <w:rPr>
          <w:rFonts w:cstheme="minorHAnsi"/>
          <w:sz w:val="21"/>
          <w:szCs w:val="21"/>
        </w:rPr>
        <w:t xml:space="preserve">directly </w:t>
      </w:r>
      <w:r w:rsidR="00D5075D">
        <w:rPr>
          <w:rFonts w:cstheme="minorHAnsi"/>
          <w:sz w:val="21"/>
          <w:szCs w:val="21"/>
        </w:rPr>
        <w:t>usable for on-farm decision making</w:t>
      </w:r>
      <w:r w:rsidR="00C23360" w:rsidRPr="00157A3D">
        <w:rPr>
          <w:rFonts w:cstheme="minorHAnsi"/>
          <w:sz w:val="21"/>
          <w:szCs w:val="21"/>
        </w:rPr>
        <w:t>.</w:t>
      </w:r>
    </w:p>
    <w:p w14:paraId="490E80E9" w14:textId="058A29A3" w:rsidR="0090266D" w:rsidRDefault="005707E1" w:rsidP="001238BA">
      <w:pPr>
        <w:jc w:val="both"/>
        <w:rPr>
          <w:rFonts w:cstheme="minorHAnsi"/>
          <w:sz w:val="21"/>
          <w:szCs w:val="21"/>
        </w:rPr>
      </w:pPr>
      <w:r w:rsidRPr="00157A3D">
        <w:rPr>
          <w:rFonts w:cstheme="minorHAnsi"/>
          <w:b/>
          <w:bCs/>
          <w:sz w:val="21"/>
          <w:szCs w:val="21"/>
        </w:rPr>
        <w:t>Introduction:</w:t>
      </w:r>
      <w:r w:rsidRPr="00F621D5">
        <w:rPr>
          <w:rFonts w:cstheme="minorHAnsi"/>
          <w:sz w:val="21"/>
          <w:szCs w:val="21"/>
        </w:rPr>
        <w:t xml:space="preserve"> </w:t>
      </w:r>
      <w:r w:rsidR="00B07B9B">
        <w:rPr>
          <w:rFonts w:cstheme="minorHAnsi"/>
          <w:sz w:val="21"/>
          <w:szCs w:val="21"/>
        </w:rPr>
        <w:t xml:space="preserve">As with many temperate grassland regions in the world, ruminant production in Northern Ireland is </w:t>
      </w:r>
      <w:r w:rsidR="000F3656" w:rsidRPr="000F3656">
        <w:rPr>
          <w:rFonts w:cstheme="minorHAnsi"/>
          <w:sz w:val="21"/>
          <w:szCs w:val="21"/>
        </w:rPr>
        <w:t xml:space="preserve">predominantly </w:t>
      </w:r>
      <w:r w:rsidR="00B07B9B">
        <w:rPr>
          <w:rFonts w:cstheme="minorHAnsi"/>
          <w:sz w:val="21"/>
          <w:szCs w:val="21"/>
        </w:rPr>
        <w:t>pasture</w:t>
      </w:r>
      <w:r w:rsidR="000F3656" w:rsidRPr="000F3656">
        <w:rPr>
          <w:rFonts w:cstheme="minorHAnsi"/>
          <w:sz w:val="21"/>
          <w:szCs w:val="21"/>
        </w:rPr>
        <w:t xml:space="preserve">-based, </w:t>
      </w:r>
      <w:r w:rsidR="00B07B9B">
        <w:rPr>
          <w:rFonts w:cstheme="minorHAnsi"/>
          <w:sz w:val="21"/>
          <w:szCs w:val="21"/>
        </w:rPr>
        <w:t xml:space="preserve">wherein </w:t>
      </w:r>
      <w:r w:rsidR="000F3656" w:rsidRPr="000F3656">
        <w:rPr>
          <w:rFonts w:cstheme="minorHAnsi"/>
          <w:sz w:val="21"/>
          <w:szCs w:val="21"/>
        </w:rPr>
        <w:t>9</w:t>
      </w:r>
      <w:r w:rsidR="0090266D">
        <w:rPr>
          <w:rFonts w:cstheme="minorHAnsi"/>
          <w:sz w:val="21"/>
          <w:szCs w:val="21"/>
        </w:rPr>
        <w:t>2</w:t>
      </w:r>
      <w:r w:rsidR="000F3656" w:rsidRPr="000F3656">
        <w:rPr>
          <w:rFonts w:cstheme="minorHAnsi"/>
          <w:sz w:val="21"/>
          <w:szCs w:val="21"/>
        </w:rPr>
        <w:t>% of</w:t>
      </w:r>
      <w:r w:rsidR="000F3656">
        <w:rPr>
          <w:rFonts w:cstheme="minorHAnsi"/>
          <w:sz w:val="21"/>
          <w:szCs w:val="21"/>
        </w:rPr>
        <w:t xml:space="preserve"> </w:t>
      </w:r>
      <w:r w:rsidR="000F3656" w:rsidRPr="000F3656">
        <w:rPr>
          <w:rFonts w:cstheme="minorHAnsi"/>
          <w:sz w:val="21"/>
          <w:szCs w:val="21"/>
        </w:rPr>
        <w:t>the farmed land area</w:t>
      </w:r>
      <w:r w:rsidR="00B07B9B">
        <w:rPr>
          <w:rFonts w:cstheme="minorHAnsi"/>
          <w:sz w:val="21"/>
          <w:szCs w:val="21"/>
        </w:rPr>
        <w:t xml:space="preserve"> is currently</w:t>
      </w:r>
      <w:r w:rsidR="000F3656" w:rsidRPr="000F3656">
        <w:rPr>
          <w:rFonts w:cstheme="minorHAnsi"/>
          <w:sz w:val="21"/>
          <w:szCs w:val="21"/>
        </w:rPr>
        <w:t xml:space="preserve"> classified as grassland.</w:t>
      </w:r>
      <w:r w:rsidR="000F3656">
        <w:rPr>
          <w:rFonts w:cstheme="minorHAnsi"/>
          <w:sz w:val="21"/>
          <w:szCs w:val="21"/>
        </w:rPr>
        <w:t xml:space="preserve"> </w:t>
      </w:r>
      <w:r w:rsidR="00B07B9B">
        <w:rPr>
          <w:rFonts w:cstheme="minorHAnsi"/>
          <w:sz w:val="21"/>
          <w:szCs w:val="21"/>
        </w:rPr>
        <w:t xml:space="preserve">Increasing occurrences of extreme weather events and erratic weather patterns </w:t>
      </w:r>
      <w:r w:rsidR="00623F5B">
        <w:rPr>
          <w:rFonts w:cstheme="minorHAnsi"/>
          <w:sz w:val="21"/>
          <w:szCs w:val="21"/>
        </w:rPr>
        <w:t xml:space="preserve">is </w:t>
      </w:r>
      <w:r w:rsidR="00B07B9B">
        <w:rPr>
          <w:rFonts w:cstheme="minorHAnsi"/>
          <w:sz w:val="21"/>
          <w:szCs w:val="21"/>
        </w:rPr>
        <w:t xml:space="preserve">therefore </w:t>
      </w:r>
      <w:r w:rsidR="00623F5B">
        <w:rPr>
          <w:rFonts w:cstheme="minorHAnsi"/>
          <w:sz w:val="21"/>
          <w:szCs w:val="21"/>
        </w:rPr>
        <w:t xml:space="preserve">likely to </w:t>
      </w:r>
      <w:r w:rsidR="00B07B9B">
        <w:rPr>
          <w:rFonts w:cstheme="minorHAnsi"/>
          <w:sz w:val="21"/>
          <w:szCs w:val="21"/>
        </w:rPr>
        <w:t xml:space="preserve">have a substantial impact on </w:t>
      </w:r>
      <w:r w:rsidR="00623F5B">
        <w:rPr>
          <w:rFonts w:cstheme="minorHAnsi"/>
          <w:sz w:val="21"/>
          <w:szCs w:val="21"/>
        </w:rPr>
        <w:t xml:space="preserve">grassland productivity and its consistency, with farmers repeatedly advised to ‘prepare’ for climate change. However, </w:t>
      </w:r>
      <w:r w:rsidR="00C63761">
        <w:rPr>
          <w:rFonts w:cstheme="minorHAnsi"/>
          <w:sz w:val="21"/>
          <w:szCs w:val="21"/>
        </w:rPr>
        <w:t xml:space="preserve">the majority of these communications remain ambiguous about </w:t>
      </w:r>
      <w:r w:rsidR="00623F5B">
        <w:rPr>
          <w:rFonts w:cstheme="minorHAnsi"/>
          <w:sz w:val="21"/>
          <w:szCs w:val="21"/>
        </w:rPr>
        <w:t xml:space="preserve">what the ‘preparation’ </w:t>
      </w:r>
      <w:r w:rsidR="00C63761">
        <w:rPr>
          <w:rFonts w:cstheme="minorHAnsi"/>
          <w:sz w:val="21"/>
          <w:szCs w:val="21"/>
        </w:rPr>
        <w:t xml:space="preserve">actually </w:t>
      </w:r>
      <w:r w:rsidR="00623F5B">
        <w:rPr>
          <w:rFonts w:cstheme="minorHAnsi"/>
          <w:sz w:val="21"/>
          <w:szCs w:val="21"/>
        </w:rPr>
        <w:t>entails</w:t>
      </w:r>
      <w:r w:rsidR="00C63761">
        <w:rPr>
          <w:rFonts w:cstheme="minorHAnsi"/>
          <w:sz w:val="21"/>
          <w:szCs w:val="21"/>
        </w:rPr>
        <w:t>, creating a sense of anxiety and mistrust within the farming community. The present study was designed as a measure to overcome this issue.</w:t>
      </w:r>
    </w:p>
    <w:p w14:paraId="5AB4A84E" w14:textId="4F3252D8" w:rsidR="002A5428" w:rsidRDefault="00C63761" w:rsidP="001238BA">
      <w:pPr>
        <w:jc w:val="both"/>
        <w:rPr>
          <w:rFonts w:cstheme="minorHAnsi"/>
          <w:sz w:val="21"/>
          <w:szCs w:val="21"/>
        </w:rPr>
      </w:pPr>
      <w:r w:rsidRPr="00157A3D">
        <w:rPr>
          <w:rFonts w:cstheme="minorHAnsi"/>
          <w:b/>
          <w:bCs/>
          <w:sz w:val="21"/>
          <w:szCs w:val="21"/>
        </w:rPr>
        <w:t>Material</w:t>
      </w:r>
      <w:r>
        <w:rPr>
          <w:rFonts w:cstheme="minorHAnsi"/>
          <w:b/>
          <w:bCs/>
          <w:sz w:val="21"/>
          <w:szCs w:val="21"/>
        </w:rPr>
        <w:t xml:space="preserve">s </w:t>
      </w:r>
      <w:r w:rsidRPr="00157A3D">
        <w:rPr>
          <w:rFonts w:cstheme="minorHAnsi"/>
          <w:b/>
          <w:bCs/>
          <w:sz w:val="21"/>
          <w:szCs w:val="21"/>
        </w:rPr>
        <w:t>and methods:</w:t>
      </w:r>
      <w:r w:rsidRPr="00FB4E60"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 xml:space="preserve">We </w:t>
      </w:r>
      <w:r w:rsidR="00BD3C1B">
        <w:rPr>
          <w:rFonts w:cstheme="minorHAnsi"/>
          <w:sz w:val="21"/>
          <w:szCs w:val="21"/>
        </w:rPr>
        <w:t>employed</w:t>
      </w:r>
      <w:r>
        <w:rPr>
          <w:rFonts w:cstheme="minorHAnsi"/>
          <w:sz w:val="21"/>
          <w:szCs w:val="21"/>
        </w:rPr>
        <w:t xml:space="preserve"> </w:t>
      </w:r>
      <w:r w:rsidRPr="000F3656">
        <w:rPr>
          <w:rFonts w:cstheme="minorHAnsi"/>
          <w:sz w:val="21"/>
          <w:szCs w:val="21"/>
        </w:rPr>
        <w:t xml:space="preserve">AFBI </w:t>
      </w:r>
      <w:proofErr w:type="spellStart"/>
      <w:r w:rsidRPr="000F3656">
        <w:rPr>
          <w:rFonts w:cstheme="minorHAnsi"/>
          <w:sz w:val="21"/>
          <w:szCs w:val="21"/>
        </w:rPr>
        <w:t>GrazeGro</w:t>
      </w:r>
      <w:proofErr w:type="spellEnd"/>
      <w:r w:rsidRPr="000F3656">
        <w:rPr>
          <w:rFonts w:cstheme="minorHAnsi"/>
          <w:sz w:val="21"/>
          <w:szCs w:val="21"/>
        </w:rPr>
        <w:t xml:space="preserve"> </w:t>
      </w:r>
      <w:r w:rsidR="00BD3C1B">
        <w:rPr>
          <w:rFonts w:cstheme="minorHAnsi"/>
          <w:sz w:val="21"/>
          <w:szCs w:val="21"/>
        </w:rPr>
        <w:t xml:space="preserve">pasture growth </w:t>
      </w:r>
      <w:r w:rsidRPr="000F3656">
        <w:rPr>
          <w:rFonts w:cstheme="minorHAnsi"/>
          <w:sz w:val="21"/>
          <w:szCs w:val="21"/>
        </w:rPr>
        <w:t xml:space="preserve">model </w:t>
      </w:r>
      <w:r w:rsidR="00BD3C1B">
        <w:rPr>
          <w:rFonts w:cstheme="minorHAnsi"/>
          <w:sz w:val="21"/>
          <w:szCs w:val="21"/>
        </w:rPr>
        <w:t xml:space="preserve">(Barrett et al., 2005) to predict the daily grass growth rates </w:t>
      </w:r>
      <w:r w:rsidR="00355C1C">
        <w:rPr>
          <w:rFonts w:cstheme="minorHAnsi"/>
          <w:sz w:val="21"/>
          <w:szCs w:val="21"/>
        </w:rPr>
        <w:t xml:space="preserve">for the whole of Northern Ireland </w:t>
      </w:r>
      <w:r w:rsidRPr="000F3656">
        <w:rPr>
          <w:rFonts w:cstheme="minorHAnsi"/>
          <w:sz w:val="21"/>
          <w:szCs w:val="21"/>
        </w:rPr>
        <w:t xml:space="preserve">over a 200-year period </w:t>
      </w:r>
      <w:r w:rsidR="00BD3C1B">
        <w:rPr>
          <w:rFonts w:cstheme="minorHAnsi"/>
          <w:sz w:val="21"/>
          <w:szCs w:val="21"/>
        </w:rPr>
        <w:t>(</w:t>
      </w:r>
      <w:r w:rsidRPr="000F3656">
        <w:rPr>
          <w:rFonts w:cstheme="minorHAnsi"/>
          <w:sz w:val="21"/>
          <w:szCs w:val="21"/>
        </w:rPr>
        <w:t xml:space="preserve">1900-2100) under UK Met Office UKCP18 </w:t>
      </w:r>
      <w:r w:rsidR="00706A86">
        <w:rPr>
          <w:rFonts w:cstheme="minorHAnsi"/>
          <w:sz w:val="21"/>
          <w:szCs w:val="21"/>
        </w:rPr>
        <w:t>(RCP8.5/</w:t>
      </w:r>
      <w:r w:rsidR="00706A86" w:rsidRPr="00706A86">
        <w:rPr>
          <w:rFonts w:cstheme="minorHAnsi"/>
          <w:sz w:val="21"/>
          <w:szCs w:val="21"/>
        </w:rPr>
        <w:t>HadGEM3</w:t>
      </w:r>
      <w:r w:rsidR="00706A86">
        <w:rPr>
          <w:rFonts w:cstheme="minorHAnsi"/>
          <w:sz w:val="21"/>
          <w:szCs w:val="21"/>
        </w:rPr>
        <w:t>)</w:t>
      </w:r>
      <w:r w:rsidR="00706A86" w:rsidRPr="00706A86">
        <w:rPr>
          <w:rFonts w:cstheme="minorHAnsi"/>
          <w:sz w:val="21"/>
          <w:szCs w:val="21"/>
        </w:rPr>
        <w:t xml:space="preserve"> </w:t>
      </w:r>
      <w:r w:rsidRPr="000F3656">
        <w:rPr>
          <w:rFonts w:cstheme="minorHAnsi"/>
          <w:sz w:val="21"/>
          <w:szCs w:val="21"/>
        </w:rPr>
        <w:t>climate change projections</w:t>
      </w:r>
      <w:r w:rsidR="00BD3C1B">
        <w:rPr>
          <w:rFonts w:cstheme="minorHAnsi"/>
          <w:sz w:val="21"/>
          <w:szCs w:val="21"/>
        </w:rPr>
        <w:t xml:space="preserve"> (Met Office, 20</w:t>
      </w:r>
      <w:r w:rsidR="00355C1C">
        <w:rPr>
          <w:rFonts w:cstheme="minorHAnsi"/>
          <w:sz w:val="21"/>
          <w:szCs w:val="21"/>
        </w:rPr>
        <w:t>19</w:t>
      </w:r>
      <w:r w:rsidR="00BD3C1B">
        <w:rPr>
          <w:rFonts w:cstheme="minorHAnsi"/>
          <w:sz w:val="21"/>
          <w:szCs w:val="21"/>
        </w:rPr>
        <w:t>)</w:t>
      </w:r>
      <w:r w:rsidRPr="000F3656">
        <w:rPr>
          <w:rFonts w:cstheme="minorHAnsi"/>
          <w:sz w:val="21"/>
          <w:szCs w:val="21"/>
        </w:rPr>
        <w:t xml:space="preserve">. </w:t>
      </w:r>
      <w:r w:rsidR="00355C1C">
        <w:rPr>
          <w:rFonts w:cstheme="minorHAnsi"/>
          <w:sz w:val="21"/>
          <w:szCs w:val="21"/>
        </w:rPr>
        <w:t xml:space="preserve">The model was pre-calibrated with 20-year controlled plot trial data, originating from AFBI Hillsborough (Co. Down) and CAFRE Greenmount (Co. </w:t>
      </w:r>
      <w:r w:rsidR="00355C1C" w:rsidRPr="00355C1C">
        <w:rPr>
          <w:rFonts w:cstheme="minorHAnsi"/>
          <w:sz w:val="21"/>
          <w:szCs w:val="21"/>
        </w:rPr>
        <w:t>Antrim</w:t>
      </w:r>
      <w:r w:rsidR="00355C1C">
        <w:rPr>
          <w:rFonts w:cstheme="minorHAnsi"/>
          <w:sz w:val="21"/>
          <w:szCs w:val="21"/>
        </w:rPr>
        <w:t xml:space="preserve">), for </w:t>
      </w:r>
      <w:r w:rsidR="002A5428">
        <w:rPr>
          <w:rFonts w:cstheme="minorHAnsi"/>
          <w:sz w:val="21"/>
          <w:szCs w:val="21"/>
        </w:rPr>
        <w:t>a reseeded pasture dominated by p</w:t>
      </w:r>
      <w:r w:rsidR="002A5428" w:rsidRPr="002A5428">
        <w:rPr>
          <w:rFonts w:cstheme="minorHAnsi"/>
          <w:sz w:val="21"/>
          <w:szCs w:val="21"/>
        </w:rPr>
        <w:t>erennial ryegrass (</w:t>
      </w:r>
      <w:r w:rsidR="002A5428" w:rsidRPr="002A5428">
        <w:rPr>
          <w:rFonts w:cstheme="minorHAnsi"/>
          <w:i/>
          <w:iCs/>
          <w:sz w:val="21"/>
          <w:szCs w:val="21"/>
        </w:rPr>
        <w:t xml:space="preserve">Lolium </w:t>
      </w:r>
      <w:proofErr w:type="spellStart"/>
      <w:r w:rsidR="002A5428" w:rsidRPr="002A5428">
        <w:rPr>
          <w:rFonts w:cstheme="minorHAnsi"/>
          <w:i/>
          <w:iCs/>
          <w:sz w:val="21"/>
          <w:szCs w:val="21"/>
        </w:rPr>
        <w:t>perenne</w:t>
      </w:r>
      <w:proofErr w:type="spellEnd"/>
      <w:r w:rsidR="002A5428" w:rsidRPr="002A5428">
        <w:rPr>
          <w:rFonts w:cstheme="minorHAnsi"/>
          <w:sz w:val="21"/>
          <w:szCs w:val="21"/>
        </w:rPr>
        <w:t>)</w:t>
      </w:r>
      <w:r w:rsidR="002A5428">
        <w:rPr>
          <w:rFonts w:cstheme="minorHAnsi"/>
          <w:sz w:val="21"/>
          <w:szCs w:val="21"/>
        </w:rPr>
        <w:t xml:space="preserve"> on a moderately drained soil. Mirroring the typical grazing management on commercial farms in the study region, the baseline model was run under a 10-way split nitrogen fertilisation, totalling to 270</w:t>
      </w:r>
      <w:r w:rsidR="00706A86">
        <w:rPr>
          <w:rFonts w:cstheme="minorHAnsi"/>
          <w:sz w:val="21"/>
          <w:szCs w:val="21"/>
        </w:rPr>
        <w:t xml:space="preserve"> </w:t>
      </w:r>
      <w:r w:rsidR="002A5428">
        <w:rPr>
          <w:rFonts w:cstheme="minorHAnsi"/>
          <w:sz w:val="21"/>
          <w:szCs w:val="21"/>
        </w:rPr>
        <w:t xml:space="preserve">kg </w:t>
      </w:r>
      <w:r w:rsidR="00D87BB5">
        <w:rPr>
          <w:rFonts w:cstheme="minorHAnsi"/>
          <w:sz w:val="21"/>
          <w:szCs w:val="21"/>
        </w:rPr>
        <w:t xml:space="preserve">N </w:t>
      </w:r>
      <w:r w:rsidR="00D87BB5">
        <w:rPr>
          <w:rFonts w:cstheme="minorHAnsi"/>
          <w:sz w:val="21"/>
          <w:szCs w:val="21"/>
        </w:rPr>
        <w:t>ha</w:t>
      </w:r>
      <w:r w:rsidR="00D87BB5" w:rsidRPr="00D87BB5">
        <w:rPr>
          <w:rFonts w:cstheme="minorHAnsi"/>
          <w:sz w:val="21"/>
          <w:szCs w:val="21"/>
          <w:vertAlign w:val="superscript"/>
        </w:rPr>
        <w:t>-1</w:t>
      </w:r>
      <w:r w:rsidR="00D87BB5">
        <w:rPr>
          <w:rFonts w:cstheme="minorHAnsi"/>
          <w:sz w:val="21"/>
          <w:szCs w:val="21"/>
        </w:rPr>
        <w:t xml:space="preserve"> </w:t>
      </w:r>
      <w:r w:rsidR="002A5428">
        <w:rPr>
          <w:rFonts w:cstheme="minorHAnsi"/>
          <w:sz w:val="21"/>
          <w:szCs w:val="21"/>
        </w:rPr>
        <w:t>year</w:t>
      </w:r>
      <w:r w:rsidR="002A5428" w:rsidRPr="002A5428">
        <w:rPr>
          <w:rFonts w:cstheme="minorHAnsi"/>
          <w:sz w:val="21"/>
          <w:szCs w:val="21"/>
          <w:vertAlign w:val="superscript"/>
        </w:rPr>
        <w:t>-1</w:t>
      </w:r>
      <w:r w:rsidR="00A1547F">
        <w:rPr>
          <w:rFonts w:cstheme="minorHAnsi"/>
          <w:sz w:val="21"/>
          <w:szCs w:val="21"/>
        </w:rPr>
        <w:t>, each following a simulated 21-day rotational grazing cycle. Following th</w:t>
      </w:r>
      <w:r w:rsidR="00D87BB5">
        <w:rPr>
          <w:rFonts w:cstheme="minorHAnsi"/>
          <w:sz w:val="21"/>
          <w:szCs w:val="21"/>
        </w:rPr>
        <w:t>e</w:t>
      </w:r>
      <w:r w:rsidR="00A1547F">
        <w:rPr>
          <w:rFonts w:cstheme="minorHAnsi"/>
          <w:sz w:val="21"/>
          <w:szCs w:val="21"/>
        </w:rPr>
        <w:t xml:space="preserve"> initial run, </w:t>
      </w:r>
      <w:r w:rsidR="00FD499D">
        <w:rPr>
          <w:rFonts w:cstheme="minorHAnsi"/>
          <w:sz w:val="21"/>
          <w:szCs w:val="21"/>
        </w:rPr>
        <w:t xml:space="preserve">a similar task </w:t>
      </w:r>
      <w:r w:rsidR="00A1547F">
        <w:rPr>
          <w:rFonts w:cstheme="minorHAnsi"/>
          <w:sz w:val="21"/>
          <w:szCs w:val="21"/>
        </w:rPr>
        <w:t xml:space="preserve">was repeated </w:t>
      </w:r>
      <w:r w:rsidR="00D87BB5">
        <w:rPr>
          <w:rFonts w:cstheme="minorHAnsi"/>
          <w:sz w:val="21"/>
          <w:szCs w:val="21"/>
        </w:rPr>
        <w:t xml:space="preserve">for </w:t>
      </w:r>
      <w:r w:rsidR="00A1547F">
        <w:rPr>
          <w:rFonts w:cstheme="minorHAnsi"/>
          <w:sz w:val="21"/>
          <w:szCs w:val="21"/>
        </w:rPr>
        <w:t xml:space="preserve">10 </w:t>
      </w:r>
      <w:r w:rsidR="00D87BB5">
        <w:rPr>
          <w:rFonts w:cstheme="minorHAnsi"/>
          <w:sz w:val="21"/>
          <w:szCs w:val="21"/>
        </w:rPr>
        <w:t>more iterations</w:t>
      </w:r>
      <w:r w:rsidR="00A1547F">
        <w:rPr>
          <w:rFonts w:cstheme="minorHAnsi"/>
          <w:sz w:val="21"/>
          <w:szCs w:val="21"/>
        </w:rPr>
        <w:t xml:space="preserve">, </w:t>
      </w:r>
      <w:r w:rsidR="00FD499D">
        <w:rPr>
          <w:rFonts w:cstheme="minorHAnsi"/>
          <w:sz w:val="21"/>
          <w:szCs w:val="21"/>
        </w:rPr>
        <w:t xml:space="preserve">but </w:t>
      </w:r>
      <w:r w:rsidR="00A1547F">
        <w:rPr>
          <w:rFonts w:cstheme="minorHAnsi"/>
          <w:sz w:val="21"/>
          <w:szCs w:val="21"/>
        </w:rPr>
        <w:t xml:space="preserve">each time removing one of the 10 fertilisation events </w:t>
      </w:r>
      <w:r w:rsidR="00D87BB5">
        <w:rPr>
          <w:rFonts w:cstheme="minorHAnsi"/>
          <w:sz w:val="21"/>
          <w:szCs w:val="21"/>
        </w:rPr>
        <w:t>to quantify the marginal grass yield (kg DM ha</w:t>
      </w:r>
      <w:r w:rsidR="00D87BB5" w:rsidRPr="00D87BB5">
        <w:rPr>
          <w:rFonts w:cstheme="minorHAnsi"/>
          <w:sz w:val="21"/>
          <w:szCs w:val="21"/>
          <w:vertAlign w:val="superscript"/>
        </w:rPr>
        <w:t>-1</w:t>
      </w:r>
      <w:r w:rsidR="00D87BB5">
        <w:rPr>
          <w:rFonts w:cstheme="minorHAnsi"/>
          <w:sz w:val="21"/>
          <w:szCs w:val="21"/>
        </w:rPr>
        <w:t>) attributable to that particular event. Once all outputs have been collated, fertilisation events associated with &lt;</w:t>
      </w:r>
      <w:r w:rsidR="00FD499D">
        <w:rPr>
          <w:rFonts w:cstheme="minorHAnsi"/>
          <w:sz w:val="21"/>
          <w:szCs w:val="21"/>
        </w:rPr>
        <w:t xml:space="preserve"> </w:t>
      </w:r>
      <w:r w:rsidR="00D87BB5">
        <w:rPr>
          <w:rFonts w:cstheme="minorHAnsi"/>
          <w:sz w:val="21"/>
          <w:szCs w:val="21"/>
        </w:rPr>
        <w:t xml:space="preserve">200 kg </w:t>
      </w:r>
      <w:r w:rsidR="00D87BB5">
        <w:rPr>
          <w:rFonts w:cstheme="minorHAnsi"/>
          <w:sz w:val="21"/>
          <w:szCs w:val="21"/>
        </w:rPr>
        <w:t>DM ha</w:t>
      </w:r>
      <w:r w:rsidR="00D87BB5" w:rsidRPr="00D87BB5">
        <w:rPr>
          <w:rFonts w:cstheme="minorHAnsi"/>
          <w:sz w:val="21"/>
          <w:szCs w:val="21"/>
          <w:vertAlign w:val="superscript"/>
        </w:rPr>
        <w:t>-1</w:t>
      </w:r>
      <w:r w:rsidR="00D87BB5">
        <w:rPr>
          <w:rFonts w:cstheme="minorHAnsi"/>
          <w:sz w:val="21"/>
          <w:szCs w:val="21"/>
        </w:rPr>
        <w:t xml:space="preserve"> </w:t>
      </w:r>
      <w:r w:rsidR="00D87BB5">
        <w:rPr>
          <w:rFonts w:cstheme="minorHAnsi"/>
          <w:sz w:val="21"/>
          <w:szCs w:val="21"/>
        </w:rPr>
        <w:t xml:space="preserve">of marginal </w:t>
      </w:r>
      <w:r w:rsidR="00FD499D">
        <w:rPr>
          <w:rFonts w:cstheme="minorHAnsi"/>
          <w:sz w:val="21"/>
          <w:szCs w:val="21"/>
        </w:rPr>
        <w:t xml:space="preserve">grass yield were marked as ‘nil return events’, on the basis that the investment was unlikely to have been fully rewarded. </w:t>
      </w:r>
      <w:r w:rsidR="00667958">
        <w:rPr>
          <w:rFonts w:cstheme="minorHAnsi"/>
          <w:sz w:val="21"/>
          <w:szCs w:val="21"/>
        </w:rPr>
        <w:t>Finally, t</w:t>
      </w:r>
      <w:r w:rsidR="00FD499D">
        <w:rPr>
          <w:rFonts w:cstheme="minorHAnsi"/>
          <w:sz w:val="21"/>
          <w:szCs w:val="21"/>
        </w:rPr>
        <w:t xml:space="preserve">he entire procedure was repeated for </w:t>
      </w:r>
      <w:r w:rsidR="00706A86">
        <w:rPr>
          <w:rFonts w:cstheme="minorHAnsi"/>
          <w:sz w:val="21"/>
          <w:szCs w:val="21"/>
        </w:rPr>
        <w:t>all</w:t>
      </w:r>
      <w:r w:rsidR="00667958">
        <w:rPr>
          <w:rFonts w:cstheme="minorHAnsi"/>
          <w:sz w:val="21"/>
          <w:szCs w:val="21"/>
        </w:rPr>
        <w:t xml:space="preserve"> </w:t>
      </w:r>
      <w:r w:rsidR="00FD499D">
        <w:rPr>
          <w:rFonts w:cstheme="minorHAnsi"/>
          <w:sz w:val="21"/>
          <w:szCs w:val="21"/>
        </w:rPr>
        <w:t xml:space="preserve">15 sets of </w:t>
      </w:r>
      <w:r w:rsidR="00706A86" w:rsidRPr="000F3656">
        <w:rPr>
          <w:rFonts w:cstheme="minorHAnsi"/>
          <w:sz w:val="21"/>
          <w:szCs w:val="21"/>
        </w:rPr>
        <w:t xml:space="preserve">UKCP18 </w:t>
      </w:r>
      <w:r w:rsidR="00706A86">
        <w:rPr>
          <w:rFonts w:cstheme="minorHAnsi"/>
          <w:sz w:val="21"/>
          <w:szCs w:val="21"/>
        </w:rPr>
        <w:t xml:space="preserve">projections </w:t>
      </w:r>
      <w:r w:rsidR="00667958">
        <w:rPr>
          <w:rFonts w:cstheme="minorHAnsi"/>
          <w:sz w:val="21"/>
          <w:szCs w:val="21"/>
        </w:rPr>
        <w:t>(i.e. 3000 annual weather patterns), to account for uncertainty</w:t>
      </w:r>
      <w:r w:rsidR="00706A86">
        <w:rPr>
          <w:rFonts w:cstheme="minorHAnsi"/>
          <w:sz w:val="21"/>
          <w:szCs w:val="21"/>
        </w:rPr>
        <w:t xml:space="preserve"> with </w:t>
      </w:r>
      <w:r w:rsidR="00412895">
        <w:rPr>
          <w:rFonts w:cstheme="minorHAnsi"/>
          <w:sz w:val="21"/>
          <w:szCs w:val="21"/>
        </w:rPr>
        <w:t>respect</w:t>
      </w:r>
      <w:r w:rsidR="00706A86">
        <w:rPr>
          <w:rFonts w:cstheme="minorHAnsi"/>
          <w:sz w:val="21"/>
          <w:szCs w:val="21"/>
        </w:rPr>
        <w:t xml:space="preserve"> to both long-term trend and short-term volatility.</w:t>
      </w:r>
    </w:p>
    <w:p w14:paraId="12DE64C0" w14:textId="270FF3EF" w:rsidR="0016323E" w:rsidRDefault="00706A86" w:rsidP="00706A86">
      <w:pPr>
        <w:jc w:val="both"/>
        <w:rPr>
          <w:rFonts w:cstheme="minorHAnsi"/>
          <w:sz w:val="21"/>
          <w:szCs w:val="21"/>
        </w:rPr>
      </w:pPr>
      <w:r w:rsidRPr="00157A3D">
        <w:rPr>
          <w:rFonts w:cstheme="minorHAnsi"/>
          <w:b/>
          <w:bCs/>
          <w:sz w:val="21"/>
          <w:szCs w:val="21"/>
        </w:rPr>
        <w:t>Results:</w:t>
      </w:r>
      <w:r w:rsidRPr="002C4B50"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>The baseline (fully fertilised) model predicted a substantial (~2 t DM ha</w:t>
      </w:r>
      <w:r w:rsidRPr="00706A86">
        <w:rPr>
          <w:rFonts w:cstheme="minorHAnsi"/>
          <w:sz w:val="21"/>
          <w:szCs w:val="21"/>
          <w:vertAlign w:val="superscript"/>
        </w:rPr>
        <w:t>-1</w:t>
      </w:r>
      <w:r>
        <w:rPr>
          <w:rFonts w:cstheme="minorHAnsi"/>
          <w:sz w:val="21"/>
          <w:szCs w:val="21"/>
        </w:rPr>
        <w:t xml:space="preserve"> year</w:t>
      </w:r>
      <w:r w:rsidRPr="00706A86">
        <w:rPr>
          <w:rFonts w:cstheme="minorHAnsi"/>
          <w:sz w:val="21"/>
          <w:szCs w:val="21"/>
          <w:vertAlign w:val="superscript"/>
        </w:rPr>
        <w:t>-1</w:t>
      </w:r>
      <w:r>
        <w:rPr>
          <w:rFonts w:cstheme="minorHAnsi"/>
          <w:sz w:val="21"/>
          <w:szCs w:val="21"/>
        </w:rPr>
        <w:t>) increase in the expected annual yield between 202</w:t>
      </w:r>
      <w:r w:rsidR="00F86E19">
        <w:rPr>
          <w:rFonts w:cstheme="minorHAnsi"/>
          <w:sz w:val="21"/>
          <w:szCs w:val="21"/>
        </w:rPr>
        <w:t>4</w:t>
      </w:r>
      <w:r>
        <w:rPr>
          <w:rFonts w:cstheme="minorHAnsi"/>
          <w:sz w:val="21"/>
          <w:szCs w:val="21"/>
        </w:rPr>
        <w:t xml:space="preserve"> and 2100</w:t>
      </w:r>
      <w:r w:rsidR="00B65B39">
        <w:rPr>
          <w:rFonts w:cstheme="minorHAnsi"/>
          <w:sz w:val="21"/>
          <w:szCs w:val="21"/>
        </w:rPr>
        <w:t xml:space="preserve">; however, the yield volatility also increased as indicated by the wider range of the 95% confidence interval </w:t>
      </w:r>
      <w:r w:rsidR="00B65B39" w:rsidRPr="00B65B39">
        <w:rPr>
          <w:rFonts w:cstheme="minorHAnsi"/>
          <w:b/>
          <w:bCs/>
          <w:sz w:val="21"/>
          <w:szCs w:val="21"/>
        </w:rPr>
        <w:t>(Figure 1)</w:t>
      </w:r>
      <w:r w:rsidR="00B65B39">
        <w:rPr>
          <w:rFonts w:cstheme="minorHAnsi"/>
          <w:sz w:val="21"/>
          <w:szCs w:val="21"/>
        </w:rPr>
        <w:t xml:space="preserve">. Within each season, grass production in early spring and late autumn </w:t>
      </w:r>
      <w:r w:rsidR="007E1CAF">
        <w:rPr>
          <w:rFonts w:cstheme="minorHAnsi"/>
          <w:sz w:val="21"/>
          <w:szCs w:val="21"/>
        </w:rPr>
        <w:t xml:space="preserve">(where the current limiting factor is primarily the low temperature) demonstrated </w:t>
      </w:r>
      <w:r w:rsidR="00B65B39">
        <w:rPr>
          <w:rFonts w:cstheme="minorHAnsi"/>
          <w:sz w:val="21"/>
          <w:szCs w:val="21"/>
        </w:rPr>
        <w:t xml:space="preserve">a clear pattern of higher growth rates </w:t>
      </w:r>
      <w:r w:rsidR="007E1CAF">
        <w:rPr>
          <w:rFonts w:cstheme="minorHAnsi"/>
          <w:sz w:val="21"/>
          <w:szCs w:val="21"/>
        </w:rPr>
        <w:t xml:space="preserve">into the future, whereas that in mid-summer was found to become more erratic and often lower than the current average (figure not shown). The </w:t>
      </w:r>
      <w:r w:rsidR="00F86E19">
        <w:rPr>
          <w:rFonts w:cstheme="minorHAnsi"/>
          <w:sz w:val="21"/>
          <w:szCs w:val="21"/>
        </w:rPr>
        <w:t xml:space="preserve">analysis of marginal yield </w:t>
      </w:r>
      <w:r w:rsidR="007E1CAF">
        <w:rPr>
          <w:rFonts w:cstheme="minorHAnsi"/>
          <w:sz w:val="21"/>
          <w:szCs w:val="21"/>
        </w:rPr>
        <w:t xml:space="preserve">suggested that </w:t>
      </w:r>
      <w:r w:rsidR="00F86E19">
        <w:rPr>
          <w:rFonts w:cstheme="minorHAnsi"/>
          <w:sz w:val="21"/>
          <w:szCs w:val="21"/>
        </w:rPr>
        <w:t xml:space="preserve">the occurrences of nil returns will become substantially more common as a result of climate change, with the probability increasing more than threefold (5.3% to 16.7%) between </w:t>
      </w:r>
      <w:r w:rsidR="00F86E19">
        <w:rPr>
          <w:rFonts w:cstheme="minorHAnsi"/>
          <w:sz w:val="21"/>
          <w:szCs w:val="21"/>
        </w:rPr>
        <w:t>2024 and 2100</w:t>
      </w:r>
      <w:r w:rsidR="0016323E">
        <w:rPr>
          <w:rFonts w:cstheme="minorHAnsi"/>
          <w:sz w:val="21"/>
          <w:szCs w:val="21"/>
        </w:rPr>
        <w:t xml:space="preserve"> </w:t>
      </w:r>
      <w:r w:rsidR="0016323E" w:rsidRPr="0016323E">
        <w:rPr>
          <w:rFonts w:cstheme="minorHAnsi"/>
          <w:b/>
          <w:bCs/>
          <w:sz w:val="21"/>
          <w:szCs w:val="21"/>
        </w:rPr>
        <w:t>(Table 1)</w:t>
      </w:r>
      <w:r w:rsidR="00F86E19">
        <w:rPr>
          <w:rFonts w:cstheme="minorHAnsi"/>
          <w:sz w:val="21"/>
          <w:szCs w:val="21"/>
        </w:rPr>
        <w:t xml:space="preserve">. </w:t>
      </w:r>
      <w:r w:rsidR="0016323E">
        <w:rPr>
          <w:rFonts w:cstheme="minorHAnsi"/>
          <w:sz w:val="21"/>
          <w:szCs w:val="21"/>
        </w:rPr>
        <w:t>C</w:t>
      </w:r>
      <w:r w:rsidR="00F86E19">
        <w:rPr>
          <w:rFonts w:cstheme="minorHAnsi"/>
          <w:sz w:val="21"/>
          <w:szCs w:val="21"/>
        </w:rPr>
        <w:t>ost-effective climate adaptation strategies</w:t>
      </w:r>
      <w:r w:rsidR="0016323E">
        <w:rPr>
          <w:rFonts w:cstheme="minorHAnsi"/>
          <w:sz w:val="21"/>
          <w:szCs w:val="21"/>
        </w:rPr>
        <w:t>,</w:t>
      </w:r>
      <w:r w:rsidR="00F86E19">
        <w:rPr>
          <w:rFonts w:cstheme="minorHAnsi"/>
          <w:sz w:val="21"/>
          <w:szCs w:val="21"/>
        </w:rPr>
        <w:t xml:space="preserve"> such as model-assisted adaptive fertilisation </w:t>
      </w:r>
      <w:r w:rsidR="0016323E">
        <w:rPr>
          <w:rFonts w:cstheme="minorHAnsi"/>
          <w:sz w:val="21"/>
          <w:szCs w:val="21"/>
        </w:rPr>
        <w:t xml:space="preserve">programmes </w:t>
      </w:r>
      <w:r w:rsidR="00F86E19">
        <w:rPr>
          <w:rFonts w:cstheme="minorHAnsi"/>
          <w:sz w:val="21"/>
          <w:szCs w:val="21"/>
        </w:rPr>
        <w:t xml:space="preserve">and </w:t>
      </w:r>
      <w:r w:rsidR="0016323E">
        <w:rPr>
          <w:rFonts w:cstheme="minorHAnsi"/>
          <w:sz w:val="21"/>
          <w:szCs w:val="21"/>
        </w:rPr>
        <w:t>greater incorporation of legumes and other non-grass species</w:t>
      </w:r>
      <w:r w:rsidR="005C1089">
        <w:rPr>
          <w:rFonts w:cstheme="minorHAnsi"/>
          <w:sz w:val="21"/>
          <w:szCs w:val="21"/>
        </w:rPr>
        <w:t xml:space="preserve"> (</w:t>
      </w:r>
      <w:r w:rsidR="005C1089" w:rsidRPr="0016323E">
        <w:rPr>
          <w:rFonts w:cstheme="minorHAnsi"/>
          <w:sz w:val="21"/>
          <w:szCs w:val="21"/>
        </w:rPr>
        <w:t>Hopkins</w:t>
      </w:r>
      <w:r w:rsidR="005C1089">
        <w:rPr>
          <w:rFonts w:cstheme="minorHAnsi"/>
          <w:sz w:val="21"/>
          <w:szCs w:val="21"/>
        </w:rPr>
        <w:t xml:space="preserve"> &amp; D</w:t>
      </w:r>
      <w:r w:rsidR="005C1089" w:rsidRPr="0016323E">
        <w:rPr>
          <w:rFonts w:cstheme="minorHAnsi"/>
          <w:sz w:val="21"/>
          <w:szCs w:val="21"/>
        </w:rPr>
        <w:t>el Prado</w:t>
      </w:r>
      <w:r w:rsidR="005C1089">
        <w:rPr>
          <w:rFonts w:cstheme="minorHAnsi"/>
          <w:sz w:val="21"/>
          <w:szCs w:val="21"/>
        </w:rPr>
        <w:t>, 2017</w:t>
      </w:r>
      <w:r w:rsidR="005C1089">
        <w:rPr>
          <w:rFonts w:cstheme="minorHAnsi"/>
          <w:sz w:val="21"/>
          <w:szCs w:val="21"/>
        </w:rPr>
        <w:t>)</w:t>
      </w:r>
      <w:r w:rsidR="0016323E">
        <w:rPr>
          <w:rFonts w:cstheme="minorHAnsi"/>
          <w:sz w:val="21"/>
          <w:szCs w:val="21"/>
        </w:rPr>
        <w:t>, are therefore likely to be the key to minimise the economically unfavourable use of fertilisers.</w:t>
      </w:r>
    </w:p>
    <w:p w14:paraId="1C138A99" w14:textId="6963A6A0" w:rsidR="0016323E" w:rsidRDefault="0016323E" w:rsidP="0016323E">
      <w:pPr>
        <w:spacing w:before="240"/>
        <w:jc w:val="both"/>
        <w:rPr>
          <w:rFonts w:cstheme="minorHAnsi"/>
          <w:sz w:val="21"/>
          <w:szCs w:val="21"/>
        </w:rPr>
      </w:pPr>
      <w:r w:rsidRPr="00157A3D">
        <w:rPr>
          <w:rFonts w:cstheme="minorHAnsi"/>
          <w:b/>
          <w:bCs/>
          <w:sz w:val="21"/>
          <w:szCs w:val="21"/>
        </w:rPr>
        <w:t>Conclusion</w:t>
      </w:r>
      <w:r>
        <w:rPr>
          <w:rFonts w:cstheme="minorHAnsi"/>
          <w:b/>
          <w:bCs/>
          <w:sz w:val="21"/>
          <w:szCs w:val="21"/>
        </w:rPr>
        <w:t>s</w:t>
      </w:r>
      <w:r w:rsidRPr="00157A3D">
        <w:rPr>
          <w:rFonts w:cstheme="minorHAnsi"/>
          <w:b/>
          <w:bCs/>
          <w:sz w:val="21"/>
          <w:szCs w:val="21"/>
        </w:rPr>
        <w:t>:</w:t>
      </w:r>
      <w:r w:rsidRPr="002C4B50"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 xml:space="preserve">In order to encourage </w:t>
      </w:r>
      <w:r w:rsidR="00557DF4">
        <w:rPr>
          <w:rFonts w:cstheme="minorHAnsi"/>
          <w:sz w:val="21"/>
          <w:szCs w:val="21"/>
        </w:rPr>
        <w:t xml:space="preserve">actions and perseverance towards </w:t>
      </w:r>
      <w:r w:rsidR="00557DF4">
        <w:rPr>
          <w:rFonts w:cstheme="minorHAnsi"/>
          <w:sz w:val="21"/>
          <w:szCs w:val="21"/>
        </w:rPr>
        <w:t xml:space="preserve">climate adaptation by farmers, </w:t>
      </w:r>
      <w:r>
        <w:rPr>
          <w:rFonts w:cstheme="minorHAnsi"/>
          <w:sz w:val="21"/>
          <w:szCs w:val="21"/>
        </w:rPr>
        <w:t xml:space="preserve">the </w:t>
      </w:r>
      <w:r w:rsidR="00557DF4">
        <w:rPr>
          <w:rFonts w:cstheme="minorHAnsi"/>
          <w:sz w:val="21"/>
          <w:szCs w:val="21"/>
        </w:rPr>
        <w:t xml:space="preserve">clarity of messages </w:t>
      </w:r>
      <w:r>
        <w:rPr>
          <w:rFonts w:cstheme="minorHAnsi"/>
          <w:sz w:val="21"/>
          <w:szCs w:val="21"/>
        </w:rPr>
        <w:t>matters.</w:t>
      </w:r>
      <w:r w:rsidR="00557DF4">
        <w:rPr>
          <w:rFonts w:cstheme="minorHAnsi"/>
          <w:sz w:val="21"/>
          <w:szCs w:val="21"/>
        </w:rPr>
        <w:t xml:space="preserve"> It is hoped that the </w:t>
      </w:r>
      <w:r w:rsidR="00D11160">
        <w:rPr>
          <w:rFonts w:cstheme="minorHAnsi"/>
          <w:sz w:val="21"/>
          <w:szCs w:val="21"/>
        </w:rPr>
        <w:t xml:space="preserve">concept </w:t>
      </w:r>
      <w:r w:rsidR="00557DF4">
        <w:rPr>
          <w:rFonts w:cstheme="minorHAnsi"/>
          <w:sz w:val="21"/>
          <w:szCs w:val="21"/>
        </w:rPr>
        <w:t xml:space="preserve">developed herein </w:t>
      </w:r>
      <w:r w:rsidR="00D11160">
        <w:rPr>
          <w:rFonts w:cstheme="minorHAnsi"/>
          <w:sz w:val="21"/>
          <w:szCs w:val="21"/>
        </w:rPr>
        <w:t xml:space="preserve">can be </w:t>
      </w:r>
      <w:r w:rsidR="005C1089">
        <w:rPr>
          <w:rFonts w:cstheme="minorHAnsi"/>
          <w:sz w:val="21"/>
          <w:szCs w:val="21"/>
        </w:rPr>
        <w:t>utilised</w:t>
      </w:r>
      <w:r w:rsidR="00D11160">
        <w:rPr>
          <w:rFonts w:cstheme="minorHAnsi"/>
          <w:sz w:val="21"/>
          <w:szCs w:val="21"/>
        </w:rPr>
        <w:t xml:space="preserve"> as an effective communication tool to </w:t>
      </w:r>
      <w:r w:rsidR="005C1089">
        <w:rPr>
          <w:rFonts w:cstheme="minorHAnsi"/>
          <w:sz w:val="21"/>
          <w:szCs w:val="21"/>
        </w:rPr>
        <w:t>make climate science feel more relevant to the farming community.</w:t>
      </w:r>
    </w:p>
    <w:p w14:paraId="46631A8C" w14:textId="77777777" w:rsidR="005C1089" w:rsidRPr="00157A3D" w:rsidRDefault="005C1089" w:rsidP="0016323E">
      <w:pPr>
        <w:spacing w:before="240"/>
        <w:jc w:val="both"/>
        <w:rPr>
          <w:rFonts w:cstheme="minorHAnsi"/>
          <w:sz w:val="21"/>
          <w:szCs w:val="21"/>
        </w:rPr>
      </w:pPr>
    </w:p>
    <w:p w14:paraId="38854A68" w14:textId="3498772B" w:rsidR="00831814" w:rsidRPr="00831814" w:rsidRDefault="007E1CAF" w:rsidP="005C1089">
      <w:pPr>
        <w:spacing w:before="240"/>
        <w:ind w:left="1843"/>
        <w:jc w:val="both"/>
        <w:rPr>
          <w:rFonts w:cstheme="minorHAnsi"/>
          <w:b/>
          <w:bCs/>
          <w:sz w:val="21"/>
          <w:szCs w:val="21"/>
        </w:rPr>
      </w:pPr>
      <w:r w:rsidRPr="007E1CAF">
        <w:rPr>
          <w:rFonts w:cstheme="minorHAnsi"/>
          <w:b/>
          <w:bCs/>
          <w:sz w:val="21"/>
          <w:szCs w:val="21"/>
        </w:rPr>
        <w:lastRenderedPageBreak/>
        <w:drawing>
          <wp:anchor distT="0" distB="0" distL="114300" distR="114300" simplePos="0" relativeHeight="251658240" behindDoc="0" locked="0" layoutInCell="1" allowOverlap="1" wp14:anchorId="7BA05FAF" wp14:editId="16BB5130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943600" cy="1979295"/>
            <wp:effectExtent l="0" t="0" r="0" b="1905"/>
            <wp:wrapTopAndBottom/>
            <wp:docPr id="106544020" name="Picture 2" descr="A graph of a pers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44020" name="Picture 2" descr="A graph of a perso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7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31814" w:rsidRPr="00831814">
        <w:rPr>
          <w:rFonts w:cstheme="minorHAnsi"/>
          <w:b/>
          <w:bCs/>
          <w:sz w:val="21"/>
          <w:szCs w:val="21"/>
        </w:rPr>
        <w:t xml:space="preserve">Figure 1. </w:t>
      </w:r>
      <w:r w:rsidR="005C1089">
        <w:rPr>
          <w:rFonts w:cstheme="minorHAnsi"/>
          <w:b/>
          <w:bCs/>
          <w:sz w:val="21"/>
          <w:szCs w:val="21"/>
        </w:rPr>
        <w:t>Annual yield prediction (1900–2100) for Northern Ireland</w:t>
      </w:r>
    </w:p>
    <w:p w14:paraId="056F0498" w14:textId="77777777" w:rsidR="007E1CAF" w:rsidRDefault="007E1CAF" w:rsidP="00246B83">
      <w:pPr>
        <w:spacing w:before="240"/>
        <w:jc w:val="both"/>
        <w:rPr>
          <w:rFonts w:cstheme="minorHAnsi"/>
          <w:sz w:val="21"/>
          <w:szCs w:val="21"/>
        </w:rPr>
      </w:pPr>
    </w:p>
    <w:p w14:paraId="6852E6F0" w14:textId="65367276" w:rsidR="002559C0" w:rsidRPr="0016323E" w:rsidRDefault="002559C0" w:rsidP="0016323E">
      <w:pPr>
        <w:spacing w:before="240"/>
        <w:ind w:left="2268"/>
        <w:jc w:val="both"/>
        <w:rPr>
          <w:rFonts w:cstheme="minorHAnsi"/>
          <w:b/>
          <w:bCs/>
          <w:sz w:val="21"/>
          <w:szCs w:val="21"/>
        </w:rPr>
      </w:pPr>
      <w:r w:rsidRPr="0016323E">
        <w:rPr>
          <w:rFonts w:cstheme="minorHAnsi"/>
          <w:b/>
          <w:bCs/>
          <w:sz w:val="21"/>
          <w:szCs w:val="21"/>
        </w:rPr>
        <w:t xml:space="preserve">Table 1. Probability of </w:t>
      </w:r>
      <w:r w:rsidR="0016323E" w:rsidRPr="0016323E">
        <w:rPr>
          <w:rFonts w:cstheme="minorHAnsi"/>
          <w:b/>
          <w:bCs/>
          <w:sz w:val="21"/>
          <w:szCs w:val="21"/>
        </w:rPr>
        <w:t>‘nil returns’ to fertilisation</w:t>
      </w:r>
      <w:r w:rsidRPr="0016323E">
        <w:rPr>
          <w:rFonts w:cstheme="minorHAnsi"/>
          <w:b/>
          <w:bCs/>
          <w:sz w:val="21"/>
          <w:szCs w:val="21"/>
        </w:rPr>
        <w:t xml:space="preserve"> </w:t>
      </w:r>
      <w:r w:rsidR="0016323E" w:rsidRPr="0016323E">
        <w:rPr>
          <w:rFonts w:cstheme="minorHAnsi"/>
          <w:b/>
          <w:bCs/>
          <w:sz w:val="21"/>
          <w:szCs w:val="21"/>
        </w:rPr>
        <w:t>events</w:t>
      </w:r>
    </w:p>
    <w:tbl>
      <w:tblPr>
        <w:tblStyle w:val="TableGrid"/>
        <w:tblW w:w="6804" w:type="dxa"/>
        <w:tblInd w:w="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</w:tblGrid>
      <w:tr w:rsidR="002559C0" w14:paraId="6864732C" w14:textId="77777777" w:rsidTr="005C1089">
        <w:trPr>
          <w:trHeight w:val="510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DCFF19A" w14:textId="413D5DB2" w:rsidR="002559C0" w:rsidRPr="002559C0" w:rsidRDefault="002559C0" w:rsidP="005C1089">
            <w:pPr>
              <w:spacing w:before="120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Marginal yield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D749430" w14:textId="1639CF72" w:rsidR="002559C0" w:rsidRPr="002559C0" w:rsidRDefault="002559C0" w:rsidP="005C1089">
            <w:pPr>
              <w:spacing w:before="120"/>
              <w:jc w:val="center"/>
              <w:rPr>
                <w:rFonts w:cstheme="minorHAnsi"/>
                <w:sz w:val="21"/>
                <w:szCs w:val="21"/>
              </w:rPr>
            </w:pPr>
            <w:r w:rsidRPr="007E1CAF">
              <w:rPr>
                <w:rFonts w:cstheme="minorHAnsi"/>
                <w:sz w:val="21"/>
                <w:szCs w:val="21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C65B6FF" w14:textId="42D7F3A6" w:rsidR="002559C0" w:rsidRPr="002559C0" w:rsidRDefault="002559C0" w:rsidP="005C1089">
            <w:pPr>
              <w:spacing w:before="120"/>
              <w:jc w:val="center"/>
              <w:rPr>
                <w:rFonts w:cstheme="minorHAnsi"/>
                <w:sz w:val="21"/>
                <w:szCs w:val="21"/>
              </w:rPr>
            </w:pPr>
            <w:r w:rsidRPr="007E1CAF">
              <w:rPr>
                <w:rFonts w:cstheme="minorHAnsi"/>
                <w:sz w:val="21"/>
                <w:szCs w:val="21"/>
              </w:rPr>
              <w:t>2100</w:t>
            </w:r>
          </w:p>
        </w:tc>
      </w:tr>
      <w:tr w:rsidR="002559C0" w14:paraId="778FE17D" w14:textId="77777777" w:rsidTr="005C1089">
        <w:trPr>
          <w:trHeight w:val="510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13A6B233" w14:textId="3A44DFF5" w:rsidR="002559C0" w:rsidRPr="002559C0" w:rsidRDefault="002559C0" w:rsidP="005C1089">
            <w:pPr>
              <w:spacing w:before="120"/>
              <w:jc w:val="center"/>
              <w:rPr>
                <w:rFonts w:cstheme="minorHAnsi"/>
                <w:sz w:val="21"/>
                <w:szCs w:val="21"/>
              </w:rPr>
            </w:pPr>
            <w:r w:rsidRPr="007E1CAF">
              <w:rPr>
                <w:rFonts w:cstheme="minorHAnsi"/>
                <w:sz w:val="21"/>
                <w:szCs w:val="21"/>
              </w:rPr>
              <w:t>&lt; 100 kg DM</w:t>
            </w:r>
            <w:r>
              <w:rPr>
                <w:rFonts w:cstheme="minorHAnsi"/>
                <w:sz w:val="21"/>
                <w:szCs w:val="21"/>
              </w:rPr>
              <w:t xml:space="preserve"> ha</w:t>
            </w:r>
            <w:r w:rsidRPr="002559C0">
              <w:rPr>
                <w:rFonts w:cstheme="minorHAnsi"/>
                <w:sz w:val="21"/>
                <w:szCs w:val="21"/>
                <w:vertAlign w:val="superscript"/>
              </w:rPr>
              <w:t>-1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7D0EFE07" w14:textId="473B26EB" w:rsidR="002559C0" w:rsidRPr="002559C0" w:rsidRDefault="002559C0" w:rsidP="005C1089">
            <w:pPr>
              <w:spacing w:before="120"/>
              <w:jc w:val="center"/>
              <w:rPr>
                <w:rFonts w:cstheme="minorHAnsi"/>
                <w:sz w:val="21"/>
                <w:szCs w:val="21"/>
              </w:rPr>
            </w:pPr>
            <w:r w:rsidRPr="007E1CAF">
              <w:rPr>
                <w:rFonts w:cstheme="minorHAnsi"/>
                <w:sz w:val="21"/>
                <w:szCs w:val="21"/>
              </w:rPr>
              <w:t>No case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433458E4" w14:textId="4350D0D3" w:rsidR="002559C0" w:rsidRPr="002559C0" w:rsidRDefault="002559C0" w:rsidP="005C1089">
            <w:pPr>
              <w:spacing w:before="120"/>
              <w:jc w:val="center"/>
              <w:rPr>
                <w:rFonts w:cstheme="minorHAnsi"/>
                <w:sz w:val="21"/>
                <w:szCs w:val="21"/>
              </w:rPr>
            </w:pPr>
            <w:r w:rsidRPr="007E1CAF">
              <w:rPr>
                <w:rFonts w:cstheme="minorHAnsi"/>
                <w:sz w:val="21"/>
                <w:szCs w:val="21"/>
              </w:rPr>
              <w:t>2.7%</w:t>
            </w:r>
          </w:p>
        </w:tc>
      </w:tr>
      <w:tr w:rsidR="002559C0" w14:paraId="2BF02886" w14:textId="77777777" w:rsidTr="005C1089">
        <w:trPr>
          <w:trHeight w:val="510"/>
        </w:trPr>
        <w:tc>
          <w:tcPr>
            <w:tcW w:w="2268" w:type="dxa"/>
            <w:vAlign w:val="center"/>
          </w:tcPr>
          <w:p w14:paraId="051252BF" w14:textId="51DCF049" w:rsidR="002559C0" w:rsidRPr="002559C0" w:rsidRDefault="002559C0" w:rsidP="005C1089">
            <w:pPr>
              <w:spacing w:before="120"/>
              <w:jc w:val="center"/>
              <w:rPr>
                <w:rFonts w:cstheme="minorHAnsi"/>
                <w:sz w:val="21"/>
                <w:szCs w:val="21"/>
              </w:rPr>
            </w:pPr>
            <w:r w:rsidRPr="007E1CAF">
              <w:rPr>
                <w:rFonts w:cstheme="minorHAnsi"/>
                <w:sz w:val="21"/>
                <w:szCs w:val="21"/>
              </w:rPr>
              <w:t>&lt; 200 kg DM</w:t>
            </w:r>
            <w:r>
              <w:rPr>
                <w:rFonts w:cstheme="minorHAnsi"/>
                <w:sz w:val="21"/>
                <w:szCs w:val="21"/>
              </w:rPr>
              <w:t xml:space="preserve"> ha</w:t>
            </w:r>
            <w:r w:rsidRPr="002559C0">
              <w:rPr>
                <w:rFonts w:cstheme="minorHAnsi"/>
                <w:sz w:val="21"/>
                <w:szCs w:val="21"/>
                <w:vertAlign w:val="superscript"/>
              </w:rPr>
              <w:t>-1</w:t>
            </w:r>
          </w:p>
        </w:tc>
        <w:tc>
          <w:tcPr>
            <w:tcW w:w="2268" w:type="dxa"/>
            <w:vAlign w:val="center"/>
          </w:tcPr>
          <w:p w14:paraId="2AFD2BDA" w14:textId="47994144" w:rsidR="002559C0" w:rsidRPr="002559C0" w:rsidRDefault="002559C0" w:rsidP="005C1089">
            <w:pPr>
              <w:spacing w:before="120"/>
              <w:jc w:val="center"/>
              <w:rPr>
                <w:rFonts w:cstheme="minorHAnsi"/>
                <w:sz w:val="21"/>
                <w:szCs w:val="21"/>
              </w:rPr>
            </w:pPr>
            <w:r w:rsidRPr="007E1CAF">
              <w:rPr>
                <w:rFonts w:cstheme="minorHAnsi"/>
                <w:sz w:val="21"/>
                <w:szCs w:val="21"/>
              </w:rPr>
              <w:t>5.3%</w:t>
            </w:r>
          </w:p>
        </w:tc>
        <w:tc>
          <w:tcPr>
            <w:tcW w:w="2268" w:type="dxa"/>
            <w:vAlign w:val="center"/>
          </w:tcPr>
          <w:p w14:paraId="4D880217" w14:textId="5D69A0B9" w:rsidR="002559C0" w:rsidRPr="002559C0" w:rsidRDefault="002559C0" w:rsidP="005C1089">
            <w:pPr>
              <w:spacing w:before="120"/>
              <w:jc w:val="center"/>
              <w:rPr>
                <w:rFonts w:cstheme="minorHAnsi"/>
                <w:sz w:val="21"/>
                <w:szCs w:val="21"/>
              </w:rPr>
            </w:pPr>
            <w:r w:rsidRPr="007E1CAF">
              <w:rPr>
                <w:rFonts w:cstheme="minorHAnsi"/>
                <w:sz w:val="21"/>
                <w:szCs w:val="21"/>
              </w:rPr>
              <w:t>16.7%</w:t>
            </w:r>
          </w:p>
        </w:tc>
      </w:tr>
      <w:tr w:rsidR="002559C0" w14:paraId="49AC8B97" w14:textId="77777777" w:rsidTr="005C1089">
        <w:trPr>
          <w:trHeight w:val="510"/>
        </w:trPr>
        <w:tc>
          <w:tcPr>
            <w:tcW w:w="2268" w:type="dxa"/>
            <w:tcBorders>
              <w:bottom w:val="single" w:sz="4" w:space="0" w:color="auto"/>
            </w:tcBorders>
            <w:noWrap/>
            <w:vAlign w:val="center"/>
          </w:tcPr>
          <w:p w14:paraId="25711C79" w14:textId="23FB05C0" w:rsidR="002559C0" w:rsidRPr="002559C0" w:rsidRDefault="002559C0" w:rsidP="005C1089">
            <w:pPr>
              <w:spacing w:before="120"/>
              <w:jc w:val="center"/>
              <w:rPr>
                <w:rFonts w:cstheme="minorHAnsi"/>
                <w:sz w:val="21"/>
                <w:szCs w:val="21"/>
              </w:rPr>
            </w:pPr>
            <w:r w:rsidRPr="007E1CAF">
              <w:rPr>
                <w:rFonts w:cstheme="minorHAnsi"/>
                <w:sz w:val="21"/>
                <w:szCs w:val="21"/>
              </w:rPr>
              <w:t>&lt; 300 kg DM</w:t>
            </w:r>
            <w:r>
              <w:rPr>
                <w:rFonts w:cstheme="minorHAnsi"/>
                <w:sz w:val="21"/>
                <w:szCs w:val="21"/>
              </w:rPr>
              <w:t xml:space="preserve"> ha</w:t>
            </w:r>
            <w:r w:rsidRPr="002559C0">
              <w:rPr>
                <w:rFonts w:cstheme="minorHAnsi"/>
                <w:sz w:val="21"/>
                <w:szCs w:val="21"/>
                <w:vertAlign w:val="superscript"/>
              </w:rPr>
              <w:t>-1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noWrap/>
            <w:vAlign w:val="center"/>
          </w:tcPr>
          <w:p w14:paraId="7F5E0BEB" w14:textId="332813F6" w:rsidR="002559C0" w:rsidRPr="002559C0" w:rsidRDefault="002559C0" w:rsidP="005C1089">
            <w:pPr>
              <w:spacing w:before="120"/>
              <w:jc w:val="center"/>
              <w:rPr>
                <w:rFonts w:cstheme="minorHAnsi"/>
                <w:sz w:val="21"/>
                <w:szCs w:val="21"/>
              </w:rPr>
            </w:pPr>
            <w:r w:rsidRPr="007E1CAF">
              <w:rPr>
                <w:rFonts w:cstheme="minorHAnsi"/>
                <w:sz w:val="21"/>
                <w:szCs w:val="21"/>
              </w:rPr>
              <w:t>22.0%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noWrap/>
            <w:vAlign w:val="center"/>
          </w:tcPr>
          <w:p w14:paraId="55FC3EE4" w14:textId="239296DE" w:rsidR="002559C0" w:rsidRPr="002559C0" w:rsidRDefault="002559C0" w:rsidP="005C1089">
            <w:pPr>
              <w:spacing w:before="120"/>
              <w:jc w:val="center"/>
              <w:rPr>
                <w:rFonts w:cstheme="minorHAnsi"/>
                <w:sz w:val="21"/>
                <w:szCs w:val="21"/>
              </w:rPr>
            </w:pPr>
            <w:r w:rsidRPr="007E1CAF">
              <w:rPr>
                <w:rFonts w:cstheme="minorHAnsi"/>
                <w:sz w:val="21"/>
                <w:szCs w:val="21"/>
              </w:rPr>
              <w:t>30.7%</w:t>
            </w:r>
          </w:p>
        </w:tc>
      </w:tr>
    </w:tbl>
    <w:p w14:paraId="74B4628D" w14:textId="77777777" w:rsidR="007E1CAF" w:rsidRPr="007E1CAF" w:rsidRDefault="007E1CAF" w:rsidP="00246B83">
      <w:pPr>
        <w:spacing w:before="240"/>
        <w:jc w:val="both"/>
        <w:rPr>
          <w:rFonts w:cstheme="minorHAnsi"/>
          <w:sz w:val="21"/>
          <w:szCs w:val="21"/>
        </w:rPr>
      </w:pPr>
    </w:p>
    <w:p w14:paraId="10357FE8" w14:textId="49353FE3" w:rsidR="0004510E" w:rsidRPr="00157A3D" w:rsidRDefault="00F86525" w:rsidP="007A60B1">
      <w:pPr>
        <w:jc w:val="both"/>
        <w:rPr>
          <w:rFonts w:cstheme="minorHAnsi"/>
          <w:sz w:val="21"/>
          <w:szCs w:val="21"/>
        </w:rPr>
      </w:pPr>
      <w:r w:rsidRPr="00157A3D">
        <w:rPr>
          <w:rFonts w:cstheme="minorHAnsi"/>
          <w:b/>
          <w:bCs/>
          <w:sz w:val="21"/>
          <w:szCs w:val="21"/>
        </w:rPr>
        <w:t>Acknowledgements:</w:t>
      </w:r>
      <w:r w:rsidRPr="00157A3D">
        <w:rPr>
          <w:rFonts w:cstheme="minorHAnsi"/>
          <w:sz w:val="21"/>
          <w:szCs w:val="21"/>
        </w:rPr>
        <w:t xml:space="preserve"> </w:t>
      </w:r>
      <w:r w:rsidR="00AF43D0">
        <w:rPr>
          <w:rFonts w:cstheme="minorHAnsi"/>
          <w:sz w:val="21"/>
          <w:szCs w:val="21"/>
        </w:rPr>
        <w:t>Funding sources are w</w:t>
      </w:r>
      <w:r w:rsidR="005C23FC">
        <w:rPr>
          <w:rFonts w:cstheme="minorHAnsi"/>
          <w:sz w:val="21"/>
          <w:szCs w:val="21"/>
        </w:rPr>
        <w:t xml:space="preserve">ithheld </w:t>
      </w:r>
      <w:r w:rsidR="00831814">
        <w:rPr>
          <w:rFonts w:cstheme="minorHAnsi"/>
          <w:sz w:val="21"/>
          <w:szCs w:val="21"/>
        </w:rPr>
        <w:t xml:space="preserve">to ensure the </w:t>
      </w:r>
      <w:r w:rsidR="005C23FC">
        <w:rPr>
          <w:rFonts w:cstheme="minorHAnsi"/>
          <w:sz w:val="21"/>
          <w:szCs w:val="21"/>
        </w:rPr>
        <w:t>blind review</w:t>
      </w:r>
      <w:r w:rsidR="00694721">
        <w:rPr>
          <w:rFonts w:cstheme="minorHAnsi"/>
          <w:sz w:val="21"/>
          <w:szCs w:val="21"/>
        </w:rPr>
        <w:t>.</w:t>
      </w:r>
    </w:p>
    <w:p w14:paraId="6E94B6F4" w14:textId="22CF06AE" w:rsidR="00F86525" w:rsidRDefault="00F86525" w:rsidP="005C23FC">
      <w:pPr>
        <w:spacing w:after="0"/>
        <w:jc w:val="both"/>
        <w:rPr>
          <w:rFonts w:cstheme="minorHAnsi"/>
          <w:sz w:val="21"/>
          <w:szCs w:val="21"/>
        </w:rPr>
      </w:pPr>
      <w:r w:rsidRPr="00157A3D">
        <w:rPr>
          <w:rFonts w:cstheme="minorHAnsi"/>
          <w:b/>
          <w:bCs/>
          <w:sz w:val="21"/>
          <w:szCs w:val="21"/>
        </w:rPr>
        <w:t>References:</w:t>
      </w:r>
    </w:p>
    <w:p w14:paraId="729DA4D6" w14:textId="1D9E0E60" w:rsidR="00BD3C1B" w:rsidRDefault="00BD3C1B" w:rsidP="00400086">
      <w:pPr>
        <w:spacing w:after="40" w:line="240" w:lineRule="auto"/>
        <w:jc w:val="both"/>
        <w:rPr>
          <w:rFonts w:cstheme="minorHAnsi"/>
          <w:sz w:val="21"/>
          <w:szCs w:val="21"/>
        </w:rPr>
      </w:pPr>
      <w:r w:rsidRPr="00BD3C1B">
        <w:rPr>
          <w:rFonts w:cstheme="minorHAnsi"/>
          <w:sz w:val="21"/>
          <w:szCs w:val="21"/>
          <w:lang w:val="fr-FR"/>
        </w:rPr>
        <w:t>Barrett et al., 20</w:t>
      </w:r>
      <w:r w:rsidRPr="00BD3C1B">
        <w:rPr>
          <w:rFonts w:cstheme="minorHAnsi"/>
          <w:sz w:val="21"/>
          <w:szCs w:val="21"/>
          <w:lang w:val="fr-FR"/>
        </w:rPr>
        <w:t>0</w:t>
      </w:r>
      <w:r w:rsidRPr="00BD3C1B">
        <w:rPr>
          <w:rFonts w:cstheme="minorHAnsi"/>
          <w:sz w:val="21"/>
          <w:szCs w:val="21"/>
          <w:lang w:val="fr-FR"/>
        </w:rPr>
        <w:t>5</w:t>
      </w:r>
      <w:r w:rsidRPr="00BD3C1B">
        <w:rPr>
          <w:rFonts w:cstheme="minorHAnsi"/>
          <w:sz w:val="21"/>
          <w:szCs w:val="21"/>
          <w:lang w:val="fr-FR"/>
        </w:rPr>
        <w:t xml:space="preserve">. </w:t>
      </w:r>
      <w:r w:rsidRPr="00BD3C1B">
        <w:rPr>
          <w:rFonts w:cstheme="minorHAnsi"/>
          <w:sz w:val="21"/>
          <w:szCs w:val="21"/>
        </w:rPr>
        <w:t>European Journal of</w:t>
      </w:r>
      <w:r>
        <w:rPr>
          <w:rFonts w:cstheme="minorHAnsi"/>
          <w:sz w:val="21"/>
          <w:szCs w:val="21"/>
        </w:rPr>
        <w:t xml:space="preserve"> Agronomy 23: </w:t>
      </w:r>
      <w:r w:rsidRPr="00BD3C1B">
        <w:rPr>
          <w:rFonts w:cstheme="minorHAnsi"/>
          <w:sz w:val="21"/>
          <w:szCs w:val="21"/>
        </w:rPr>
        <w:t>37-56</w:t>
      </w:r>
      <w:r>
        <w:rPr>
          <w:rFonts w:cstheme="minorHAnsi"/>
          <w:sz w:val="21"/>
          <w:szCs w:val="21"/>
        </w:rPr>
        <w:t>.</w:t>
      </w:r>
    </w:p>
    <w:p w14:paraId="2B47B6D3" w14:textId="4B5C94A9" w:rsidR="0016323E" w:rsidRDefault="0016323E" w:rsidP="00400086">
      <w:pPr>
        <w:spacing w:after="40" w:line="240" w:lineRule="auto"/>
        <w:jc w:val="both"/>
        <w:rPr>
          <w:rFonts w:cstheme="minorHAnsi"/>
          <w:sz w:val="21"/>
          <w:szCs w:val="21"/>
        </w:rPr>
      </w:pPr>
      <w:r w:rsidRPr="0016323E">
        <w:rPr>
          <w:rFonts w:cstheme="minorHAnsi"/>
          <w:sz w:val="21"/>
          <w:szCs w:val="21"/>
        </w:rPr>
        <w:t>Hopkins</w:t>
      </w:r>
      <w:r>
        <w:rPr>
          <w:rFonts w:cstheme="minorHAnsi"/>
          <w:sz w:val="21"/>
          <w:szCs w:val="21"/>
        </w:rPr>
        <w:t xml:space="preserve"> &amp; D</w:t>
      </w:r>
      <w:r w:rsidRPr="0016323E">
        <w:rPr>
          <w:rFonts w:cstheme="minorHAnsi"/>
          <w:sz w:val="21"/>
          <w:szCs w:val="21"/>
        </w:rPr>
        <w:t>el Prado</w:t>
      </w:r>
      <w:r>
        <w:rPr>
          <w:rFonts w:cstheme="minorHAnsi"/>
          <w:sz w:val="21"/>
          <w:szCs w:val="21"/>
        </w:rPr>
        <w:t xml:space="preserve">, 2017. Grass and Forace Science 62: </w:t>
      </w:r>
      <w:r w:rsidRPr="0016323E">
        <w:rPr>
          <w:rFonts w:cstheme="minorHAnsi"/>
          <w:sz w:val="21"/>
          <w:szCs w:val="21"/>
        </w:rPr>
        <w:t>118-126</w:t>
      </w:r>
      <w:r>
        <w:rPr>
          <w:rFonts w:cstheme="minorHAnsi"/>
          <w:sz w:val="21"/>
          <w:szCs w:val="21"/>
        </w:rPr>
        <w:t>.</w:t>
      </w:r>
    </w:p>
    <w:p w14:paraId="34E312D7" w14:textId="0B494B00" w:rsidR="00355C1C" w:rsidRPr="00BD3C1B" w:rsidRDefault="00355C1C" w:rsidP="00400086">
      <w:pPr>
        <w:spacing w:after="40" w:line="240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Met Office, 2019. </w:t>
      </w:r>
      <w:r w:rsidRPr="00355C1C">
        <w:rPr>
          <w:rFonts w:cstheme="minorHAnsi"/>
          <w:sz w:val="21"/>
          <w:szCs w:val="21"/>
        </w:rPr>
        <w:t>UKCP18 Science Overview Report</w:t>
      </w:r>
      <w:r>
        <w:rPr>
          <w:rFonts w:cstheme="minorHAnsi"/>
          <w:sz w:val="21"/>
          <w:szCs w:val="21"/>
        </w:rPr>
        <w:t>.</w:t>
      </w:r>
    </w:p>
    <w:sectPr w:rsidR="00355C1C" w:rsidRPr="00BD3C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25"/>
    <w:rsid w:val="00041C8F"/>
    <w:rsid w:val="00043E79"/>
    <w:rsid w:val="0004510E"/>
    <w:rsid w:val="000470AB"/>
    <w:rsid w:val="00050958"/>
    <w:rsid w:val="0005684E"/>
    <w:rsid w:val="00063B92"/>
    <w:rsid w:val="000934A1"/>
    <w:rsid w:val="00097629"/>
    <w:rsid w:val="000B1F81"/>
    <w:rsid w:val="000C65A5"/>
    <w:rsid w:val="000D24AA"/>
    <w:rsid w:val="000E2FBC"/>
    <w:rsid w:val="000F201E"/>
    <w:rsid w:val="000F3656"/>
    <w:rsid w:val="000F5703"/>
    <w:rsid w:val="00111012"/>
    <w:rsid w:val="00121D63"/>
    <w:rsid w:val="001238BA"/>
    <w:rsid w:val="00126C77"/>
    <w:rsid w:val="00157A3D"/>
    <w:rsid w:val="001625B8"/>
    <w:rsid w:val="0016323E"/>
    <w:rsid w:val="00166D3C"/>
    <w:rsid w:val="00187C55"/>
    <w:rsid w:val="00187CBC"/>
    <w:rsid w:val="001924A5"/>
    <w:rsid w:val="0019395D"/>
    <w:rsid w:val="001A1456"/>
    <w:rsid w:val="001C525C"/>
    <w:rsid w:val="001C63B0"/>
    <w:rsid w:val="001E0029"/>
    <w:rsid w:val="001E2245"/>
    <w:rsid w:val="00213318"/>
    <w:rsid w:val="002424D1"/>
    <w:rsid w:val="00243561"/>
    <w:rsid w:val="00246B83"/>
    <w:rsid w:val="002559C0"/>
    <w:rsid w:val="00256E79"/>
    <w:rsid w:val="0025787B"/>
    <w:rsid w:val="00260294"/>
    <w:rsid w:val="002936AF"/>
    <w:rsid w:val="00297A71"/>
    <w:rsid w:val="002A5428"/>
    <w:rsid w:val="002A71C5"/>
    <w:rsid w:val="002C4B50"/>
    <w:rsid w:val="002D00DF"/>
    <w:rsid w:val="002D645B"/>
    <w:rsid w:val="002F4A06"/>
    <w:rsid w:val="002F5C84"/>
    <w:rsid w:val="002F7A98"/>
    <w:rsid w:val="0032638F"/>
    <w:rsid w:val="00330B8E"/>
    <w:rsid w:val="00331CB4"/>
    <w:rsid w:val="00340284"/>
    <w:rsid w:val="003444DA"/>
    <w:rsid w:val="00347467"/>
    <w:rsid w:val="00355C1C"/>
    <w:rsid w:val="003655A5"/>
    <w:rsid w:val="00371415"/>
    <w:rsid w:val="00372F28"/>
    <w:rsid w:val="003739BC"/>
    <w:rsid w:val="00376746"/>
    <w:rsid w:val="0037735D"/>
    <w:rsid w:val="003975CD"/>
    <w:rsid w:val="003A052C"/>
    <w:rsid w:val="003A141F"/>
    <w:rsid w:val="003A6D01"/>
    <w:rsid w:val="003B16D9"/>
    <w:rsid w:val="003B51F4"/>
    <w:rsid w:val="003B596D"/>
    <w:rsid w:val="003C12C2"/>
    <w:rsid w:val="003C79DE"/>
    <w:rsid w:val="003D547C"/>
    <w:rsid w:val="003D5B86"/>
    <w:rsid w:val="003F1815"/>
    <w:rsid w:val="003F2EE1"/>
    <w:rsid w:val="003F6C6E"/>
    <w:rsid w:val="00400086"/>
    <w:rsid w:val="00412895"/>
    <w:rsid w:val="00421132"/>
    <w:rsid w:val="004214B3"/>
    <w:rsid w:val="00421632"/>
    <w:rsid w:val="004263D1"/>
    <w:rsid w:val="00433CA5"/>
    <w:rsid w:val="004343BA"/>
    <w:rsid w:val="0044213D"/>
    <w:rsid w:val="004555FE"/>
    <w:rsid w:val="00465D0F"/>
    <w:rsid w:val="00471DBA"/>
    <w:rsid w:val="004C1148"/>
    <w:rsid w:val="004D499B"/>
    <w:rsid w:val="004F6CDC"/>
    <w:rsid w:val="00500543"/>
    <w:rsid w:val="00502D06"/>
    <w:rsid w:val="005138EA"/>
    <w:rsid w:val="00515417"/>
    <w:rsid w:val="0051774E"/>
    <w:rsid w:val="0052327D"/>
    <w:rsid w:val="005403B5"/>
    <w:rsid w:val="0055554A"/>
    <w:rsid w:val="00557DF4"/>
    <w:rsid w:val="00560D3D"/>
    <w:rsid w:val="00561F80"/>
    <w:rsid w:val="005645FF"/>
    <w:rsid w:val="005707E1"/>
    <w:rsid w:val="00575FA2"/>
    <w:rsid w:val="00582181"/>
    <w:rsid w:val="00587405"/>
    <w:rsid w:val="00595635"/>
    <w:rsid w:val="005B37DD"/>
    <w:rsid w:val="005B3FC2"/>
    <w:rsid w:val="005C1089"/>
    <w:rsid w:val="005C1D93"/>
    <w:rsid w:val="005C23FC"/>
    <w:rsid w:val="005C4196"/>
    <w:rsid w:val="005D186A"/>
    <w:rsid w:val="005E6D00"/>
    <w:rsid w:val="005F4B1E"/>
    <w:rsid w:val="0060631D"/>
    <w:rsid w:val="00613250"/>
    <w:rsid w:val="00623F5B"/>
    <w:rsid w:val="006266B2"/>
    <w:rsid w:val="00655998"/>
    <w:rsid w:val="00661663"/>
    <w:rsid w:val="00667958"/>
    <w:rsid w:val="00685D7D"/>
    <w:rsid w:val="00694721"/>
    <w:rsid w:val="006A6314"/>
    <w:rsid w:val="006C1357"/>
    <w:rsid w:val="006C444A"/>
    <w:rsid w:val="006C5665"/>
    <w:rsid w:val="006D3F0F"/>
    <w:rsid w:val="006D6C35"/>
    <w:rsid w:val="006E36BF"/>
    <w:rsid w:val="006E726F"/>
    <w:rsid w:val="0070277D"/>
    <w:rsid w:val="007035D6"/>
    <w:rsid w:val="007055F4"/>
    <w:rsid w:val="00706A86"/>
    <w:rsid w:val="007155BF"/>
    <w:rsid w:val="00715877"/>
    <w:rsid w:val="007227CD"/>
    <w:rsid w:val="007267C3"/>
    <w:rsid w:val="00732BD6"/>
    <w:rsid w:val="007339CA"/>
    <w:rsid w:val="00751E7D"/>
    <w:rsid w:val="00753E86"/>
    <w:rsid w:val="00766597"/>
    <w:rsid w:val="00767B1B"/>
    <w:rsid w:val="00777201"/>
    <w:rsid w:val="00780647"/>
    <w:rsid w:val="00782D80"/>
    <w:rsid w:val="007A371F"/>
    <w:rsid w:val="007A60AC"/>
    <w:rsid w:val="007A60B1"/>
    <w:rsid w:val="007B2255"/>
    <w:rsid w:val="007B7907"/>
    <w:rsid w:val="007C40DA"/>
    <w:rsid w:val="007D5F79"/>
    <w:rsid w:val="007D7FED"/>
    <w:rsid w:val="007E1CAF"/>
    <w:rsid w:val="007E3F56"/>
    <w:rsid w:val="007F37D6"/>
    <w:rsid w:val="0080206C"/>
    <w:rsid w:val="00825DB0"/>
    <w:rsid w:val="00831814"/>
    <w:rsid w:val="00837DE3"/>
    <w:rsid w:val="00844622"/>
    <w:rsid w:val="008600BB"/>
    <w:rsid w:val="0087583B"/>
    <w:rsid w:val="008766A3"/>
    <w:rsid w:val="008856DA"/>
    <w:rsid w:val="00885777"/>
    <w:rsid w:val="008A2D22"/>
    <w:rsid w:val="008A40EF"/>
    <w:rsid w:val="008B2F01"/>
    <w:rsid w:val="008D359E"/>
    <w:rsid w:val="008D4C47"/>
    <w:rsid w:val="008D708B"/>
    <w:rsid w:val="008E4C19"/>
    <w:rsid w:val="008F4269"/>
    <w:rsid w:val="0090266D"/>
    <w:rsid w:val="0090549E"/>
    <w:rsid w:val="0091194E"/>
    <w:rsid w:val="00922234"/>
    <w:rsid w:val="00923AE1"/>
    <w:rsid w:val="009257CE"/>
    <w:rsid w:val="00947498"/>
    <w:rsid w:val="009533D9"/>
    <w:rsid w:val="00954D41"/>
    <w:rsid w:val="00963C5B"/>
    <w:rsid w:val="00982038"/>
    <w:rsid w:val="00983D2C"/>
    <w:rsid w:val="009959AC"/>
    <w:rsid w:val="009A6467"/>
    <w:rsid w:val="009B3BBE"/>
    <w:rsid w:val="009C6C9C"/>
    <w:rsid w:val="009D430D"/>
    <w:rsid w:val="009D54FB"/>
    <w:rsid w:val="009E3E4C"/>
    <w:rsid w:val="009E69CD"/>
    <w:rsid w:val="009F35E9"/>
    <w:rsid w:val="009F413D"/>
    <w:rsid w:val="00A1547F"/>
    <w:rsid w:val="00A451AC"/>
    <w:rsid w:val="00A53953"/>
    <w:rsid w:val="00A54254"/>
    <w:rsid w:val="00A57691"/>
    <w:rsid w:val="00A66621"/>
    <w:rsid w:val="00A71E11"/>
    <w:rsid w:val="00A720B0"/>
    <w:rsid w:val="00A77620"/>
    <w:rsid w:val="00A82E19"/>
    <w:rsid w:val="00A922D1"/>
    <w:rsid w:val="00A97176"/>
    <w:rsid w:val="00A97D45"/>
    <w:rsid w:val="00AD16A6"/>
    <w:rsid w:val="00AE79FA"/>
    <w:rsid w:val="00AF43D0"/>
    <w:rsid w:val="00AF4907"/>
    <w:rsid w:val="00AF6AEB"/>
    <w:rsid w:val="00B047BB"/>
    <w:rsid w:val="00B05D39"/>
    <w:rsid w:val="00B07B9B"/>
    <w:rsid w:val="00B550B8"/>
    <w:rsid w:val="00B63839"/>
    <w:rsid w:val="00B65B39"/>
    <w:rsid w:val="00B66314"/>
    <w:rsid w:val="00B67726"/>
    <w:rsid w:val="00B76B48"/>
    <w:rsid w:val="00B76D22"/>
    <w:rsid w:val="00B9152B"/>
    <w:rsid w:val="00B936AE"/>
    <w:rsid w:val="00B95770"/>
    <w:rsid w:val="00B96AED"/>
    <w:rsid w:val="00B96C3E"/>
    <w:rsid w:val="00BB55E2"/>
    <w:rsid w:val="00BD3C1B"/>
    <w:rsid w:val="00BE2985"/>
    <w:rsid w:val="00BE734E"/>
    <w:rsid w:val="00BE759D"/>
    <w:rsid w:val="00BF4501"/>
    <w:rsid w:val="00C00D15"/>
    <w:rsid w:val="00C144A3"/>
    <w:rsid w:val="00C155DB"/>
    <w:rsid w:val="00C21A9E"/>
    <w:rsid w:val="00C23360"/>
    <w:rsid w:val="00C257D5"/>
    <w:rsid w:val="00C26624"/>
    <w:rsid w:val="00C27D89"/>
    <w:rsid w:val="00C30703"/>
    <w:rsid w:val="00C319B8"/>
    <w:rsid w:val="00C34C76"/>
    <w:rsid w:val="00C36BAB"/>
    <w:rsid w:val="00C62866"/>
    <w:rsid w:val="00C63761"/>
    <w:rsid w:val="00C75682"/>
    <w:rsid w:val="00C839AD"/>
    <w:rsid w:val="00C97225"/>
    <w:rsid w:val="00CA363C"/>
    <w:rsid w:val="00CB1FF7"/>
    <w:rsid w:val="00CB49B4"/>
    <w:rsid w:val="00CD2B52"/>
    <w:rsid w:val="00CD4A6A"/>
    <w:rsid w:val="00CF170F"/>
    <w:rsid w:val="00CF20C7"/>
    <w:rsid w:val="00CF2C36"/>
    <w:rsid w:val="00CF4F46"/>
    <w:rsid w:val="00D04309"/>
    <w:rsid w:val="00D11160"/>
    <w:rsid w:val="00D140E6"/>
    <w:rsid w:val="00D20B6F"/>
    <w:rsid w:val="00D21C2B"/>
    <w:rsid w:val="00D23455"/>
    <w:rsid w:val="00D31E84"/>
    <w:rsid w:val="00D36C17"/>
    <w:rsid w:val="00D5075D"/>
    <w:rsid w:val="00D56C4D"/>
    <w:rsid w:val="00D70142"/>
    <w:rsid w:val="00D70BBA"/>
    <w:rsid w:val="00D805CC"/>
    <w:rsid w:val="00D87BB5"/>
    <w:rsid w:val="00D913C2"/>
    <w:rsid w:val="00D94452"/>
    <w:rsid w:val="00DB65DF"/>
    <w:rsid w:val="00DE66BE"/>
    <w:rsid w:val="00DF58A6"/>
    <w:rsid w:val="00E004A0"/>
    <w:rsid w:val="00E13FCD"/>
    <w:rsid w:val="00E27579"/>
    <w:rsid w:val="00E36E0A"/>
    <w:rsid w:val="00E52746"/>
    <w:rsid w:val="00E531E7"/>
    <w:rsid w:val="00E53E04"/>
    <w:rsid w:val="00E7139D"/>
    <w:rsid w:val="00E86A36"/>
    <w:rsid w:val="00E9422B"/>
    <w:rsid w:val="00E9448F"/>
    <w:rsid w:val="00EA2C73"/>
    <w:rsid w:val="00EA3FAB"/>
    <w:rsid w:val="00EA47D4"/>
    <w:rsid w:val="00EA4A36"/>
    <w:rsid w:val="00ED039C"/>
    <w:rsid w:val="00EE0FE5"/>
    <w:rsid w:val="00EE6E2D"/>
    <w:rsid w:val="00EF7C5A"/>
    <w:rsid w:val="00F129F7"/>
    <w:rsid w:val="00F43ABF"/>
    <w:rsid w:val="00F43CC0"/>
    <w:rsid w:val="00F45772"/>
    <w:rsid w:val="00F538AB"/>
    <w:rsid w:val="00F53B9B"/>
    <w:rsid w:val="00F621D5"/>
    <w:rsid w:val="00F64CBC"/>
    <w:rsid w:val="00F74181"/>
    <w:rsid w:val="00F7444F"/>
    <w:rsid w:val="00F8260D"/>
    <w:rsid w:val="00F86525"/>
    <w:rsid w:val="00F86E19"/>
    <w:rsid w:val="00FA6483"/>
    <w:rsid w:val="00FB4E60"/>
    <w:rsid w:val="00FB7156"/>
    <w:rsid w:val="00FD499D"/>
    <w:rsid w:val="00FE1605"/>
    <w:rsid w:val="00FE41B6"/>
    <w:rsid w:val="00FE63C1"/>
    <w:rsid w:val="00FF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BF8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3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83D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3D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3D2C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3D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3D2C"/>
    <w:rPr>
      <w:b/>
      <w:bCs/>
      <w:sz w:val="20"/>
      <w:szCs w:val="20"/>
      <w:lang w:val="en-GB"/>
    </w:rPr>
  </w:style>
  <w:style w:type="character" w:customStyle="1" w:styleId="cf01">
    <w:name w:val="cf01"/>
    <w:basedOn w:val="DefaultParagraphFont"/>
    <w:rsid w:val="00983D2C"/>
    <w:rPr>
      <w:rFonts w:ascii="Segoe UI" w:hAnsi="Segoe UI" w:cs="Segoe UI" w:hint="default"/>
      <w:sz w:val="18"/>
      <w:szCs w:val="18"/>
    </w:rPr>
  </w:style>
  <w:style w:type="table" w:styleId="TableGridLight">
    <w:name w:val="Grid Table Light"/>
    <w:basedOn w:val="TableNormal"/>
    <w:uiPriority w:val="40"/>
    <w:rsid w:val="007E1C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10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684</Words>
  <Characters>3904</Characters>
  <Application>Microsoft Office Word</Application>
  <DocSecurity>0</DocSecurity>
  <Lines>32</Lines>
  <Paragraphs>9</Paragraphs>
  <ScaleCrop>false</ScaleCrop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2024-11-18T11:08:00Z</dcterms:created>
  <dcterms:modified xsi:type="dcterms:W3CDTF">2024-11-18T11:08:00Z</dcterms:modified>
</cp:coreProperties>
</file>