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CA7E" w14:textId="382E2067" w:rsidR="00FA27E7" w:rsidRPr="003A0436" w:rsidRDefault="007B30E3" w:rsidP="003A0436">
      <w:pPr>
        <w:spacing w:after="0" w:line="240" w:lineRule="auto"/>
        <w:rPr>
          <w:rFonts w:ascii="Times New Roman" w:hAnsi="Times New Roman" w:cs="Times New Roman"/>
          <w:b/>
          <w:bCs/>
          <w:sz w:val="20"/>
          <w:szCs w:val="20"/>
          <w:lang w:val="en-US"/>
        </w:rPr>
      </w:pPr>
      <w:r w:rsidRPr="003A0436">
        <w:rPr>
          <w:rFonts w:ascii="Times New Roman" w:hAnsi="Times New Roman" w:cs="Times New Roman"/>
          <w:b/>
          <w:bCs/>
          <w:sz w:val="20"/>
          <w:szCs w:val="20"/>
          <w:lang w:val="en-US"/>
        </w:rPr>
        <w:t>Application</w:t>
      </w:r>
    </w:p>
    <w:p w14:paraId="07C9ECB3" w14:textId="11C8B4C7" w:rsidR="007B30E3" w:rsidRPr="003A0436" w:rsidRDefault="00066491" w:rsidP="003A0436">
      <w:pPr>
        <w:spacing w:after="0" w:line="240" w:lineRule="auto"/>
        <w:jc w:val="both"/>
        <w:rPr>
          <w:rFonts w:ascii="Times New Roman" w:hAnsi="Times New Roman" w:cs="Times New Roman"/>
          <w:sz w:val="20"/>
          <w:szCs w:val="20"/>
          <w:lang w:val="en-US"/>
        </w:rPr>
      </w:pPr>
      <w:r w:rsidRPr="003A0436">
        <w:rPr>
          <w:rFonts w:ascii="Times New Roman" w:hAnsi="Times New Roman" w:cs="Times New Roman"/>
          <w:sz w:val="20"/>
          <w:szCs w:val="20"/>
          <w:lang w:val="en-US"/>
        </w:rPr>
        <w:t>Presently</w:t>
      </w:r>
      <w:r w:rsidR="004A754A" w:rsidRPr="003A0436">
        <w:rPr>
          <w:rFonts w:ascii="Times New Roman" w:hAnsi="Times New Roman" w:cs="Times New Roman"/>
          <w:sz w:val="20"/>
          <w:szCs w:val="20"/>
          <w:lang w:val="en-US"/>
        </w:rPr>
        <w:t xml:space="preserve">, the </w:t>
      </w:r>
      <w:r w:rsidR="006D11ED" w:rsidRPr="003A0436">
        <w:rPr>
          <w:rFonts w:ascii="Times New Roman" w:hAnsi="Times New Roman" w:cs="Times New Roman"/>
          <w:sz w:val="20"/>
          <w:szCs w:val="20"/>
          <w:lang w:val="en-US"/>
        </w:rPr>
        <w:t xml:space="preserve">beef carcass carries the entire environmental loading with </w:t>
      </w:r>
      <w:r w:rsidR="009D46CA" w:rsidRPr="003A0436">
        <w:rPr>
          <w:rFonts w:ascii="Times New Roman" w:hAnsi="Times New Roman" w:cs="Times New Roman"/>
          <w:sz w:val="20"/>
          <w:szCs w:val="20"/>
          <w:lang w:val="en-US"/>
        </w:rPr>
        <w:t>all</w:t>
      </w:r>
      <w:r w:rsidR="006D11ED" w:rsidRPr="003A0436">
        <w:rPr>
          <w:rFonts w:ascii="Times New Roman" w:hAnsi="Times New Roman" w:cs="Times New Roman"/>
          <w:sz w:val="20"/>
          <w:szCs w:val="20"/>
          <w:lang w:val="en-US"/>
        </w:rPr>
        <w:t xml:space="preserve"> non</w:t>
      </w:r>
      <w:r w:rsidR="008E16BF" w:rsidRPr="0050714D">
        <w:rPr>
          <w:rFonts w:ascii="Times New Roman" w:hAnsi="Times New Roman" w:cs="Times New Roman"/>
          <w:sz w:val="20"/>
          <w:szCs w:val="20"/>
          <w:lang w:val="en-US"/>
        </w:rPr>
        <w:t>-</w:t>
      </w:r>
      <w:r w:rsidR="006D11ED" w:rsidRPr="003A0436">
        <w:rPr>
          <w:rFonts w:ascii="Times New Roman" w:hAnsi="Times New Roman" w:cs="Times New Roman"/>
          <w:sz w:val="20"/>
          <w:szCs w:val="20"/>
          <w:lang w:val="en-US"/>
        </w:rPr>
        <w:t>carcass</w:t>
      </w:r>
      <w:r w:rsidRPr="003A0436">
        <w:rPr>
          <w:rFonts w:ascii="Times New Roman" w:hAnsi="Times New Roman" w:cs="Times New Roman"/>
          <w:sz w:val="20"/>
          <w:szCs w:val="20"/>
          <w:lang w:val="en-US"/>
        </w:rPr>
        <w:t xml:space="preserve"> ~</w:t>
      </w:r>
      <w:r w:rsidR="008B3AE8" w:rsidRPr="003A0436">
        <w:rPr>
          <w:rFonts w:ascii="Times New Roman" w:hAnsi="Times New Roman" w:cs="Times New Roman"/>
          <w:sz w:val="20"/>
          <w:szCs w:val="20"/>
          <w:lang w:val="en-US"/>
        </w:rPr>
        <w:t xml:space="preserve">offal </w:t>
      </w:r>
      <w:r w:rsidR="006D11ED" w:rsidRPr="003A0436">
        <w:rPr>
          <w:rFonts w:ascii="Times New Roman" w:hAnsi="Times New Roman" w:cs="Times New Roman"/>
          <w:sz w:val="20"/>
          <w:szCs w:val="20"/>
          <w:lang w:val="en-US"/>
        </w:rPr>
        <w:t>components avoiding the allocation process</w:t>
      </w:r>
      <w:r w:rsidR="006D11ED" w:rsidRPr="003A0436">
        <w:rPr>
          <w:rFonts w:ascii="Times New Roman" w:hAnsi="Times New Roman" w:cs="Times New Roman"/>
          <w:b/>
          <w:bCs/>
          <w:sz w:val="20"/>
          <w:szCs w:val="20"/>
          <w:lang w:val="en-US"/>
        </w:rPr>
        <w:t xml:space="preserve">. </w:t>
      </w:r>
      <w:r w:rsidR="007F5C72" w:rsidRPr="003A0436">
        <w:rPr>
          <w:rFonts w:ascii="Times New Roman" w:hAnsi="Times New Roman" w:cs="Times New Roman"/>
          <w:bCs/>
          <w:sz w:val="20"/>
          <w:szCs w:val="20"/>
          <w:lang w:val="en-US"/>
        </w:rPr>
        <w:t xml:space="preserve">This </w:t>
      </w:r>
      <w:r w:rsidR="006D11ED" w:rsidRPr="003A0436">
        <w:rPr>
          <w:rFonts w:ascii="Times New Roman" w:hAnsi="Times New Roman" w:cs="Times New Roman"/>
          <w:sz w:val="20"/>
          <w:szCs w:val="20"/>
        </w:rPr>
        <w:t xml:space="preserve">disadvantages the ‘carcass’ as it unfairly carries the entire emission burden. </w:t>
      </w:r>
    </w:p>
    <w:p w14:paraId="7ACED22A" w14:textId="77777777" w:rsidR="008E16BF" w:rsidRPr="0050714D" w:rsidRDefault="008E16BF" w:rsidP="003A0436">
      <w:pPr>
        <w:spacing w:after="0" w:line="240" w:lineRule="auto"/>
        <w:jc w:val="both"/>
        <w:rPr>
          <w:rFonts w:ascii="Times New Roman" w:hAnsi="Times New Roman" w:cs="Times New Roman"/>
          <w:b/>
          <w:bCs/>
          <w:sz w:val="20"/>
          <w:szCs w:val="20"/>
          <w:lang w:val="en-US"/>
        </w:rPr>
      </w:pPr>
    </w:p>
    <w:p w14:paraId="5E9F33D1" w14:textId="6366D38E" w:rsidR="007B30E3" w:rsidRPr="003A0436" w:rsidRDefault="007B30E3" w:rsidP="003A0436">
      <w:pPr>
        <w:spacing w:after="0" w:line="240" w:lineRule="auto"/>
        <w:jc w:val="both"/>
        <w:rPr>
          <w:rFonts w:ascii="Times New Roman" w:hAnsi="Times New Roman" w:cs="Times New Roman"/>
          <w:b/>
          <w:bCs/>
          <w:sz w:val="20"/>
          <w:szCs w:val="20"/>
          <w:lang w:val="en-US"/>
        </w:rPr>
      </w:pPr>
      <w:r w:rsidRPr="003A0436">
        <w:rPr>
          <w:rFonts w:ascii="Times New Roman" w:hAnsi="Times New Roman" w:cs="Times New Roman"/>
          <w:b/>
          <w:bCs/>
          <w:sz w:val="20"/>
          <w:szCs w:val="20"/>
          <w:lang w:val="en-US"/>
        </w:rPr>
        <w:t>Introduction</w:t>
      </w:r>
    </w:p>
    <w:p w14:paraId="4DF29E2F" w14:textId="094B1E3A" w:rsidR="007845F0" w:rsidRPr="003A0436" w:rsidRDefault="009D46CA" w:rsidP="0050714D">
      <w:pPr>
        <w:pStyle w:val="Default"/>
        <w:jc w:val="both"/>
        <w:rPr>
          <w:sz w:val="20"/>
          <w:szCs w:val="20"/>
        </w:rPr>
      </w:pPr>
      <w:r w:rsidRPr="003A0436">
        <w:rPr>
          <w:sz w:val="20"/>
          <w:szCs w:val="20"/>
          <w:lang w:val="en-US"/>
        </w:rPr>
        <w:t xml:space="preserve">Global demand for beef </w:t>
      </w:r>
      <w:r w:rsidR="0091452A">
        <w:rPr>
          <w:sz w:val="20"/>
          <w:szCs w:val="20"/>
          <w:lang w:val="en-US"/>
        </w:rPr>
        <w:t xml:space="preserve">and animal-derived protein </w:t>
      </w:r>
      <w:r w:rsidRPr="003A0436">
        <w:rPr>
          <w:sz w:val="20"/>
          <w:szCs w:val="20"/>
          <w:lang w:val="en-US"/>
        </w:rPr>
        <w:t>continues to rise</w:t>
      </w:r>
      <w:r w:rsidR="0091452A">
        <w:rPr>
          <w:sz w:val="20"/>
          <w:szCs w:val="20"/>
          <w:lang w:val="en-US"/>
        </w:rPr>
        <w:t xml:space="preserve">. </w:t>
      </w:r>
      <w:r w:rsidRPr="003A0436">
        <w:rPr>
          <w:sz w:val="20"/>
          <w:szCs w:val="20"/>
          <w:lang w:val="en-US"/>
        </w:rPr>
        <w:t xml:space="preserve"> </w:t>
      </w:r>
      <w:r w:rsidR="0091452A">
        <w:rPr>
          <w:sz w:val="20"/>
          <w:szCs w:val="20"/>
          <w:lang w:val="en-US"/>
        </w:rPr>
        <w:t>I</w:t>
      </w:r>
      <w:r w:rsidR="0091452A" w:rsidRPr="0091452A">
        <w:rPr>
          <w:sz w:val="20"/>
          <w:szCs w:val="20"/>
          <w:lang w:val="en-US"/>
        </w:rPr>
        <w:t xml:space="preserve">n addition to the dressed carcass, animal </w:t>
      </w:r>
      <w:r w:rsidR="0091452A">
        <w:rPr>
          <w:sz w:val="20"/>
          <w:szCs w:val="20"/>
          <w:lang w:val="en-US"/>
        </w:rPr>
        <w:t>non-carcass components or co</w:t>
      </w:r>
      <w:r w:rsidR="0091452A" w:rsidRPr="0091452A">
        <w:rPr>
          <w:sz w:val="20"/>
          <w:szCs w:val="20"/>
          <w:lang w:val="en-US"/>
        </w:rPr>
        <w:t xml:space="preserve">-products are </w:t>
      </w:r>
      <w:r w:rsidR="0091452A">
        <w:rPr>
          <w:sz w:val="20"/>
          <w:szCs w:val="20"/>
          <w:lang w:val="en-US"/>
        </w:rPr>
        <w:t xml:space="preserve">also </w:t>
      </w:r>
      <w:r w:rsidR="0091452A" w:rsidRPr="0091452A">
        <w:rPr>
          <w:sz w:val="20"/>
          <w:szCs w:val="20"/>
          <w:lang w:val="en-US"/>
        </w:rPr>
        <w:t>produced</w:t>
      </w:r>
      <w:r w:rsidR="00374F0F">
        <w:rPr>
          <w:sz w:val="20"/>
          <w:szCs w:val="20"/>
          <w:lang w:val="en-US"/>
        </w:rPr>
        <w:t xml:space="preserve">, which includes edible co-product meats that have a </w:t>
      </w:r>
      <w:r w:rsidR="00374F0F" w:rsidRPr="00374F0F">
        <w:rPr>
          <w:sz w:val="20"/>
          <w:szCs w:val="20"/>
          <w:lang w:val="en-US"/>
        </w:rPr>
        <w:t xml:space="preserve">nutritional value comparable to lean meat </w:t>
      </w:r>
      <w:r w:rsidR="0091452A" w:rsidRPr="0091452A">
        <w:rPr>
          <w:sz w:val="20"/>
          <w:szCs w:val="20"/>
          <w:lang w:val="en-US"/>
        </w:rPr>
        <w:t>(</w:t>
      </w:r>
      <w:proofErr w:type="spellStart"/>
      <w:r w:rsidR="0091452A" w:rsidRPr="0091452A">
        <w:rPr>
          <w:sz w:val="20"/>
          <w:szCs w:val="20"/>
          <w:lang w:val="en-US"/>
        </w:rPr>
        <w:t>Soladoye</w:t>
      </w:r>
      <w:proofErr w:type="spellEnd"/>
      <w:r w:rsidR="0091452A" w:rsidRPr="0091452A">
        <w:rPr>
          <w:sz w:val="20"/>
          <w:szCs w:val="20"/>
          <w:lang w:val="en-US"/>
        </w:rPr>
        <w:t xml:space="preserve"> et al., 2022)</w:t>
      </w:r>
      <w:r w:rsidR="00374F0F">
        <w:rPr>
          <w:sz w:val="20"/>
          <w:szCs w:val="20"/>
          <w:lang w:val="en-US"/>
        </w:rPr>
        <w:t>.</w:t>
      </w:r>
      <w:r w:rsidR="0091452A">
        <w:rPr>
          <w:sz w:val="20"/>
          <w:szCs w:val="20"/>
          <w:lang w:val="en-US"/>
        </w:rPr>
        <w:t xml:space="preserve"> </w:t>
      </w:r>
      <w:r w:rsidR="00374F0F" w:rsidRPr="00374F0F">
        <w:rPr>
          <w:sz w:val="20"/>
          <w:szCs w:val="20"/>
          <w:lang w:val="en-US"/>
        </w:rPr>
        <w:t xml:space="preserve">Most life cycle analysis studies, to date, have not considered the valuable contribution of animal co-products when calculating </w:t>
      </w:r>
      <w:r w:rsidR="00B73DE8" w:rsidRPr="003A0436">
        <w:rPr>
          <w:sz w:val="20"/>
          <w:szCs w:val="20"/>
        </w:rPr>
        <w:t xml:space="preserve">greenhouse gas </w:t>
      </w:r>
      <w:r w:rsidR="003A02D9" w:rsidRPr="003A0436">
        <w:rPr>
          <w:sz w:val="20"/>
          <w:szCs w:val="20"/>
        </w:rPr>
        <w:t xml:space="preserve">(GHG) </w:t>
      </w:r>
      <w:r w:rsidR="00B73DE8" w:rsidRPr="003A0436">
        <w:rPr>
          <w:sz w:val="20"/>
          <w:szCs w:val="20"/>
        </w:rPr>
        <w:t>emission</w:t>
      </w:r>
      <w:r w:rsidR="00A81B5D" w:rsidRPr="003A0436">
        <w:rPr>
          <w:sz w:val="20"/>
          <w:szCs w:val="20"/>
        </w:rPr>
        <w:t>s</w:t>
      </w:r>
      <w:r w:rsidR="00B73DE8" w:rsidRPr="003A0436">
        <w:rPr>
          <w:sz w:val="20"/>
          <w:szCs w:val="20"/>
        </w:rPr>
        <w:t xml:space="preserve"> </w:t>
      </w:r>
      <w:r w:rsidR="00374F0F" w:rsidRPr="00374F0F">
        <w:rPr>
          <w:sz w:val="20"/>
          <w:szCs w:val="20"/>
          <w:lang w:val="en-US"/>
        </w:rPr>
        <w:t>or the additional protein generated in the co-product components and subsequently allocated all emissions directly to the final beef carcass (Dominguez Aldama et al., 2023)</w:t>
      </w:r>
      <w:r w:rsidR="00B73DE8" w:rsidRPr="003A0436">
        <w:rPr>
          <w:sz w:val="20"/>
          <w:szCs w:val="20"/>
        </w:rPr>
        <w:t>.</w:t>
      </w:r>
      <w:r w:rsidR="00A81B5D" w:rsidRPr="003A0436">
        <w:rPr>
          <w:sz w:val="20"/>
          <w:szCs w:val="20"/>
        </w:rPr>
        <w:t xml:space="preserve"> </w:t>
      </w:r>
      <w:r w:rsidR="00C37DA9">
        <w:rPr>
          <w:sz w:val="20"/>
          <w:szCs w:val="20"/>
        </w:rPr>
        <w:t xml:space="preserve">Using </w:t>
      </w:r>
      <w:r w:rsidR="00C37DA9" w:rsidRPr="00C37DA9">
        <w:rPr>
          <w:sz w:val="20"/>
          <w:szCs w:val="20"/>
        </w:rPr>
        <w:t>data</w:t>
      </w:r>
      <w:r w:rsidR="00C37DA9" w:rsidRPr="003A0436">
        <w:rPr>
          <w:sz w:val="20"/>
          <w:szCs w:val="20"/>
        </w:rPr>
        <w:t xml:space="preserve"> </w:t>
      </w:r>
      <w:r w:rsidR="007F5C72">
        <w:rPr>
          <w:sz w:val="20"/>
          <w:szCs w:val="20"/>
        </w:rPr>
        <w:t xml:space="preserve">generated from a dairy-beef cattle experiment </w:t>
      </w:r>
      <w:r w:rsidR="00C37DA9" w:rsidRPr="00C37DA9">
        <w:rPr>
          <w:sz w:val="20"/>
          <w:szCs w:val="20"/>
        </w:rPr>
        <w:t xml:space="preserve">conducted at Teagasc Grange Research </w:t>
      </w:r>
      <w:r w:rsidR="007F5C72">
        <w:rPr>
          <w:sz w:val="20"/>
          <w:szCs w:val="20"/>
        </w:rPr>
        <w:t>Centre,</w:t>
      </w:r>
      <w:r w:rsidR="00C37DA9" w:rsidRPr="00C37DA9">
        <w:rPr>
          <w:sz w:val="20"/>
          <w:szCs w:val="20"/>
        </w:rPr>
        <w:t xml:space="preserve"> </w:t>
      </w:r>
      <w:r w:rsidR="007F5C72">
        <w:rPr>
          <w:sz w:val="20"/>
          <w:szCs w:val="20"/>
        </w:rPr>
        <w:t>t</w:t>
      </w:r>
      <w:r w:rsidR="006D11ED" w:rsidRPr="003A0436">
        <w:rPr>
          <w:sz w:val="20"/>
          <w:szCs w:val="20"/>
        </w:rPr>
        <w:t>he objectives of this study were</w:t>
      </w:r>
      <w:r w:rsidR="004A754A" w:rsidRPr="003A0436">
        <w:rPr>
          <w:sz w:val="20"/>
          <w:szCs w:val="20"/>
        </w:rPr>
        <w:t xml:space="preserve"> to </w:t>
      </w:r>
      <w:r w:rsidR="00C37DA9">
        <w:rPr>
          <w:sz w:val="20"/>
          <w:szCs w:val="20"/>
        </w:rPr>
        <w:t>augment</w:t>
      </w:r>
      <w:r w:rsidR="00C37DA9" w:rsidRPr="003A0436">
        <w:rPr>
          <w:sz w:val="20"/>
          <w:szCs w:val="20"/>
        </w:rPr>
        <w:t xml:space="preserve"> </w:t>
      </w:r>
      <w:r w:rsidR="004A754A" w:rsidRPr="003A0436">
        <w:rPr>
          <w:sz w:val="20"/>
          <w:szCs w:val="20"/>
        </w:rPr>
        <w:t xml:space="preserve">the existing </w:t>
      </w:r>
      <w:r w:rsidR="00C37DA9" w:rsidRPr="00412836">
        <w:rPr>
          <w:sz w:val="20"/>
          <w:szCs w:val="20"/>
        </w:rPr>
        <w:t xml:space="preserve">Grange Dairy Beef System Model </w:t>
      </w:r>
      <w:r w:rsidR="00C37DA9">
        <w:rPr>
          <w:sz w:val="20"/>
          <w:szCs w:val="20"/>
        </w:rPr>
        <w:t>(</w:t>
      </w:r>
      <w:r w:rsidR="00A81B5D" w:rsidRPr="003A0436">
        <w:rPr>
          <w:sz w:val="20"/>
          <w:szCs w:val="20"/>
        </w:rPr>
        <w:t>GD</w:t>
      </w:r>
      <w:r w:rsidR="000C0079" w:rsidRPr="003A0436">
        <w:rPr>
          <w:sz w:val="20"/>
          <w:szCs w:val="20"/>
        </w:rPr>
        <w:t>B</w:t>
      </w:r>
      <w:r w:rsidR="00A81B5D" w:rsidRPr="003A0436">
        <w:rPr>
          <w:sz w:val="20"/>
          <w:szCs w:val="20"/>
        </w:rPr>
        <w:t>SM</w:t>
      </w:r>
      <w:r w:rsidR="00C37DA9">
        <w:rPr>
          <w:sz w:val="20"/>
          <w:szCs w:val="20"/>
        </w:rPr>
        <w:t>)</w:t>
      </w:r>
      <w:r w:rsidR="00A81B5D" w:rsidRPr="003A0436">
        <w:rPr>
          <w:sz w:val="20"/>
          <w:szCs w:val="20"/>
        </w:rPr>
        <w:t xml:space="preserve"> </w:t>
      </w:r>
      <w:r w:rsidR="00DC42D0" w:rsidRPr="003A0436">
        <w:rPr>
          <w:sz w:val="20"/>
          <w:szCs w:val="20"/>
        </w:rPr>
        <w:t xml:space="preserve">and </w:t>
      </w:r>
      <w:r w:rsidR="007E2187" w:rsidRPr="003A0436">
        <w:rPr>
          <w:sz w:val="20"/>
          <w:szCs w:val="20"/>
        </w:rPr>
        <w:t xml:space="preserve">subsequently </w:t>
      </w:r>
      <w:r w:rsidR="0073647E" w:rsidRPr="003A0436">
        <w:rPr>
          <w:sz w:val="20"/>
          <w:szCs w:val="20"/>
        </w:rPr>
        <w:t xml:space="preserve">partition total animal </w:t>
      </w:r>
      <w:r w:rsidR="00C37DA9">
        <w:rPr>
          <w:sz w:val="20"/>
          <w:szCs w:val="20"/>
        </w:rPr>
        <w:t xml:space="preserve">GHG </w:t>
      </w:r>
      <w:r w:rsidR="0073647E" w:rsidRPr="003A0436">
        <w:rPr>
          <w:sz w:val="20"/>
          <w:szCs w:val="20"/>
        </w:rPr>
        <w:t xml:space="preserve">emissions </w:t>
      </w:r>
      <w:r w:rsidR="00C37DA9">
        <w:rPr>
          <w:sz w:val="20"/>
          <w:szCs w:val="20"/>
        </w:rPr>
        <w:t xml:space="preserve">into carcass and non-carcass </w:t>
      </w:r>
      <w:r w:rsidR="00F42FC3" w:rsidRPr="003A0436">
        <w:rPr>
          <w:sz w:val="20"/>
          <w:szCs w:val="20"/>
        </w:rPr>
        <w:t xml:space="preserve">using the </w:t>
      </w:r>
      <w:r w:rsidR="007E2187" w:rsidRPr="003A0436">
        <w:rPr>
          <w:sz w:val="20"/>
          <w:szCs w:val="20"/>
        </w:rPr>
        <w:t>economic allocation</w:t>
      </w:r>
      <w:r w:rsidR="00F42FC3" w:rsidRPr="003A0436">
        <w:rPr>
          <w:sz w:val="20"/>
          <w:szCs w:val="20"/>
        </w:rPr>
        <w:t xml:space="preserve"> approach</w:t>
      </w:r>
      <w:r w:rsidR="007E2187" w:rsidRPr="003A0436">
        <w:rPr>
          <w:sz w:val="20"/>
          <w:szCs w:val="20"/>
        </w:rPr>
        <w:t xml:space="preserve">. </w:t>
      </w:r>
    </w:p>
    <w:p w14:paraId="0A6D254B" w14:textId="77777777" w:rsidR="004D055B" w:rsidRPr="003A0436" w:rsidRDefault="004D055B" w:rsidP="003A0436">
      <w:pPr>
        <w:spacing w:after="0" w:line="240" w:lineRule="auto"/>
        <w:jc w:val="both"/>
        <w:rPr>
          <w:rFonts w:ascii="Times New Roman" w:hAnsi="Times New Roman" w:cs="Times New Roman"/>
          <w:b/>
          <w:bCs/>
          <w:sz w:val="20"/>
          <w:szCs w:val="20"/>
          <w:lang w:val="en-US"/>
        </w:rPr>
      </w:pPr>
    </w:p>
    <w:p w14:paraId="1F63B1C6" w14:textId="7D06D6D8" w:rsidR="007B30E3" w:rsidRPr="003A0436" w:rsidRDefault="007B30E3" w:rsidP="003A0436">
      <w:pPr>
        <w:spacing w:after="0" w:line="240" w:lineRule="auto"/>
        <w:jc w:val="both"/>
        <w:rPr>
          <w:rFonts w:ascii="Times New Roman" w:hAnsi="Times New Roman" w:cs="Times New Roman"/>
          <w:b/>
          <w:bCs/>
          <w:sz w:val="20"/>
          <w:szCs w:val="20"/>
          <w:lang w:val="en-US"/>
        </w:rPr>
      </w:pPr>
      <w:r w:rsidRPr="003A0436">
        <w:rPr>
          <w:rFonts w:ascii="Times New Roman" w:hAnsi="Times New Roman" w:cs="Times New Roman"/>
          <w:b/>
          <w:bCs/>
          <w:sz w:val="20"/>
          <w:szCs w:val="20"/>
          <w:lang w:val="en-US"/>
        </w:rPr>
        <w:t>Materials and Methods</w:t>
      </w:r>
    </w:p>
    <w:p w14:paraId="0615213F" w14:textId="5D6EA47F" w:rsidR="007845F0" w:rsidRPr="003A0436" w:rsidRDefault="007845F0" w:rsidP="003A0436">
      <w:pPr>
        <w:spacing w:after="0" w:line="240" w:lineRule="auto"/>
        <w:jc w:val="both"/>
        <w:rPr>
          <w:rFonts w:ascii="Times New Roman" w:hAnsi="Times New Roman" w:cs="Times New Roman"/>
          <w:sz w:val="20"/>
          <w:szCs w:val="20"/>
        </w:rPr>
      </w:pPr>
      <w:r w:rsidRPr="003A0436">
        <w:rPr>
          <w:rFonts w:ascii="Times New Roman" w:hAnsi="Times New Roman" w:cs="Times New Roman"/>
          <w:sz w:val="20"/>
          <w:szCs w:val="20"/>
          <w:lang w:eastAsia="en-GB"/>
        </w:rPr>
        <w:t>Sixty-six male spring-born Aberdeen Angus × Holstein-Friesian calves were sourced from commercial farms and reared in a standard calf-rearing system at Grange Research Centre.</w:t>
      </w:r>
      <w:r w:rsidRPr="003A0436">
        <w:rPr>
          <w:rFonts w:ascii="Times New Roman" w:hAnsi="Times New Roman" w:cs="Times New Roman"/>
          <w:sz w:val="20"/>
          <w:szCs w:val="20"/>
        </w:rPr>
        <w:t xml:space="preserve"> </w:t>
      </w:r>
      <w:r w:rsidR="004D7199" w:rsidRPr="003A0436">
        <w:rPr>
          <w:rFonts w:ascii="Times New Roman" w:hAnsi="Times New Roman" w:cs="Times New Roman"/>
          <w:sz w:val="20"/>
          <w:szCs w:val="20"/>
          <w:lang w:eastAsia="en-GB"/>
        </w:rPr>
        <w:t xml:space="preserve">Animals were rotationally grazed on predominantly </w:t>
      </w:r>
      <w:r w:rsidR="004D7199" w:rsidRPr="003A0436">
        <w:rPr>
          <w:rFonts w:ascii="Times New Roman" w:hAnsi="Times New Roman" w:cs="Times New Roman"/>
          <w:iCs/>
          <w:sz w:val="20"/>
          <w:szCs w:val="20"/>
          <w:lang w:eastAsia="en-GB"/>
        </w:rPr>
        <w:t>perennial</w:t>
      </w:r>
      <w:r w:rsidR="004D7199" w:rsidRPr="003A0436">
        <w:rPr>
          <w:rFonts w:ascii="Times New Roman" w:hAnsi="Times New Roman" w:cs="Times New Roman"/>
          <w:sz w:val="20"/>
          <w:szCs w:val="20"/>
          <w:lang w:eastAsia="en-GB"/>
        </w:rPr>
        <w:t xml:space="preserve"> ryegrass swards as one group. </w:t>
      </w:r>
      <w:r w:rsidR="004D7199" w:rsidRPr="003A0436">
        <w:rPr>
          <w:rFonts w:ascii="Times New Roman" w:eastAsia="Calibri" w:hAnsi="Times New Roman" w:cs="Times New Roman"/>
          <w:sz w:val="20"/>
          <w:szCs w:val="20"/>
        </w:rPr>
        <w:t>After 86 days</w:t>
      </w:r>
      <w:r w:rsidR="00162E71" w:rsidRPr="003A0436">
        <w:rPr>
          <w:rFonts w:ascii="Times New Roman" w:eastAsia="Calibri" w:hAnsi="Times New Roman" w:cs="Times New Roman"/>
          <w:sz w:val="20"/>
          <w:szCs w:val="20"/>
        </w:rPr>
        <w:t xml:space="preserve"> at pasture</w:t>
      </w:r>
      <w:r w:rsidR="004D7199" w:rsidRPr="003A0436">
        <w:rPr>
          <w:rFonts w:ascii="Times New Roman" w:eastAsia="Calibri" w:hAnsi="Times New Roman" w:cs="Times New Roman"/>
          <w:sz w:val="20"/>
          <w:szCs w:val="20"/>
        </w:rPr>
        <w:t xml:space="preserve">, </w:t>
      </w:r>
      <w:r w:rsidR="001B6824" w:rsidRPr="003A0436">
        <w:rPr>
          <w:rFonts w:ascii="Times New Roman" w:eastAsia="Calibri" w:hAnsi="Times New Roman" w:cs="Times New Roman"/>
          <w:sz w:val="20"/>
          <w:szCs w:val="20"/>
        </w:rPr>
        <w:t>steers</w:t>
      </w:r>
      <w:r w:rsidR="004D7199" w:rsidRPr="003A0436">
        <w:rPr>
          <w:rFonts w:ascii="Times New Roman" w:hAnsi="Times New Roman" w:cs="Times New Roman"/>
          <w:sz w:val="20"/>
          <w:szCs w:val="20"/>
          <w:lang w:eastAsia="en-GB"/>
        </w:rPr>
        <w:t xml:space="preserve"> were weighed and blocked on weight and date of </w:t>
      </w:r>
      <w:r w:rsidR="00397B01" w:rsidRPr="003A0436">
        <w:rPr>
          <w:rFonts w:ascii="Times New Roman" w:hAnsi="Times New Roman" w:cs="Times New Roman"/>
          <w:sz w:val="20"/>
          <w:szCs w:val="20"/>
          <w:lang w:eastAsia="en-GB"/>
        </w:rPr>
        <w:t>birth and</w:t>
      </w:r>
      <w:r w:rsidR="004D7199" w:rsidRPr="003A0436">
        <w:rPr>
          <w:rFonts w:ascii="Times New Roman" w:hAnsi="Times New Roman" w:cs="Times New Roman"/>
          <w:sz w:val="20"/>
          <w:szCs w:val="20"/>
          <w:lang w:eastAsia="en-GB"/>
        </w:rPr>
        <w:t xml:space="preserve"> assigned to one of three </w:t>
      </w:r>
      <w:r w:rsidR="00162E71" w:rsidRPr="003A0436">
        <w:rPr>
          <w:rFonts w:ascii="Times New Roman" w:hAnsi="Times New Roman" w:cs="Times New Roman"/>
          <w:sz w:val="20"/>
          <w:szCs w:val="20"/>
          <w:lang w:eastAsia="en-GB"/>
        </w:rPr>
        <w:t xml:space="preserve">grazing </w:t>
      </w:r>
      <w:r w:rsidR="004D7199" w:rsidRPr="003A0436">
        <w:rPr>
          <w:rFonts w:ascii="Times New Roman" w:hAnsi="Times New Roman" w:cs="Times New Roman"/>
          <w:sz w:val="20"/>
          <w:szCs w:val="20"/>
          <w:lang w:eastAsia="en-GB"/>
        </w:rPr>
        <w:t>treatments for 112 days</w:t>
      </w:r>
      <w:bookmarkStart w:id="0" w:name="_Hlk187951404"/>
      <w:r w:rsidR="004D7199" w:rsidRPr="003A0436">
        <w:rPr>
          <w:rFonts w:ascii="Times New Roman" w:hAnsi="Times New Roman" w:cs="Times New Roman"/>
          <w:sz w:val="20"/>
          <w:szCs w:val="20"/>
          <w:lang w:eastAsia="en-GB"/>
        </w:rPr>
        <w:t>: (</w:t>
      </w:r>
      <w:proofErr w:type="spellStart"/>
      <w:r w:rsidR="004D7199" w:rsidRPr="003A0436">
        <w:rPr>
          <w:rFonts w:ascii="Times New Roman" w:hAnsi="Times New Roman" w:cs="Times New Roman"/>
          <w:sz w:val="20"/>
          <w:szCs w:val="20"/>
          <w:lang w:eastAsia="en-GB"/>
        </w:rPr>
        <w:t>i</w:t>
      </w:r>
      <w:proofErr w:type="spellEnd"/>
      <w:r w:rsidR="004D7199" w:rsidRPr="003A0436">
        <w:rPr>
          <w:rFonts w:ascii="Times New Roman" w:hAnsi="Times New Roman" w:cs="Times New Roman"/>
          <w:sz w:val="20"/>
          <w:szCs w:val="20"/>
          <w:lang w:eastAsia="en-GB"/>
        </w:rPr>
        <w:t xml:space="preserve">) grazed grass only (GG-0), (ii) GG plus 1.5 kg concentrate </w:t>
      </w:r>
      <w:r w:rsidR="007F5C72">
        <w:rPr>
          <w:rFonts w:ascii="Times New Roman" w:hAnsi="Times New Roman" w:cs="Times New Roman"/>
          <w:sz w:val="20"/>
          <w:szCs w:val="20"/>
          <w:lang w:eastAsia="en-GB"/>
        </w:rPr>
        <w:t xml:space="preserve">per animal daily </w:t>
      </w:r>
      <w:r w:rsidR="004D7199" w:rsidRPr="003A0436">
        <w:rPr>
          <w:rFonts w:ascii="Times New Roman" w:hAnsi="Times New Roman" w:cs="Times New Roman"/>
          <w:sz w:val="20"/>
          <w:szCs w:val="20"/>
          <w:lang w:eastAsia="en-GB"/>
        </w:rPr>
        <w:t xml:space="preserve">(GG-1.5), and (iii) GG </w:t>
      </w:r>
      <w:r w:rsidR="00B236FE" w:rsidRPr="0050714D">
        <w:rPr>
          <w:rFonts w:ascii="Times New Roman" w:hAnsi="Times New Roman" w:cs="Times New Roman"/>
          <w:sz w:val="20"/>
          <w:szCs w:val="20"/>
          <w:lang w:eastAsia="en-GB"/>
        </w:rPr>
        <w:t xml:space="preserve">plus </w:t>
      </w:r>
      <w:r w:rsidR="004D7199" w:rsidRPr="003A0436">
        <w:rPr>
          <w:rFonts w:ascii="Times New Roman" w:hAnsi="Times New Roman" w:cs="Times New Roman"/>
          <w:sz w:val="20"/>
          <w:szCs w:val="20"/>
          <w:lang w:eastAsia="en-GB"/>
        </w:rPr>
        <w:t>3.0 kg concentrate (GG-3.0).</w:t>
      </w:r>
      <w:r w:rsidR="004D7199" w:rsidRPr="003A0436">
        <w:rPr>
          <w:rFonts w:ascii="Times New Roman" w:eastAsia="Calibri" w:hAnsi="Times New Roman" w:cs="Times New Roman"/>
          <w:sz w:val="20"/>
          <w:szCs w:val="20"/>
        </w:rPr>
        <w:t xml:space="preserve"> </w:t>
      </w:r>
      <w:bookmarkEnd w:id="0"/>
      <w:r w:rsidR="001B6824" w:rsidRPr="003A0436">
        <w:rPr>
          <w:rFonts w:ascii="Times New Roman" w:eastAsia="Calibri" w:hAnsi="Times New Roman" w:cs="Times New Roman"/>
          <w:sz w:val="20"/>
          <w:szCs w:val="20"/>
        </w:rPr>
        <w:t xml:space="preserve">At the end of this period, half of </w:t>
      </w:r>
      <w:r w:rsidRPr="003A0436">
        <w:rPr>
          <w:rFonts w:ascii="Times New Roman" w:hAnsi="Times New Roman" w:cs="Times New Roman"/>
          <w:sz w:val="20"/>
          <w:szCs w:val="20"/>
          <w:lang w:val="en-US"/>
        </w:rPr>
        <w:t xml:space="preserve">steers </w:t>
      </w:r>
      <w:r w:rsidR="006A531B" w:rsidRPr="003A0436">
        <w:rPr>
          <w:rFonts w:ascii="Times New Roman" w:hAnsi="Times New Roman" w:cs="Times New Roman"/>
          <w:sz w:val="20"/>
          <w:szCs w:val="20"/>
          <w:lang w:val="en-US"/>
        </w:rPr>
        <w:t xml:space="preserve">from each grazing treatment </w:t>
      </w:r>
      <w:r w:rsidRPr="003A0436">
        <w:rPr>
          <w:rFonts w:ascii="Times New Roman" w:hAnsi="Times New Roman" w:cs="Times New Roman"/>
          <w:sz w:val="20"/>
          <w:szCs w:val="20"/>
          <w:lang w:val="en-US"/>
        </w:rPr>
        <w:t>were slaughtered</w:t>
      </w:r>
      <w:r w:rsidR="00D62728" w:rsidRPr="003A0436">
        <w:rPr>
          <w:rFonts w:ascii="Times New Roman" w:hAnsi="Times New Roman" w:cs="Times New Roman"/>
          <w:sz w:val="20"/>
          <w:szCs w:val="20"/>
          <w:lang w:val="en-US"/>
        </w:rPr>
        <w:t xml:space="preserve"> (</w:t>
      </w:r>
      <w:r w:rsidR="001B6824" w:rsidRPr="003A0436">
        <w:rPr>
          <w:rFonts w:ascii="Times New Roman" w:hAnsi="Times New Roman" w:cs="Times New Roman"/>
          <w:sz w:val="20"/>
          <w:szCs w:val="20"/>
          <w:lang w:val="en-US"/>
        </w:rPr>
        <w:t xml:space="preserve">mean age, 18 months - </w:t>
      </w:r>
      <w:r w:rsidR="00A46DBC" w:rsidRPr="0050714D">
        <w:rPr>
          <w:rFonts w:ascii="Times New Roman" w:hAnsi="Times New Roman" w:cs="Times New Roman"/>
          <w:sz w:val="20"/>
          <w:szCs w:val="20"/>
          <w:lang w:val="en-US"/>
        </w:rPr>
        <w:t>E</w:t>
      </w:r>
      <w:r w:rsidR="00D62728" w:rsidRPr="003A0436">
        <w:rPr>
          <w:rFonts w:ascii="Times New Roman" w:hAnsi="Times New Roman" w:cs="Times New Roman"/>
          <w:sz w:val="20"/>
          <w:szCs w:val="20"/>
          <w:lang w:val="en-US"/>
        </w:rPr>
        <w:t>arly-</w:t>
      </w:r>
      <w:r w:rsidR="00A46DBC" w:rsidRPr="0050714D">
        <w:rPr>
          <w:rFonts w:ascii="Times New Roman" w:hAnsi="Times New Roman" w:cs="Times New Roman"/>
          <w:sz w:val="20"/>
          <w:szCs w:val="20"/>
          <w:lang w:val="en-US"/>
        </w:rPr>
        <w:t>F</w:t>
      </w:r>
      <w:r w:rsidR="00D62728" w:rsidRPr="003A0436">
        <w:rPr>
          <w:rFonts w:ascii="Times New Roman" w:hAnsi="Times New Roman" w:cs="Times New Roman"/>
          <w:sz w:val="20"/>
          <w:szCs w:val="20"/>
          <w:lang w:val="en-US"/>
        </w:rPr>
        <w:t>inish: EF)</w:t>
      </w:r>
      <w:r w:rsidR="006A531B" w:rsidRPr="003A0436">
        <w:rPr>
          <w:rFonts w:ascii="Times New Roman" w:hAnsi="Times New Roman" w:cs="Times New Roman"/>
          <w:sz w:val="20"/>
          <w:szCs w:val="20"/>
          <w:lang w:val="en-US"/>
        </w:rPr>
        <w:t>,</w:t>
      </w:r>
      <w:r w:rsidR="004A754A" w:rsidRPr="003A0436">
        <w:rPr>
          <w:rFonts w:ascii="Times New Roman" w:hAnsi="Times New Roman" w:cs="Times New Roman"/>
          <w:sz w:val="20"/>
          <w:szCs w:val="20"/>
          <w:lang w:val="en-US"/>
        </w:rPr>
        <w:t xml:space="preserve"> </w:t>
      </w:r>
      <w:r w:rsidR="001B6824" w:rsidRPr="003A0436">
        <w:rPr>
          <w:rFonts w:ascii="Times New Roman" w:hAnsi="Times New Roman" w:cs="Times New Roman"/>
          <w:sz w:val="20"/>
          <w:szCs w:val="20"/>
          <w:lang w:val="en-US"/>
        </w:rPr>
        <w:t xml:space="preserve">and </w:t>
      </w:r>
      <w:r w:rsidRPr="003A0436">
        <w:rPr>
          <w:rFonts w:ascii="Times New Roman" w:hAnsi="Times New Roman" w:cs="Times New Roman"/>
          <w:sz w:val="20"/>
          <w:szCs w:val="20"/>
          <w:lang w:val="en-US"/>
        </w:rPr>
        <w:t xml:space="preserve">the remainder </w:t>
      </w:r>
      <w:r w:rsidR="001B6824" w:rsidRPr="003A0436">
        <w:rPr>
          <w:rFonts w:ascii="Times New Roman" w:hAnsi="Times New Roman" w:cs="Times New Roman"/>
          <w:sz w:val="20"/>
          <w:szCs w:val="20"/>
          <w:lang w:val="en-US"/>
        </w:rPr>
        <w:t xml:space="preserve">were accommodated indoors and offered </w:t>
      </w:r>
      <w:r w:rsidR="009D46CA" w:rsidRPr="003A0436">
        <w:rPr>
          <w:rFonts w:ascii="Times New Roman" w:hAnsi="Times New Roman" w:cs="Times New Roman"/>
          <w:i/>
          <w:iCs/>
          <w:sz w:val="20"/>
          <w:szCs w:val="20"/>
          <w:lang w:val="en-US"/>
        </w:rPr>
        <w:t>ad libitum</w:t>
      </w:r>
      <w:r w:rsidR="009D46CA" w:rsidRPr="003A0436">
        <w:rPr>
          <w:rFonts w:ascii="Times New Roman" w:hAnsi="Times New Roman" w:cs="Times New Roman"/>
          <w:sz w:val="20"/>
          <w:szCs w:val="20"/>
          <w:lang w:val="en-US"/>
        </w:rPr>
        <w:t xml:space="preserve"> concentrates </w:t>
      </w:r>
      <w:r w:rsidR="001B6824" w:rsidRPr="003A0436">
        <w:rPr>
          <w:rFonts w:ascii="Times New Roman" w:hAnsi="Times New Roman" w:cs="Times New Roman"/>
          <w:sz w:val="20"/>
          <w:szCs w:val="20"/>
          <w:lang w:val="en-US"/>
        </w:rPr>
        <w:t xml:space="preserve">for </w:t>
      </w:r>
      <w:r w:rsidR="009D46CA" w:rsidRPr="003A0436">
        <w:rPr>
          <w:rFonts w:ascii="Times New Roman" w:hAnsi="Times New Roman" w:cs="Times New Roman"/>
          <w:sz w:val="20"/>
          <w:szCs w:val="20"/>
          <w:lang w:val="en-US"/>
        </w:rPr>
        <w:t>89</w:t>
      </w:r>
      <w:r w:rsidR="001B6824" w:rsidRPr="003A0436">
        <w:rPr>
          <w:rFonts w:ascii="Times New Roman" w:hAnsi="Times New Roman" w:cs="Times New Roman"/>
          <w:sz w:val="20"/>
          <w:szCs w:val="20"/>
          <w:lang w:val="en-US"/>
        </w:rPr>
        <w:t xml:space="preserve"> days following which they were </w:t>
      </w:r>
      <w:r w:rsidRPr="003A0436">
        <w:rPr>
          <w:rFonts w:ascii="Times New Roman" w:hAnsi="Times New Roman" w:cs="Times New Roman"/>
          <w:sz w:val="20"/>
          <w:szCs w:val="20"/>
          <w:lang w:val="en-US"/>
        </w:rPr>
        <w:t xml:space="preserve">slaughtered </w:t>
      </w:r>
      <w:r w:rsidR="001B6824" w:rsidRPr="003A0436">
        <w:rPr>
          <w:rFonts w:ascii="Times New Roman" w:hAnsi="Times New Roman" w:cs="Times New Roman"/>
          <w:sz w:val="20"/>
          <w:szCs w:val="20"/>
          <w:lang w:val="en-US"/>
        </w:rPr>
        <w:t>(</w:t>
      </w:r>
      <w:r w:rsidRPr="003A0436">
        <w:rPr>
          <w:rFonts w:ascii="Times New Roman" w:hAnsi="Times New Roman" w:cs="Times New Roman"/>
          <w:sz w:val="20"/>
          <w:szCs w:val="20"/>
          <w:lang w:val="en-US"/>
        </w:rPr>
        <w:t>mean age</w:t>
      </w:r>
      <w:r w:rsidR="001B6824" w:rsidRPr="003A0436">
        <w:rPr>
          <w:rFonts w:ascii="Times New Roman" w:hAnsi="Times New Roman" w:cs="Times New Roman"/>
          <w:sz w:val="20"/>
          <w:szCs w:val="20"/>
          <w:lang w:val="en-US"/>
        </w:rPr>
        <w:t>,</w:t>
      </w:r>
      <w:r w:rsidRPr="003A0436">
        <w:rPr>
          <w:rFonts w:ascii="Times New Roman" w:hAnsi="Times New Roman" w:cs="Times New Roman"/>
          <w:sz w:val="20"/>
          <w:szCs w:val="20"/>
          <w:lang w:val="en-US"/>
        </w:rPr>
        <w:t xml:space="preserve"> 22 months </w:t>
      </w:r>
      <w:r w:rsidR="00A46DBC" w:rsidRPr="0050714D">
        <w:rPr>
          <w:rFonts w:ascii="Times New Roman" w:hAnsi="Times New Roman" w:cs="Times New Roman"/>
          <w:sz w:val="20"/>
          <w:szCs w:val="20"/>
          <w:lang w:val="en-US"/>
        </w:rPr>
        <w:t>L</w:t>
      </w:r>
      <w:r w:rsidR="00D62728" w:rsidRPr="003A0436">
        <w:rPr>
          <w:rFonts w:ascii="Times New Roman" w:hAnsi="Times New Roman" w:cs="Times New Roman"/>
          <w:sz w:val="20"/>
          <w:szCs w:val="20"/>
          <w:lang w:val="en-US"/>
        </w:rPr>
        <w:t>ate-</w:t>
      </w:r>
      <w:r w:rsidR="00A46DBC" w:rsidRPr="0050714D">
        <w:rPr>
          <w:rFonts w:ascii="Times New Roman" w:hAnsi="Times New Roman" w:cs="Times New Roman"/>
          <w:sz w:val="20"/>
          <w:szCs w:val="20"/>
          <w:lang w:val="en-US"/>
        </w:rPr>
        <w:t>F</w:t>
      </w:r>
      <w:r w:rsidR="00FE1ACB" w:rsidRPr="003A0436">
        <w:rPr>
          <w:rFonts w:ascii="Times New Roman" w:hAnsi="Times New Roman" w:cs="Times New Roman"/>
          <w:sz w:val="20"/>
          <w:szCs w:val="20"/>
          <w:lang w:val="en-US"/>
        </w:rPr>
        <w:t>inish</w:t>
      </w:r>
      <w:r w:rsidR="00D62728" w:rsidRPr="003A0436">
        <w:rPr>
          <w:rFonts w:ascii="Times New Roman" w:hAnsi="Times New Roman" w:cs="Times New Roman"/>
          <w:sz w:val="20"/>
          <w:szCs w:val="20"/>
          <w:lang w:val="en-US"/>
        </w:rPr>
        <w:t xml:space="preserve">: </w:t>
      </w:r>
      <w:r w:rsidR="000E419D" w:rsidRPr="003A0436">
        <w:rPr>
          <w:rFonts w:ascii="Times New Roman" w:hAnsi="Times New Roman" w:cs="Times New Roman"/>
          <w:sz w:val="20"/>
          <w:szCs w:val="20"/>
          <w:lang w:val="en-US"/>
        </w:rPr>
        <w:t>L</w:t>
      </w:r>
      <w:r w:rsidR="00FE1ACB" w:rsidRPr="003A0436">
        <w:rPr>
          <w:rFonts w:ascii="Times New Roman" w:hAnsi="Times New Roman" w:cs="Times New Roman"/>
          <w:sz w:val="20"/>
          <w:szCs w:val="20"/>
          <w:lang w:val="en-US"/>
        </w:rPr>
        <w:t>F</w:t>
      </w:r>
      <w:r w:rsidR="000E419D" w:rsidRPr="003A0436">
        <w:rPr>
          <w:rFonts w:ascii="Times New Roman" w:hAnsi="Times New Roman" w:cs="Times New Roman"/>
          <w:sz w:val="20"/>
          <w:szCs w:val="20"/>
          <w:lang w:val="en-US"/>
        </w:rPr>
        <w:t>-0, L</w:t>
      </w:r>
      <w:r w:rsidR="00FE1ACB" w:rsidRPr="003A0436">
        <w:rPr>
          <w:rFonts w:ascii="Times New Roman" w:hAnsi="Times New Roman" w:cs="Times New Roman"/>
          <w:sz w:val="20"/>
          <w:szCs w:val="20"/>
          <w:lang w:val="en-US"/>
        </w:rPr>
        <w:t>F</w:t>
      </w:r>
      <w:r w:rsidR="00A81B5D" w:rsidRPr="003A0436">
        <w:rPr>
          <w:rFonts w:ascii="Times New Roman" w:hAnsi="Times New Roman" w:cs="Times New Roman"/>
          <w:sz w:val="20"/>
          <w:szCs w:val="20"/>
          <w:lang w:val="en-US"/>
        </w:rPr>
        <w:t>-</w:t>
      </w:r>
      <w:r w:rsidR="000E419D" w:rsidRPr="003A0436">
        <w:rPr>
          <w:rFonts w:ascii="Times New Roman" w:hAnsi="Times New Roman" w:cs="Times New Roman"/>
          <w:sz w:val="20"/>
          <w:szCs w:val="20"/>
          <w:lang w:val="en-US"/>
        </w:rPr>
        <w:t>1.5 and L</w:t>
      </w:r>
      <w:r w:rsidR="00FE1ACB" w:rsidRPr="003A0436">
        <w:rPr>
          <w:rFonts w:ascii="Times New Roman" w:hAnsi="Times New Roman" w:cs="Times New Roman"/>
          <w:sz w:val="20"/>
          <w:szCs w:val="20"/>
          <w:lang w:val="en-US"/>
        </w:rPr>
        <w:t>F</w:t>
      </w:r>
      <w:r w:rsidR="00A81B5D" w:rsidRPr="003A0436">
        <w:rPr>
          <w:rFonts w:ascii="Times New Roman" w:hAnsi="Times New Roman" w:cs="Times New Roman"/>
          <w:sz w:val="20"/>
          <w:szCs w:val="20"/>
          <w:lang w:val="en-US"/>
        </w:rPr>
        <w:t>-</w:t>
      </w:r>
      <w:r w:rsidR="000E419D" w:rsidRPr="003A0436">
        <w:rPr>
          <w:rFonts w:ascii="Times New Roman" w:hAnsi="Times New Roman" w:cs="Times New Roman"/>
          <w:sz w:val="20"/>
          <w:szCs w:val="20"/>
          <w:lang w:val="en-US"/>
        </w:rPr>
        <w:t>3.0)</w:t>
      </w:r>
      <w:r w:rsidRPr="003A0436">
        <w:rPr>
          <w:rFonts w:ascii="Times New Roman" w:hAnsi="Times New Roman" w:cs="Times New Roman"/>
          <w:sz w:val="20"/>
          <w:szCs w:val="20"/>
          <w:lang w:val="en-US"/>
        </w:rPr>
        <w:t>.</w:t>
      </w:r>
      <w:r w:rsidR="00066491" w:rsidRPr="003A0436">
        <w:rPr>
          <w:rFonts w:ascii="Times New Roman" w:hAnsi="Times New Roman" w:cs="Times New Roman"/>
          <w:sz w:val="20"/>
          <w:szCs w:val="20"/>
          <w:lang w:val="en-US"/>
        </w:rPr>
        <w:t xml:space="preserve"> </w:t>
      </w:r>
      <w:r w:rsidR="001B6824" w:rsidRPr="003A0436">
        <w:rPr>
          <w:rFonts w:ascii="Times New Roman" w:hAnsi="Times New Roman" w:cs="Times New Roman"/>
          <w:sz w:val="20"/>
          <w:szCs w:val="20"/>
          <w:lang w:val="en-US"/>
        </w:rPr>
        <w:t>Post-</w:t>
      </w:r>
      <w:r w:rsidR="00C97F44" w:rsidRPr="003A0436">
        <w:rPr>
          <w:rFonts w:ascii="Times New Roman" w:eastAsia="Calibri" w:hAnsi="Times New Roman" w:cs="Times New Roman"/>
          <w:sz w:val="20"/>
          <w:szCs w:val="20"/>
        </w:rPr>
        <w:t xml:space="preserve">slaughter, individual animal </w:t>
      </w:r>
      <w:r w:rsidR="004A754A" w:rsidRPr="003A0436">
        <w:rPr>
          <w:rFonts w:ascii="Times New Roman" w:eastAsia="Calibri" w:hAnsi="Times New Roman" w:cs="Times New Roman"/>
          <w:sz w:val="20"/>
          <w:szCs w:val="20"/>
        </w:rPr>
        <w:t>hide</w:t>
      </w:r>
      <w:r w:rsidR="00C97F44" w:rsidRPr="003A0436">
        <w:rPr>
          <w:rFonts w:ascii="Times New Roman" w:eastAsia="Calibri" w:hAnsi="Times New Roman" w:cs="Times New Roman"/>
          <w:sz w:val="20"/>
          <w:szCs w:val="20"/>
        </w:rPr>
        <w:t xml:space="preserve">, fore and hind feet, liver, head, lungs, kidneys, heart, empty </w:t>
      </w:r>
      <w:proofErr w:type="spellStart"/>
      <w:r w:rsidR="00C97F44" w:rsidRPr="003A0436">
        <w:rPr>
          <w:rFonts w:ascii="Times New Roman" w:eastAsia="Calibri" w:hAnsi="Times New Roman" w:cs="Times New Roman"/>
          <w:sz w:val="20"/>
          <w:szCs w:val="20"/>
        </w:rPr>
        <w:t>reticulo</w:t>
      </w:r>
      <w:proofErr w:type="spellEnd"/>
      <w:r w:rsidR="00C97F44" w:rsidRPr="003A0436">
        <w:rPr>
          <w:rFonts w:ascii="Times New Roman" w:eastAsia="Calibri" w:hAnsi="Times New Roman" w:cs="Times New Roman"/>
          <w:sz w:val="20"/>
          <w:szCs w:val="20"/>
        </w:rPr>
        <w:t>-rumen and intestines, as well as perirenal and retroperitoneal fat were weighed</w:t>
      </w:r>
      <w:r w:rsidR="00066491" w:rsidRPr="003A0436">
        <w:rPr>
          <w:rFonts w:ascii="Times New Roman" w:eastAsia="Calibri" w:hAnsi="Times New Roman" w:cs="Times New Roman"/>
          <w:sz w:val="20"/>
          <w:szCs w:val="20"/>
        </w:rPr>
        <w:t>.</w:t>
      </w:r>
      <w:r w:rsidR="004A754A" w:rsidRPr="003A0436">
        <w:rPr>
          <w:rFonts w:ascii="Times New Roman" w:eastAsia="Calibri" w:hAnsi="Times New Roman" w:cs="Times New Roman"/>
          <w:sz w:val="20"/>
          <w:szCs w:val="20"/>
        </w:rPr>
        <w:t xml:space="preserve"> </w:t>
      </w:r>
      <w:r w:rsidR="00693F97" w:rsidRPr="003A0436">
        <w:rPr>
          <w:rFonts w:ascii="Times New Roman" w:eastAsia="Calibri" w:hAnsi="Times New Roman" w:cs="Times New Roman"/>
          <w:sz w:val="20"/>
          <w:szCs w:val="20"/>
        </w:rPr>
        <w:t>Overall, t</w:t>
      </w:r>
      <w:r w:rsidR="004A754A" w:rsidRPr="003A0436">
        <w:rPr>
          <w:rFonts w:ascii="Times New Roman" w:eastAsia="Calibri" w:hAnsi="Times New Roman" w:cs="Times New Roman"/>
          <w:sz w:val="20"/>
          <w:szCs w:val="20"/>
        </w:rPr>
        <w:t xml:space="preserve">hese </w:t>
      </w:r>
      <w:r w:rsidR="001B6824" w:rsidRPr="003A0436">
        <w:rPr>
          <w:rFonts w:ascii="Times New Roman" w:eastAsia="Calibri" w:hAnsi="Times New Roman" w:cs="Times New Roman"/>
          <w:sz w:val="20"/>
          <w:szCs w:val="20"/>
        </w:rPr>
        <w:t xml:space="preserve">organs </w:t>
      </w:r>
      <w:r w:rsidR="004A754A" w:rsidRPr="003A0436">
        <w:rPr>
          <w:rFonts w:ascii="Times New Roman" w:eastAsia="Calibri" w:hAnsi="Times New Roman" w:cs="Times New Roman"/>
          <w:sz w:val="20"/>
          <w:szCs w:val="20"/>
        </w:rPr>
        <w:t xml:space="preserve">accounted for </w:t>
      </w:r>
      <w:r w:rsidR="006B4CAA" w:rsidRPr="003A0436">
        <w:rPr>
          <w:rFonts w:ascii="Times New Roman" w:eastAsia="Calibri" w:hAnsi="Times New Roman" w:cs="Times New Roman"/>
          <w:sz w:val="20"/>
          <w:szCs w:val="20"/>
        </w:rPr>
        <w:t>61</w:t>
      </w:r>
      <w:r w:rsidR="004A754A" w:rsidRPr="003A0436">
        <w:rPr>
          <w:rFonts w:ascii="Times New Roman" w:eastAsia="Calibri" w:hAnsi="Times New Roman" w:cs="Times New Roman"/>
          <w:sz w:val="20"/>
          <w:szCs w:val="20"/>
        </w:rPr>
        <w:t xml:space="preserve">% of the total </w:t>
      </w:r>
      <w:r w:rsidR="0074447A" w:rsidRPr="003A0436">
        <w:rPr>
          <w:rFonts w:ascii="Times New Roman" w:eastAsia="Calibri" w:hAnsi="Times New Roman" w:cs="Times New Roman"/>
          <w:sz w:val="20"/>
          <w:szCs w:val="20"/>
        </w:rPr>
        <w:t xml:space="preserve">differential between the mean pre-slaughter weight and the mean carcass weight. The weight of </w:t>
      </w:r>
      <w:r w:rsidR="00693F97" w:rsidRPr="003A0436">
        <w:rPr>
          <w:rFonts w:ascii="Times New Roman" w:hAnsi="Times New Roman" w:cs="Times New Roman"/>
          <w:sz w:val="20"/>
          <w:szCs w:val="20"/>
        </w:rPr>
        <w:t>blood, tail, tongue, spleen, gall bladder</w:t>
      </w:r>
      <w:r w:rsidR="00693F97" w:rsidRPr="003A0436">
        <w:rPr>
          <w:rFonts w:ascii="Times New Roman" w:eastAsia="Calibri" w:hAnsi="Times New Roman" w:cs="Times New Roman"/>
          <w:sz w:val="20"/>
          <w:szCs w:val="20"/>
        </w:rPr>
        <w:t xml:space="preserve"> and ‘</w:t>
      </w:r>
      <w:r w:rsidR="00693F97" w:rsidRPr="003A0436">
        <w:rPr>
          <w:rFonts w:ascii="Times New Roman" w:hAnsi="Times New Roman" w:cs="Times New Roman"/>
          <w:sz w:val="20"/>
          <w:szCs w:val="20"/>
        </w:rPr>
        <w:t xml:space="preserve">full’ </w:t>
      </w:r>
      <w:proofErr w:type="spellStart"/>
      <w:r w:rsidR="00693F97" w:rsidRPr="003A0436">
        <w:rPr>
          <w:rFonts w:ascii="Times New Roman" w:hAnsi="Times New Roman" w:cs="Times New Roman"/>
          <w:sz w:val="20"/>
          <w:szCs w:val="20"/>
        </w:rPr>
        <w:t>reticulo</w:t>
      </w:r>
      <w:proofErr w:type="spellEnd"/>
      <w:r w:rsidR="00693F97" w:rsidRPr="003A0436">
        <w:rPr>
          <w:rFonts w:ascii="Times New Roman" w:hAnsi="Times New Roman" w:cs="Times New Roman"/>
          <w:sz w:val="20"/>
          <w:szCs w:val="20"/>
        </w:rPr>
        <w:t>-rumen (</w:t>
      </w:r>
      <w:r w:rsidR="00EF64F0" w:rsidRPr="003A0436">
        <w:rPr>
          <w:rFonts w:ascii="Times New Roman" w:hAnsi="Times New Roman" w:cs="Times New Roman"/>
          <w:sz w:val="20"/>
          <w:szCs w:val="20"/>
        </w:rPr>
        <w:t>2</w:t>
      </w:r>
      <w:r w:rsidR="003546B2" w:rsidRPr="003A0436">
        <w:rPr>
          <w:rFonts w:ascii="Times New Roman" w:hAnsi="Times New Roman" w:cs="Times New Roman"/>
          <w:sz w:val="20"/>
          <w:szCs w:val="20"/>
        </w:rPr>
        <w:t>5</w:t>
      </w:r>
      <w:r w:rsidR="00693F97" w:rsidRPr="003A0436">
        <w:rPr>
          <w:rFonts w:ascii="Times New Roman" w:hAnsi="Times New Roman" w:cs="Times New Roman"/>
          <w:sz w:val="20"/>
          <w:szCs w:val="20"/>
        </w:rPr>
        <w:t>%) a</w:t>
      </w:r>
      <w:r w:rsidR="00693F97" w:rsidRPr="003A0436">
        <w:rPr>
          <w:rFonts w:ascii="Times New Roman" w:eastAsia="Calibri" w:hAnsi="Times New Roman" w:cs="Times New Roman"/>
          <w:sz w:val="20"/>
          <w:szCs w:val="20"/>
        </w:rPr>
        <w:t xml:space="preserve">nd miscellaneous </w:t>
      </w:r>
      <w:r w:rsidR="00693F97" w:rsidRPr="003A0436">
        <w:rPr>
          <w:rFonts w:ascii="Times New Roman" w:hAnsi="Times New Roman" w:cs="Times New Roman"/>
          <w:sz w:val="20"/>
          <w:szCs w:val="20"/>
        </w:rPr>
        <w:t xml:space="preserve">non-carcass components </w:t>
      </w:r>
      <w:r w:rsidR="00693F97" w:rsidRPr="003A0436">
        <w:rPr>
          <w:rFonts w:ascii="Times New Roman" w:eastAsia="Calibri" w:hAnsi="Times New Roman" w:cs="Times New Roman"/>
          <w:sz w:val="20"/>
          <w:szCs w:val="20"/>
        </w:rPr>
        <w:t>(</w:t>
      </w:r>
      <w:r w:rsidR="00693F97" w:rsidRPr="003A0436">
        <w:rPr>
          <w:rFonts w:ascii="Times New Roman" w:hAnsi="Times New Roman" w:cs="Times New Roman"/>
          <w:sz w:val="20"/>
          <w:szCs w:val="20"/>
        </w:rPr>
        <w:t xml:space="preserve">i.e. tonsils, brain, spinal cord, scrotal sack, </w:t>
      </w:r>
      <w:proofErr w:type="spellStart"/>
      <w:r w:rsidR="00693F97" w:rsidRPr="003A0436">
        <w:rPr>
          <w:rFonts w:ascii="Times New Roman" w:hAnsi="Times New Roman" w:cs="Times New Roman"/>
          <w:sz w:val="20"/>
          <w:szCs w:val="20"/>
        </w:rPr>
        <w:t>pizzle</w:t>
      </w:r>
      <w:proofErr w:type="spellEnd"/>
      <w:r w:rsidR="00693F97" w:rsidRPr="003A0436">
        <w:rPr>
          <w:rFonts w:ascii="Times New Roman" w:hAnsi="Times New Roman" w:cs="Times New Roman"/>
          <w:sz w:val="20"/>
          <w:szCs w:val="20"/>
        </w:rPr>
        <w:t>, pharynx,</w:t>
      </w:r>
      <w:r w:rsidR="008324A4" w:rsidRPr="003A0436">
        <w:rPr>
          <w:rFonts w:ascii="Times New Roman" w:hAnsi="Times New Roman" w:cs="Times New Roman"/>
          <w:sz w:val="20"/>
          <w:szCs w:val="20"/>
        </w:rPr>
        <w:t xml:space="preserve"> water, </w:t>
      </w:r>
      <w:proofErr w:type="spellStart"/>
      <w:r w:rsidR="00693F97" w:rsidRPr="003A0436">
        <w:rPr>
          <w:rFonts w:ascii="Times New Roman" w:hAnsi="Times New Roman" w:cs="Times New Roman"/>
          <w:sz w:val="20"/>
          <w:szCs w:val="20"/>
        </w:rPr>
        <w:t>esophagus</w:t>
      </w:r>
      <w:proofErr w:type="spellEnd"/>
      <w:r w:rsidR="00693F97" w:rsidRPr="003A0436">
        <w:rPr>
          <w:rFonts w:ascii="Times New Roman" w:hAnsi="Times New Roman" w:cs="Times New Roman"/>
          <w:sz w:val="20"/>
          <w:szCs w:val="20"/>
        </w:rPr>
        <w:t xml:space="preserve"> and ‘other’</w:t>
      </w:r>
      <w:r w:rsidR="00A46DBC" w:rsidRPr="0050714D">
        <w:rPr>
          <w:rFonts w:ascii="Times New Roman" w:hAnsi="Times New Roman" w:cs="Times New Roman"/>
          <w:sz w:val="20"/>
          <w:szCs w:val="20"/>
        </w:rPr>
        <w:t xml:space="preserve">; </w:t>
      </w:r>
      <w:r w:rsidR="00EF64F0" w:rsidRPr="003A0436">
        <w:rPr>
          <w:rFonts w:ascii="Times New Roman" w:hAnsi="Times New Roman" w:cs="Times New Roman"/>
          <w:sz w:val="20"/>
          <w:szCs w:val="20"/>
        </w:rPr>
        <w:t>1</w:t>
      </w:r>
      <w:r w:rsidR="003A062E" w:rsidRPr="003A0436">
        <w:rPr>
          <w:rFonts w:ascii="Times New Roman" w:hAnsi="Times New Roman" w:cs="Times New Roman"/>
          <w:sz w:val="20"/>
          <w:szCs w:val="20"/>
        </w:rPr>
        <w:t>4</w:t>
      </w:r>
      <w:r w:rsidR="00693F97" w:rsidRPr="003A0436">
        <w:rPr>
          <w:rFonts w:ascii="Times New Roman" w:hAnsi="Times New Roman" w:cs="Times New Roman"/>
          <w:sz w:val="20"/>
          <w:szCs w:val="20"/>
        </w:rPr>
        <w:t xml:space="preserve">%) </w:t>
      </w:r>
      <w:r w:rsidR="00693F97" w:rsidRPr="003A0436">
        <w:rPr>
          <w:rFonts w:ascii="Times New Roman" w:eastAsia="Calibri" w:hAnsi="Times New Roman" w:cs="Times New Roman"/>
          <w:sz w:val="20"/>
          <w:szCs w:val="20"/>
        </w:rPr>
        <w:t xml:space="preserve">was estimated based on previous research </w:t>
      </w:r>
      <w:r w:rsidR="00693F97" w:rsidRPr="003A0436">
        <w:rPr>
          <w:rFonts w:ascii="Times New Roman" w:hAnsi="Times New Roman" w:cs="Times New Roman"/>
          <w:sz w:val="20"/>
          <w:szCs w:val="20"/>
        </w:rPr>
        <w:t xml:space="preserve">(e.g. McGee et al., 2008; Campion et al., 2009). These </w:t>
      </w:r>
      <w:r w:rsidR="00693F97" w:rsidRPr="003A0436">
        <w:rPr>
          <w:rFonts w:ascii="Times New Roman" w:eastAsia="Calibri" w:hAnsi="Times New Roman" w:cs="Times New Roman"/>
          <w:sz w:val="20"/>
          <w:szCs w:val="20"/>
        </w:rPr>
        <w:t xml:space="preserve">miscellaneous </w:t>
      </w:r>
      <w:r w:rsidR="00693F97" w:rsidRPr="003A0436">
        <w:rPr>
          <w:rFonts w:ascii="Times New Roman" w:hAnsi="Times New Roman" w:cs="Times New Roman"/>
          <w:sz w:val="20"/>
          <w:szCs w:val="20"/>
        </w:rPr>
        <w:t>non-carcass components were classed as non-edible and excluded from the allocation process.</w:t>
      </w:r>
      <w:r w:rsidR="000E419D" w:rsidRPr="003A0436">
        <w:rPr>
          <w:rFonts w:ascii="Times New Roman" w:hAnsi="Times New Roman" w:cs="Times New Roman"/>
          <w:sz w:val="20"/>
          <w:szCs w:val="20"/>
        </w:rPr>
        <w:t xml:space="preserve"> The data collected was incorporated into</w:t>
      </w:r>
      <w:r w:rsidR="00FE1ACB" w:rsidRPr="003A0436">
        <w:rPr>
          <w:rFonts w:ascii="Times New Roman" w:hAnsi="Times New Roman" w:cs="Times New Roman"/>
          <w:sz w:val="20"/>
          <w:szCs w:val="20"/>
        </w:rPr>
        <w:t xml:space="preserve"> </w:t>
      </w:r>
      <w:r w:rsidR="00853EEB" w:rsidRPr="003A0436">
        <w:rPr>
          <w:rFonts w:ascii="Times New Roman" w:hAnsi="Times New Roman" w:cs="Times New Roman"/>
          <w:sz w:val="20"/>
          <w:szCs w:val="20"/>
        </w:rPr>
        <w:t xml:space="preserve">the </w:t>
      </w:r>
      <w:r w:rsidR="000E419D" w:rsidRPr="003A0436">
        <w:rPr>
          <w:rFonts w:ascii="Times New Roman" w:hAnsi="Times New Roman" w:cs="Times New Roman"/>
          <w:sz w:val="20"/>
          <w:szCs w:val="20"/>
        </w:rPr>
        <w:t xml:space="preserve">Grange Dairy Beef System Model (GDBSM; </w:t>
      </w:r>
      <w:r w:rsidR="000E419D" w:rsidRPr="003A0436">
        <w:rPr>
          <w:rFonts w:ascii="Times New Roman" w:hAnsi="Times New Roman" w:cs="Times New Roman"/>
          <w:sz w:val="20"/>
          <w:szCs w:val="20"/>
        </w:rPr>
        <w:fldChar w:fldCharType="begin"/>
      </w:r>
      <w:r w:rsidR="000E419D" w:rsidRPr="003A0436">
        <w:rPr>
          <w:rFonts w:ascii="Times New Roman" w:hAnsi="Times New Roman" w:cs="Times New Roman"/>
          <w:sz w:val="20"/>
          <w:szCs w:val="20"/>
        </w:rPr>
        <w:instrText xml:space="preserve"> ADDIN ZOTERO_ITEM CSL_CITATION {"citationID":"CjFpj86V","properties":{"formattedCitation":"(Kearney {\\i{}et al.} 2022)","plainCitation":"(Kearney et al. 2022)","dontUpdate":true,"noteIndex":0},"citationItems":[{"id":1251,"uris":["http://zotero.org/users/7034111/items/EFXNSNFN"],"itemData":{"id":1251,"type":"article-journal","abstract":"CONTEXT. Global demand for grass-based beef systems is increasing with a growing proportion of beef output in many countries originating from the dairy herd. Concurrently, concerns around the environmental impact of food, particularly that derived from ruminants, and food security is growing in prominence. Therefore, a comprehensive analysis of the sustainability of dairy-beef systems is required.\nOBJECTIVES\nThe objectives of this study were to (1) augment an existing farm-level bioeconomic model to permit greenhouse (GHG) emissions and feed-food analysis of dairy-beef systems and (2) use this model to asses the performance of grass-based dairy-beef steer production systems.\nMETHODS\nThe developed farm-level model was used to evaluate production systems finishing males as steers on three contrasting soil types and differing with respect to sire breed (early-maturing, late-maturing and dairy), age at slaughter (20, 24 and 28 months of age) and finishing diet (grazed grass or grass silage, each supplemented with concentrates).\nRESULTS AND CONCLUSIONS\nResults highlighted a wide range in farm net margins (from €134 to €515 per hectare) with systems finishing off pasture in the second grazing season being most profitable. These systems also had lowest GHG emissions intensities. Steer systems finishing off pasture during the third grazing season were the only net producers of human-edible protein, whilst all systems were net consumers of human-edible energy. Production systems on higher quality land were more profitable, had lower GHG emissions but used more tillable land than systems on poorer quality land.\nSIGNIFICANCE\nUnder the conditions modelled in this study, inverse relationships were found between system profitability, human-edible protein and energy efficiency and greenhouse gas emissions implying trade-offs may need to considered in respect of sustainability metrics.","container-title":"Agricultural Systems","DOI":"10.1016/j.agsy.2022.103530","ISSN":"0308-521X","journalAbbreviation":"Agricultural Systems","language":"en","page":"103530","source":"ScienceDirect","title":"Farm-level modelling of bioeconomic, greenhouse gas emissions and feed-food performance of pasture-based dairy-beef systems","volume":"203","author":[{"family":"Kearney","given":"M."},{"family":"O'Riordan","given":"E. G."},{"family":"McGee","given":"M."},{"family":"Breen","given":"J."},{"family":"Crosson","given":"P."}],"issued":{"date-parts":[["2022",12,1]]}}}],"schema":"https://github.com/citation-style-language/schema/raw/master/csl-citation.json"} </w:instrText>
      </w:r>
      <w:r w:rsidR="000E419D" w:rsidRPr="003A0436">
        <w:rPr>
          <w:rFonts w:ascii="Times New Roman" w:hAnsi="Times New Roman" w:cs="Times New Roman"/>
          <w:sz w:val="20"/>
          <w:szCs w:val="20"/>
        </w:rPr>
        <w:fldChar w:fldCharType="separate"/>
      </w:r>
      <w:r w:rsidR="000E419D" w:rsidRPr="003A0436">
        <w:rPr>
          <w:rFonts w:ascii="Times New Roman" w:hAnsi="Times New Roman" w:cs="Times New Roman"/>
          <w:sz w:val="20"/>
          <w:szCs w:val="20"/>
        </w:rPr>
        <w:t>Kearney et al., 2022)</w:t>
      </w:r>
      <w:r w:rsidR="000E419D" w:rsidRPr="003A0436">
        <w:rPr>
          <w:rFonts w:ascii="Times New Roman" w:hAnsi="Times New Roman" w:cs="Times New Roman"/>
          <w:sz w:val="20"/>
          <w:szCs w:val="20"/>
        </w:rPr>
        <w:fldChar w:fldCharType="end"/>
      </w:r>
      <w:r w:rsidR="000E419D" w:rsidRPr="003A0436">
        <w:rPr>
          <w:rFonts w:ascii="Times New Roman" w:hAnsi="Times New Roman" w:cs="Times New Roman"/>
          <w:sz w:val="20"/>
          <w:szCs w:val="20"/>
        </w:rPr>
        <w:t xml:space="preserve"> to include an emission allocation </w:t>
      </w:r>
      <w:r w:rsidR="00853EEB" w:rsidRPr="003A0436">
        <w:rPr>
          <w:rFonts w:ascii="Times New Roman" w:hAnsi="Times New Roman" w:cs="Times New Roman"/>
          <w:sz w:val="20"/>
          <w:szCs w:val="20"/>
        </w:rPr>
        <w:t>sub-model</w:t>
      </w:r>
      <w:r w:rsidR="000E419D" w:rsidRPr="003A0436">
        <w:rPr>
          <w:rFonts w:ascii="Times New Roman" w:hAnsi="Times New Roman" w:cs="Times New Roman"/>
          <w:sz w:val="20"/>
          <w:szCs w:val="20"/>
        </w:rPr>
        <w:t>, incorporating the contribution of non-carcass components</w:t>
      </w:r>
      <w:r w:rsidR="00892EBF" w:rsidRPr="003A0436">
        <w:rPr>
          <w:rFonts w:ascii="Times New Roman" w:hAnsi="Times New Roman" w:cs="Times New Roman"/>
          <w:sz w:val="20"/>
          <w:szCs w:val="20"/>
        </w:rPr>
        <w:t xml:space="preserve">. </w:t>
      </w:r>
      <w:r w:rsidR="00C97F44" w:rsidRPr="003A0436">
        <w:rPr>
          <w:rFonts w:ascii="Times New Roman" w:eastAsia="Calibri" w:hAnsi="Times New Roman" w:cs="Times New Roman"/>
          <w:sz w:val="20"/>
          <w:szCs w:val="20"/>
        </w:rPr>
        <w:t xml:space="preserve">The economic value of the </w:t>
      </w:r>
      <w:r w:rsidR="00BA215F" w:rsidRPr="003A0436">
        <w:rPr>
          <w:rFonts w:ascii="Times New Roman" w:eastAsia="Calibri" w:hAnsi="Times New Roman" w:cs="Times New Roman"/>
          <w:sz w:val="20"/>
          <w:szCs w:val="20"/>
        </w:rPr>
        <w:t xml:space="preserve">edible non-carcass </w:t>
      </w:r>
      <w:r w:rsidR="00C97F44" w:rsidRPr="003A0436">
        <w:rPr>
          <w:rFonts w:ascii="Times New Roman" w:eastAsia="Calibri" w:hAnsi="Times New Roman" w:cs="Times New Roman"/>
          <w:sz w:val="20"/>
          <w:szCs w:val="20"/>
        </w:rPr>
        <w:t xml:space="preserve">co-product components was </w:t>
      </w:r>
      <w:r w:rsidR="0074447A" w:rsidRPr="003A0436">
        <w:rPr>
          <w:rFonts w:ascii="Times New Roman" w:eastAsia="Calibri" w:hAnsi="Times New Roman" w:cs="Times New Roman"/>
          <w:sz w:val="20"/>
          <w:szCs w:val="20"/>
        </w:rPr>
        <w:t xml:space="preserve">then </w:t>
      </w:r>
      <w:r w:rsidR="00C97F44" w:rsidRPr="003A0436">
        <w:rPr>
          <w:rFonts w:ascii="Times New Roman" w:eastAsia="Calibri" w:hAnsi="Times New Roman" w:cs="Times New Roman"/>
          <w:sz w:val="20"/>
          <w:szCs w:val="20"/>
        </w:rPr>
        <w:t xml:space="preserve">determined using international market price data published by </w:t>
      </w:r>
      <w:r w:rsidR="0074447A" w:rsidRPr="003A0436">
        <w:rPr>
          <w:rFonts w:ascii="Times New Roman" w:eastAsia="Calibri" w:hAnsi="Times New Roman" w:cs="Times New Roman"/>
          <w:sz w:val="20"/>
          <w:szCs w:val="20"/>
        </w:rPr>
        <w:t xml:space="preserve">the </w:t>
      </w:r>
      <w:r w:rsidR="00C97F44" w:rsidRPr="003A0436">
        <w:rPr>
          <w:rFonts w:ascii="Times New Roman" w:eastAsia="Calibri" w:hAnsi="Times New Roman" w:cs="Times New Roman"/>
          <w:sz w:val="20"/>
          <w:szCs w:val="20"/>
        </w:rPr>
        <w:t xml:space="preserve">United States Department of Agriculture for 2022 </w:t>
      </w:r>
      <w:r w:rsidR="00C97F44" w:rsidRPr="003A0436">
        <w:rPr>
          <w:rFonts w:ascii="Times New Roman" w:eastAsia="Calibri" w:hAnsi="Times New Roman" w:cs="Times New Roman"/>
          <w:sz w:val="20"/>
          <w:szCs w:val="20"/>
        </w:rPr>
        <w:fldChar w:fldCharType="begin"/>
      </w:r>
      <w:r w:rsidR="00974E01" w:rsidRPr="003A0436">
        <w:rPr>
          <w:rFonts w:ascii="Times New Roman" w:eastAsia="Calibri" w:hAnsi="Times New Roman" w:cs="Times New Roman"/>
          <w:sz w:val="20"/>
          <w:szCs w:val="20"/>
        </w:rPr>
        <w:instrText xml:space="preserve"> ADDIN ZOTERO_ITEM CSL_CITATION {"citationID":"hK7x3n0n","properties":{"formattedCitation":"(USDA, 2023)","plainCitation":"(USDA, 2023)","noteIndex":0},"citationItems":[{"id":1524,"uris":["http://zotero.org/users/7034111/items/W4LPCHR6"],"itemData":{"id":1524,"type":"webpage","container-title":"By-Product Drop Value (Steers) (Cattle) (NW_LS441 / 447)","title":"ams_2829.pdf","URL":"https://www.ams.usda.gov/mnreports/ams_2829.pdf","author":[{"family":"USDA","given":""}],"accessed":{"date-parts":[["2023",11,29]]},"issued":{"date-parts":[["2023"]]}}}],"schema":"https://github.com/citation-style-language/schema/raw/master/csl-citation.json"} </w:instrText>
      </w:r>
      <w:r w:rsidR="00C97F44" w:rsidRPr="003A0436">
        <w:rPr>
          <w:rFonts w:ascii="Times New Roman" w:eastAsia="Calibri" w:hAnsi="Times New Roman" w:cs="Times New Roman"/>
          <w:sz w:val="20"/>
          <w:szCs w:val="20"/>
        </w:rPr>
        <w:fldChar w:fldCharType="separate"/>
      </w:r>
      <w:r w:rsidR="00974E01" w:rsidRPr="003A0436">
        <w:rPr>
          <w:rFonts w:ascii="Times New Roman" w:hAnsi="Times New Roman" w:cs="Times New Roman"/>
          <w:sz w:val="20"/>
          <w:szCs w:val="20"/>
        </w:rPr>
        <w:t>(USDA, 2023)</w:t>
      </w:r>
      <w:r w:rsidR="00C97F44" w:rsidRPr="003A0436">
        <w:rPr>
          <w:rFonts w:ascii="Times New Roman" w:eastAsia="Calibri" w:hAnsi="Times New Roman" w:cs="Times New Roman"/>
          <w:sz w:val="20"/>
          <w:szCs w:val="20"/>
        </w:rPr>
        <w:fldChar w:fldCharType="end"/>
      </w:r>
      <w:r w:rsidR="00C97F44" w:rsidRPr="003A0436">
        <w:rPr>
          <w:rFonts w:ascii="Times New Roman" w:eastAsia="Calibri" w:hAnsi="Times New Roman" w:cs="Times New Roman"/>
          <w:sz w:val="20"/>
          <w:szCs w:val="20"/>
        </w:rPr>
        <w:t xml:space="preserve">. These prices, denominated in US dollars, were converted to euros (€) using published exchange rates, and the price per kg for each co-product was determined. These prices were multiplied by the </w:t>
      </w:r>
      <w:r w:rsidR="000B0D2B" w:rsidRPr="003A0436">
        <w:rPr>
          <w:rFonts w:ascii="Times New Roman" w:eastAsia="Calibri" w:hAnsi="Times New Roman" w:cs="Times New Roman"/>
          <w:sz w:val="20"/>
          <w:szCs w:val="20"/>
        </w:rPr>
        <w:t xml:space="preserve">measured or estimated </w:t>
      </w:r>
      <w:r w:rsidR="00C97F44" w:rsidRPr="003A0436">
        <w:rPr>
          <w:rFonts w:ascii="Times New Roman" w:eastAsia="Calibri" w:hAnsi="Times New Roman" w:cs="Times New Roman"/>
          <w:sz w:val="20"/>
          <w:szCs w:val="20"/>
        </w:rPr>
        <w:t>weight</w:t>
      </w:r>
      <w:r w:rsidR="000B0D2B" w:rsidRPr="003A0436">
        <w:rPr>
          <w:rFonts w:ascii="Times New Roman" w:eastAsia="Calibri" w:hAnsi="Times New Roman" w:cs="Times New Roman"/>
          <w:sz w:val="20"/>
          <w:szCs w:val="20"/>
        </w:rPr>
        <w:t>s</w:t>
      </w:r>
      <w:r w:rsidR="00C97F44" w:rsidRPr="003A0436">
        <w:rPr>
          <w:rFonts w:ascii="Times New Roman" w:eastAsia="Calibri" w:hAnsi="Times New Roman" w:cs="Times New Roman"/>
          <w:sz w:val="20"/>
          <w:szCs w:val="20"/>
        </w:rPr>
        <w:t xml:space="preserve"> </w:t>
      </w:r>
      <w:r w:rsidR="0074447A" w:rsidRPr="003A0436">
        <w:rPr>
          <w:rFonts w:ascii="Times New Roman" w:eastAsia="Calibri" w:hAnsi="Times New Roman" w:cs="Times New Roman"/>
          <w:sz w:val="20"/>
          <w:szCs w:val="20"/>
        </w:rPr>
        <w:t>of</w:t>
      </w:r>
      <w:r w:rsidR="00C97F44" w:rsidRPr="003A0436">
        <w:rPr>
          <w:rFonts w:ascii="Times New Roman" w:eastAsia="Calibri" w:hAnsi="Times New Roman" w:cs="Times New Roman"/>
          <w:sz w:val="20"/>
          <w:szCs w:val="20"/>
        </w:rPr>
        <w:t xml:space="preserve"> each co-product component to provide a total value per component and a combined carcass value.</w:t>
      </w:r>
      <w:r w:rsidR="00C97F44" w:rsidRPr="003A0436">
        <w:rPr>
          <w:rFonts w:ascii="Times New Roman" w:hAnsi="Times New Roman" w:cs="Times New Roman"/>
          <w:sz w:val="20"/>
          <w:szCs w:val="20"/>
          <w:lang w:val="en-US"/>
        </w:rPr>
        <w:t xml:space="preserve"> This exercise then allowed an economic allocation to be performed to assign the proportions of GHG emissions</w:t>
      </w:r>
      <w:r w:rsidR="000B0D2B" w:rsidRPr="003A0436">
        <w:rPr>
          <w:rFonts w:ascii="Times New Roman" w:hAnsi="Times New Roman" w:cs="Times New Roman"/>
          <w:sz w:val="20"/>
          <w:szCs w:val="20"/>
          <w:lang w:val="en-US"/>
        </w:rPr>
        <w:t>,</w:t>
      </w:r>
      <w:r w:rsidR="00C97F44" w:rsidRPr="003A0436">
        <w:rPr>
          <w:rFonts w:ascii="Times New Roman" w:hAnsi="Times New Roman" w:cs="Times New Roman"/>
          <w:sz w:val="20"/>
          <w:szCs w:val="20"/>
          <w:lang w:val="en-US"/>
        </w:rPr>
        <w:t xml:space="preserve"> in line with </w:t>
      </w:r>
      <w:r w:rsidR="00C97F44" w:rsidRPr="003A0436">
        <w:rPr>
          <w:rFonts w:ascii="Times New Roman" w:hAnsi="Times New Roman" w:cs="Times New Roman"/>
          <w:sz w:val="20"/>
          <w:szCs w:val="20"/>
          <w:lang w:val="en-US"/>
        </w:rPr>
        <w:fldChar w:fldCharType="begin"/>
      </w:r>
      <w:r w:rsidR="00974E01" w:rsidRPr="003A0436">
        <w:rPr>
          <w:rFonts w:ascii="Times New Roman" w:hAnsi="Times New Roman" w:cs="Times New Roman"/>
          <w:sz w:val="20"/>
          <w:szCs w:val="20"/>
          <w:lang w:val="en-US"/>
        </w:rPr>
        <w:instrText xml:space="preserve"> ADDIN ZOTERO_ITEM CSL_CITATION {"citationID":"ihmtg49S","properties":{"formattedCitation":"(ISO, 2006)","plainCitation":"(ISO, 2006)","noteIndex":0},"citationItems":[{"id":1542,"uris":["http://zotero.org/users/7034111/items/ZKMRFRP4"],"itemData":{"id":1542,"type":"webpage","abstract":"Environmental management — Life cycle assessment — Principles and framework","container-title":"ISO","language":"en","title":"ISO 14040:2006","title-short":"ISO 14040","URL":"https://www.iso.org/standard/37456.html","author":[{"literal":"ISO"}],"accessed":{"date-parts":[["2024",1,19]]},"issued":{"date-parts":[["2006"]]}}}],"schema":"https://github.com/citation-style-language/schema/raw/master/csl-citation.json"} </w:instrText>
      </w:r>
      <w:r w:rsidR="00C97F44" w:rsidRPr="003A0436">
        <w:rPr>
          <w:rFonts w:ascii="Times New Roman" w:hAnsi="Times New Roman" w:cs="Times New Roman"/>
          <w:sz w:val="20"/>
          <w:szCs w:val="20"/>
          <w:lang w:val="en-US"/>
        </w:rPr>
        <w:fldChar w:fldCharType="separate"/>
      </w:r>
      <w:r w:rsidR="00974E01" w:rsidRPr="003A0436">
        <w:rPr>
          <w:rFonts w:ascii="Times New Roman" w:hAnsi="Times New Roman" w:cs="Times New Roman"/>
          <w:sz w:val="20"/>
          <w:szCs w:val="20"/>
        </w:rPr>
        <w:t xml:space="preserve">ISO </w:t>
      </w:r>
      <w:r w:rsidR="008975B2" w:rsidRPr="003A0436">
        <w:rPr>
          <w:rFonts w:ascii="Times New Roman" w:hAnsi="Times New Roman" w:cs="Times New Roman"/>
          <w:sz w:val="20"/>
          <w:szCs w:val="20"/>
        </w:rPr>
        <w:t>(</w:t>
      </w:r>
      <w:r w:rsidR="00974E01" w:rsidRPr="003A0436">
        <w:rPr>
          <w:rFonts w:ascii="Times New Roman" w:hAnsi="Times New Roman" w:cs="Times New Roman"/>
          <w:sz w:val="20"/>
          <w:szCs w:val="20"/>
        </w:rPr>
        <w:t>2006)</w:t>
      </w:r>
      <w:r w:rsidR="00C97F44" w:rsidRPr="003A0436">
        <w:rPr>
          <w:rFonts w:ascii="Times New Roman" w:hAnsi="Times New Roman" w:cs="Times New Roman"/>
          <w:sz w:val="20"/>
          <w:szCs w:val="20"/>
          <w:lang w:val="en-US"/>
        </w:rPr>
        <w:fldChar w:fldCharType="end"/>
      </w:r>
      <w:r w:rsidR="00C97F44" w:rsidRPr="003A0436">
        <w:rPr>
          <w:rFonts w:ascii="Times New Roman" w:hAnsi="Times New Roman" w:cs="Times New Roman"/>
          <w:sz w:val="20"/>
          <w:szCs w:val="20"/>
          <w:lang w:val="en-US"/>
        </w:rPr>
        <w:t xml:space="preserve"> guidelines</w:t>
      </w:r>
      <w:r w:rsidR="000B0D2B" w:rsidRPr="003A0436">
        <w:rPr>
          <w:rFonts w:ascii="Times New Roman" w:hAnsi="Times New Roman" w:cs="Times New Roman"/>
          <w:sz w:val="20"/>
          <w:szCs w:val="20"/>
          <w:lang w:val="en-US"/>
        </w:rPr>
        <w:t>,</w:t>
      </w:r>
      <w:r w:rsidR="00C97F44" w:rsidRPr="003A0436">
        <w:rPr>
          <w:rFonts w:ascii="Times New Roman" w:hAnsi="Times New Roman" w:cs="Times New Roman"/>
          <w:sz w:val="20"/>
          <w:szCs w:val="20"/>
          <w:lang w:val="en-US"/>
        </w:rPr>
        <w:t xml:space="preserve"> to the co-products.  </w:t>
      </w:r>
      <w:r w:rsidR="00EC77CF" w:rsidRPr="003A0436">
        <w:rPr>
          <w:rFonts w:ascii="Times New Roman" w:hAnsi="Times New Roman" w:cs="Times New Roman"/>
          <w:sz w:val="20"/>
          <w:szCs w:val="20"/>
          <w:lang w:eastAsia="en-GB"/>
        </w:rPr>
        <w:t>The allocation was obtained by expressing the monetary value of the non-carcass components</w:t>
      </w:r>
      <w:r w:rsidR="00A46DBC" w:rsidRPr="0050714D">
        <w:rPr>
          <w:rFonts w:ascii="Times New Roman" w:hAnsi="Times New Roman" w:cs="Times New Roman"/>
          <w:sz w:val="20"/>
          <w:szCs w:val="20"/>
          <w:lang w:eastAsia="en-GB"/>
        </w:rPr>
        <w:t>,</w:t>
      </w:r>
      <w:r w:rsidR="00EC77CF" w:rsidRPr="003A0436">
        <w:rPr>
          <w:rFonts w:ascii="Times New Roman" w:hAnsi="Times New Roman" w:cs="Times New Roman"/>
          <w:sz w:val="20"/>
          <w:szCs w:val="20"/>
          <w:lang w:eastAsia="en-GB"/>
        </w:rPr>
        <w:t xml:space="preserve"> and expressing it relative to the </w:t>
      </w:r>
      <w:r w:rsidR="00A46DBC" w:rsidRPr="0050714D">
        <w:rPr>
          <w:rFonts w:ascii="Times New Roman" w:hAnsi="Times New Roman" w:cs="Times New Roman"/>
          <w:sz w:val="20"/>
          <w:szCs w:val="20"/>
          <w:lang w:eastAsia="en-GB"/>
        </w:rPr>
        <w:t xml:space="preserve">total </w:t>
      </w:r>
      <w:r w:rsidR="00EC77CF" w:rsidRPr="003A0436">
        <w:rPr>
          <w:rFonts w:ascii="Times New Roman" w:hAnsi="Times New Roman" w:cs="Times New Roman"/>
          <w:sz w:val="20"/>
          <w:szCs w:val="20"/>
          <w:lang w:eastAsia="en-GB"/>
        </w:rPr>
        <w:t xml:space="preserve">monetary value </w:t>
      </w:r>
      <w:r w:rsidR="00A46DBC" w:rsidRPr="0050714D">
        <w:rPr>
          <w:rFonts w:ascii="Times New Roman" w:hAnsi="Times New Roman" w:cs="Times New Roman"/>
          <w:sz w:val="20"/>
          <w:szCs w:val="20"/>
          <w:lang w:eastAsia="en-GB"/>
        </w:rPr>
        <w:t>(carcass plus non-</w:t>
      </w:r>
      <w:r w:rsidR="00EC77CF" w:rsidRPr="003A0436">
        <w:rPr>
          <w:rFonts w:ascii="Times New Roman" w:hAnsi="Times New Roman" w:cs="Times New Roman"/>
          <w:sz w:val="20"/>
          <w:szCs w:val="20"/>
          <w:lang w:eastAsia="en-GB"/>
        </w:rPr>
        <w:t>carcass</w:t>
      </w:r>
      <w:r w:rsidR="00A46DBC" w:rsidRPr="0050714D">
        <w:rPr>
          <w:rFonts w:ascii="Times New Roman" w:hAnsi="Times New Roman" w:cs="Times New Roman"/>
          <w:sz w:val="20"/>
          <w:szCs w:val="20"/>
          <w:lang w:eastAsia="en-GB"/>
        </w:rPr>
        <w:t>)</w:t>
      </w:r>
      <w:r w:rsidR="00EC77CF" w:rsidRPr="003A0436">
        <w:rPr>
          <w:rFonts w:ascii="Times New Roman" w:hAnsi="Times New Roman" w:cs="Times New Roman"/>
          <w:sz w:val="20"/>
          <w:szCs w:val="20"/>
          <w:lang w:eastAsia="en-GB"/>
        </w:rPr>
        <w:t xml:space="preserve"> as determined by the price obtained upon slaughter within the model.</w:t>
      </w:r>
      <w:r w:rsidRPr="003A0436">
        <w:rPr>
          <w:rFonts w:ascii="Times New Roman" w:hAnsi="Times New Roman" w:cs="Times New Roman"/>
          <w:sz w:val="20"/>
          <w:szCs w:val="20"/>
          <w:lang w:val="en-US"/>
        </w:rPr>
        <w:t xml:space="preserve">  </w:t>
      </w:r>
    </w:p>
    <w:p w14:paraId="70F0C9FA" w14:textId="77777777" w:rsidR="004D055B" w:rsidRPr="003A0436" w:rsidRDefault="004D055B" w:rsidP="003A0436">
      <w:pPr>
        <w:spacing w:after="0" w:line="240" w:lineRule="auto"/>
        <w:rPr>
          <w:rFonts w:ascii="Times New Roman" w:hAnsi="Times New Roman" w:cs="Times New Roman"/>
          <w:b/>
          <w:bCs/>
          <w:sz w:val="20"/>
          <w:szCs w:val="20"/>
          <w:lang w:val="en-US"/>
        </w:rPr>
      </w:pPr>
    </w:p>
    <w:p w14:paraId="35CAF992" w14:textId="28416C9F" w:rsidR="007B30E3" w:rsidRPr="003A0436" w:rsidRDefault="007B30E3" w:rsidP="003A0436">
      <w:pPr>
        <w:spacing w:after="0" w:line="240" w:lineRule="auto"/>
        <w:rPr>
          <w:rFonts w:ascii="Times New Roman" w:hAnsi="Times New Roman" w:cs="Times New Roman"/>
          <w:b/>
          <w:bCs/>
          <w:sz w:val="20"/>
          <w:szCs w:val="20"/>
          <w:lang w:val="en-US"/>
        </w:rPr>
      </w:pPr>
      <w:r w:rsidRPr="003A0436">
        <w:rPr>
          <w:rFonts w:ascii="Times New Roman" w:hAnsi="Times New Roman" w:cs="Times New Roman"/>
          <w:b/>
          <w:bCs/>
          <w:sz w:val="20"/>
          <w:szCs w:val="20"/>
          <w:lang w:val="en-US"/>
        </w:rPr>
        <w:t>Results</w:t>
      </w:r>
    </w:p>
    <w:p w14:paraId="3D5C9672" w14:textId="5924F1BD" w:rsidR="007B30E3" w:rsidRPr="0050714D" w:rsidRDefault="00EC77CF" w:rsidP="003A0436">
      <w:pPr>
        <w:spacing w:after="0" w:line="240" w:lineRule="auto"/>
        <w:jc w:val="both"/>
        <w:rPr>
          <w:rFonts w:ascii="Times New Roman" w:hAnsi="Times New Roman" w:cs="Times New Roman"/>
          <w:sz w:val="20"/>
          <w:szCs w:val="20"/>
          <w:lang w:eastAsia="en-GB"/>
        </w:rPr>
      </w:pPr>
      <w:r w:rsidRPr="003A0436">
        <w:rPr>
          <w:rFonts w:ascii="Times New Roman" w:hAnsi="Times New Roman" w:cs="Times New Roman"/>
          <w:sz w:val="20"/>
          <w:szCs w:val="20"/>
          <w:lang w:eastAsia="en-GB"/>
        </w:rPr>
        <w:t>The mean value of non-carcass components for the EF animals was €162 and for the older, heavier L</w:t>
      </w:r>
      <w:r w:rsidR="00FE1ACB" w:rsidRPr="003A0436">
        <w:rPr>
          <w:rFonts w:ascii="Times New Roman" w:hAnsi="Times New Roman" w:cs="Times New Roman"/>
          <w:sz w:val="20"/>
          <w:szCs w:val="20"/>
          <w:lang w:eastAsia="en-GB"/>
        </w:rPr>
        <w:t>F</w:t>
      </w:r>
      <w:r w:rsidRPr="003A0436">
        <w:rPr>
          <w:rFonts w:ascii="Times New Roman" w:hAnsi="Times New Roman" w:cs="Times New Roman"/>
          <w:sz w:val="20"/>
          <w:szCs w:val="20"/>
          <w:lang w:eastAsia="en-GB"/>
        </w:rPr>
        <w:t xml:space="preserve"> animals was €198 (Table 1)</w:t>
      </w:r>
      <w:r w:rsidR="00A46DBC" w:rsidRPr="0050714D">
        <w:rPr>
          <w:rFonts w:ascii="Times New Roman" w:hAnsi="Times New Roman" w:cs="Times New Roman"/>
          <w:sz w:val="20"/>
          <w:szCs w:val="20"/>
          <w:lang w:eastAsia="en-GB"/>
        </w:rPr>
        <w:t>.</w:t>
      </w:r>
      <w:r w:rsidRPr="003A0436">
        <w:rPr>
          <w:rFonts w:ascii="Times New Roman" w:hAnsi="Times New Roman" w:cs="Times New Roman"/>
          <w:sz w:val="20"/>
          <w:szCs w:val="20"/>
          <w:lang w:eastAsia="en-GB"/>
        </w:rPr>
        <w:t xml:space="preserve"> </w:t>
      </w:r>
      <w:r w:rsidR="003A02D9" w:rsidRPr="003A0436">
        <w:rPr>
          <w:rFonts w:ascii="Times New Roman" w:hAnsi="Times New Roman" w:cs="Times New Roman"/>
          <w:sz w:val="20"/>
          <w:szCs w:val="20"/>
          <w:lang w:eastAsia="en-GB"/>
        </w:rPr>
        <w:t>The total GHG emissions allocation on a per animal</w:t>
      </w:r>
      <w:r w:rsidR="007601F9" w:rsidRPr="003A0436">
        <w:rPr>
          <w:rFonts w:ascii="Times New Roman" w:hAnsi="Times New Roman" w:cs="Times New Roman"/>
          <w:sz w:val="20"/>
          <w:szCs w:val="20"/>
          <w:lang w:eastAsia="en-GB"/>
        </w:rPr>
        <w:t>, carcass and</w:t>
      </w:r>
      <w:r w:rsidR="003A02D9" w:rsidRPr="003A0436">
        <w:rPr>
          <w:rFonts w:ascii="Times New Roman" w:hAnsi="Times New Roman" w:cs="Times New Roman"/>
          <w:sz w:val="20"/>
          <w:szCs w:val="20"/>
          <w:lang w:eastAsia="en-GB"/>
        </w:rPr>
        <w:t xml:space="preserve"> </w:t>
      </w:r>
      <w:r w:rsidR="007601F9" w:rsidRPr="003A0436">
        <w:rPr>
          <w:rFonts w:ascii="Times New Roman" w:hAnsi="Times New Roman" w:cs="Times New Roman"/>
          <w:sz w:val="20"/>
          <w:szCs w:val="20"/>
          <w:lang w:eastAsia="en-GB"/>
        </w:rPr>
        <w:t>non-carcass (co-products) basis are presented in Figure 1.</w:t>
      </w:r>
      <w:r w:rsidR="00E26E52" w:rsidRPr="003A0436">
        <w:rPr>
          <w:rFonts w:ascii="Times New Roman" w:hAnsi="Times New Roman" w:cs="Times New Roman"/>
          <w:sz w:val="20"/>
          <w:szCs w:val="20"/>
          <w:lang w:eastAsia="en-GB"/>
        </w:rPr>
        <w:t xml:space="preserve"> </w:t>
      </w:r>
      <w:r w:rsidR="007601F9" w:rsidRPr="003A0436">
        <w:rPr>
          <w:rFonts w:ascii="Times New Roman" w:hAnsi="Times New Roman" w:cs="Times New Roman"/>
          <w:sz w:val="20"/>
          <w:szCs w:val="20"/>
          <w:lang w:eastAsia="en-GB"/>
        </w:rPr>
        <w:t>A</w:t>
      </w:r>
      <w:r w:rsidR="004D7199" w:rsidRPr="003A0436">
        <w:rPr>
          <w:rFonts w:ascii="Times New Roman" w:hAnsi="Times New Roman" w:cs="Times New Roman"/>
          <w:sz w:val="20"/>
          <w:szCs w:val="20"/>
          <w:lang w:eastAsia="en-GB"/>
        </w:rPr>
        <w:t>s a proportion of total GHG emission</w:t>
      </w:r>
      <w:r w:rsidR="007601F9" w:rsidRPr="003A0436">
        <w:rPr>
          <w:rFonts w:ascii="Times New Roman" w:hAnsi="Times New Roman" w:cs="Times New Roman"/>
          <w:sz w:val="20"/>
          <w:szCs w:val="20"/>
          <w:lang w:eastAsia="en-GB"/>
        </w:rPr>
        <w:t>s</w:t>
      </w:r>
      <w:r w:rsidR="004D7199" w:rsidRPr="003A0436">
        <w:rPr>
          <w:rFonts w:ascii="Times New Roman" w:hAnsi="Times New Roman" w:cs="Times New Roman"/>
          <w:sz w:val="20"/>
          <w:szCs w:val="20"/>
          <w:lang w:eastAsia="en-GB"/>
        </w:rPr>
        <w:t xml:space="preserve"> per </w:t>
      </w:r>
      <w:r w:rsidR="00E26E52" w:rsidRPr="003A0436">
        <w:rPr>
          <w:rFonts w:ascii="Times New Roman" w:hAnsi="Times New Roman" w:cs="Times New Roman"/>
          <w:sz w:val="20"/>
          <w:szCs w:val="20"/>
          <w:lang w:eastAsia="en-GB"/>
        </w:rPr>
        <w:t xml:space="preserve">finished animal </w:t>
      </w:r>
      <w:r w:rsidR="007601F9" w:rsidRPr="003A0436">
        <w:rPr>
          <w:rFonts w:ascii="Times New Roman" w:hAnsi="Times New Roman" w:cs="Times New Roman"/>
          <w:sz w:val="20"/>
          <w:szCs w:val="20"/>
          <w:lang w:eastAsia="en-GB"/>
        </w:rPr>
        <w:t xml:space="preserve">carcass to non-carcass components </w:t>
      </w:r>
      <w:r w:rsidR="004D7199" w:rsidRPr="003A0436">
        <w:rPr>
          <w:rFonts w:ascii="Times New Roman" w:hAnsi="Times New Roman" w:cs="Times New Roman"/>
          <w:sz w:val="20"/>
          <w:szCs w:val="20"/>
          <w:lang w:eastAsia="en-GB"/>
        </w:rPr>
        <w:t xml:space="preserve">showed </w:t>
      </w:r>
      <w:r w:rsidR="007601F9" w:rsidRPr="003A0436">
        <w:rPr>
          <w:rFonts w:ascii="Times New Roman" w:hAnsi="Times New Roman" w:cs="Times New Roman"/>
          <w:sz w:val="20"/>
          <w:szCs w:val="20"/>
          <w:lang w:eastAsia="en-GB"/>
        </w:rPr>
        <w:t xml:space="preserve">a similar mean </w:t>
      </w:r>
      <w:r w:rsidR="004D7199" w:rsidRPr="003A0436">
        <w:rPr>
          <w:rFonts w:ascii="Times New Roman" w:hAnsi="Times New Roman" w:cs="Times New Roman"/>
          <w:sz w:val="20"/>
          <w:szCs w:val="20"/>
          <w:lang w:eastAsia="en-GB"/>
        </w:rPr>
        <w:t>allocation ratio of 8</w:t>
      </w:r>
      <w:r w:rsidR="007601F9" w:rsidRPr="003A0436">
        <w:rPr>
          <w:rFonts w:ascii="Times New Roman" w:hAnsi="Times New Roman" w:cs="Times New Roman"/>
          <w:sz w:val="20"/>
          <w:szCs w:val="20"/>
          <w:lang w:eastAsia="en-GB"/>
        </w:rPr>
        <w:t>5</w:t>
      </w:r>
      <w:r w:rsidR="004D7199" w:rsidRPr="003A0436">
        <w:rPr>
          <w:rFonts w:ascii="Times New Roman" w:hAnsi="Times New Roman" w:cs="Times New Roman"/>
          <w:sz w:val="20"/>
          <w:szCs w:val="20"/>
          <w:lang w:eastAsia="en-GB"/>
        </w:rPr>
        <w:t>:1</w:t>
      </w:r>
      <w:r w:rsidR="007601F9" w:rsidRPr="003A0436">
        <w:rPr>
          <w:rFonts w:ascii="Times New Roman" w:hAnsi="Times New Roman" w:cs="Times New Roman"/>
          <w:sz w:val="20"/>
          <w:szCs w:val="20"/>
          <w:lang w:eastAsia="en-GB"/>
        </w:rPr>
        <w:t>5 across the six treatments. In other words</w:t>
      </w:r>
      <w:r w:rsidR="00BA215F" w:rsidRPr="003A0436">
        <w:rPr>
          <w:rFonts w:ascii="Times New Roman" w:hAnsi="Times New Roman" w:cs="Times New Roman"/>
          <w:sz w:val="20"/>
          <w:szCs w:val="20"/>
          <w:lang w:eastAsia="en-GB"/>
        </w:rPr>
        <w:t>,</w:t>
      </w:r>
      <w:r w:rsidR="00D62728" w:rsidRPr="003A0436">
        <w:rPr>
          <w:rFonts w:ascii="Times New Roman" w:hAnsi="Times New Roman" w:cs="Times New Roman"/>
          <w:sz w:val="20"/>
          <w:szCs w:val="20"/>
          <w:lang w:eastAsia="en-GB"/>
        </w:rPr>
        <w:t xml:space="preserve"> approximately 15% of the animal emission allocations were attributable to the non-carcass components.</w:t>
      </w:r>
      <w:r w:rsidR="009736C0" w:rsidRPr="003A0436">
        <w:rPr>
          <w:rFonts w:ascii="Times New Roman" w:hAnsi="Times New Roman" w:cs="Times New Roman"/>
          <w:sz w:val="20"/>
          <w:szCs w:val="20"/>
          <w:lang w:eastAsia="en-GB"/>
        </w:rPr>
        <w:t xml:space="preserve"> </w:t>
      </w:r>
      <w:r w:rsidR="00E26E52" w:rsidRPr="003A0436">
        <w:rPr>
          <w:rFonts w:ascii="Times New Roman" w:hAnsi="Times New Roman" w:cs="Times New Roman"/>
          <w:sz w:val="20"/>
          <w:szCs w:val="20"/>
          <w:lang w:eastAsia="en-GB"/>
        </w:rPr>
        <w:t xml:space="preserve">This process does not increase nor reduce emissions </w:t>
      </w:r>
      <w:r w:rsidR="007601F9" w:rsidRPr="003A0436">
        <w:rPr>
          <w:rFonts w:ascii="Times New Roman" w:hAnsi="Times New Roman" w:cs="Times New Roman"/>
          <w:sz w:val="20"/>
          <w:szCs w:val="20"/>
          <w:lang w:eastAsia="en-GB"/>
        </w:rPr>
        <w:t xml:space="preserve">per animal </w:t>
      </w:r>
      <w:r w:rsidR="00E26E52" w:rsidRPr="003A0436">
        <w:rPr>
          <w:rFonts w:ascii="Times New Roman" w:hAnsi="Times New Roman" w:cs="Times New Roman"/>
          <w:sz w:val="20"/>
          <w:szCs w:val="20"/>
          <w:lang w:eastAsia="en-GB"/>
        </w:rPr>
        <w:t>but merely reflects a fairer distribution for the valued non</w:t>
      </w:r>
      <w:r w:rsidR="00D62728" w:rsidRPr="003A0436">
        <w:rPr>
          <w:rFonts w:ascii="Times New Roman" w:hAnsi="Times New Roman" w:cs="Times New Roman"/>
          <w:sz w:val="20"/>
          <w:szCs w:val="20"/>
          <w:lang w:eastAsia="en-GB"/>
        </w:rPr>
        <w:t>-</w:t>
      </w:r>
      <w:r w:rsidR="00F17E19" w:rsidRPr="003A0436">
        <w:rPr>
          <w:rFonts w:ascii="Times New Roman" w:hAnsi="Times New Roman" w:cs="Times New Roman"/>
          <w:sz w:val="20"/>
          <w:szCs w:val="20"/>
          <w:lang w:eastAsia="en-GB"/>
        </w:rPr>
        <w:t>carcass</w:t>
      </w:r>
      <w:r w:rsidR="00E26E52" w:rsidRPr="003A0436">
        <w:rPr>
          <w:rFonts w:ascii="Times New Roman" w:hAnsi="Times New Roman" w:cs="Times New Roman"/>
          <w:sz w:val="20"/>
          <w:szCs w:val="20"/>
          <w:lang w:eastAsia="en-GB"/>
        </w:rPr>
        <w:t xml:space="preserve"> components</w:t>
      </w:r>
      <w:r w:rsidR="000473E3" w:rsidRPr="003A0436">
        <w:rPr>
          <w:rFonts w:ascii="Times New Roman" w:hAnsi="Times New Roman" w:cs="Times New Roman"/>
          <w:sz w:val="20"/>
          <w:szCs w:val="20"/>
          <w:lang w:eastAsia="en-GB"/>
        </w:rPr>
        <w:t xml:space="preserve">. </w:t>
      </w:r>
    </w:p>
    <w:p w14:paraId="09BF8585" w14:textId="77777777" w:rsidR="0050714D" w:rsidRPr="0050714D" w:rsidRDefault="0050714D" w:rsidP="003A0436">
      <w:pPr>
        <w:spacing w:after="0" w:line="240" w:lineRule="auto"/>
        <w:jc w:val="both"/>
        <w:rPr>
          <w:rFonts w:ascii="Times New Roman" w:hAnsi="Times New Roman" w:cs="Times New Roman"/>
          <w:b/>
          <w:sz w:val="20"/>
          <w:szCs w:val="20"/>
          <w:lang w:eastAsia="en-GB"/>
        </w:rPr>
      </w:pP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3"/>
        <w:gridCol w:w="1280"/>
        <w:gridCol w:w="1307"/>
        <w:gridCol w:w="253"/>
        <w:gridCol w:w="1134"/>
        <w:gridCol w:w="1387"/>
      </w:tblGrid>
      <w:tr w:rsidR="00A46DBC" w:rsidRPr="0050714D" w14:paraId="27887C1B" w14:textId="77777777" w:rsidTr="003A0436">
        <w:tc>
          <w:tcPr>
            <w:tcW w:w="2410" w:type="dxa"/>
            <w:tcBorders>
              <w:top w:val="single" w:sz="4" w:space="0" w:color="auto"/>
            </w:tcBorders>
          </w:tcPr>
          <w:p w14:paraId="4FE7635D" w14:textId="77777777" w:rsidR="00A46DBC" w:rsidRPr="0050714D" w:rsidRDefault="00A46DBC" w:rsidP="0050714D">
            <w:pPr>
              <w:rPr>
                <w:rFonts w:ascii="Times New Roman" w:hAnsi="Times New Roman" w:cs="Times New Roman"/>
                <w:b/>
                <w:bCs/>
                <w:sz w:val="20"/>
                <w:szCs w:val="20"/>
                <w:lang w:val="en-US"/>
              </w:rPr>
            </w:pPr>
          </w:p>
        </w:tc>
        <w:tc>
          <w:tcPr>
            <w:tcW w:w="4000" w:type="dxa"/>
            <w:gridSpan w:val="3"/>
            <w:tcBorders>
              <w:top w:val="single" w:sz="4" w:space="0" w:color="auto"/>
              <w:bottom w:val="single" w:sz="4" w:space="0" w:color="auto"/>
            </w:tcBorders>
          </w:tcPr>
          <w:p w14:paraId="2F76D358" w14:textId="34F63D31" w:rsidR="00A46DBC" w:rsidRPr="0050714D" w:rsidRDefault="0050714D" w:rsidP="0050714D">
            <w:pPr>
              <w:jc w:val="center"/>
              <w:rPr>
                <w:rFonts w:ascii="Times New Roman" w:hAnsi="Times New Roman" w:cs="Times New Roman"/>
                <w:sz w:val="20"/>
                <w:szCs w:val="20"/>
                <w:lang w:val="en-US"/>
              </w:rPr>
            </w:pPr>
            <w:r w:rsidRPr="0050714D">
              <w:rPr>
                <w:rFonts w:ascii="Times New Roman" w:eastAsia="Times New Roman" w:hAnsi="Times New Roman" w:cs="Times New Roman"/>
                <w:color w:val="000000"/>
                <w:sz w:val="20"/>
                <w:szCs w:val="20"/>
                <w:lang w:val="en-IE" w:eastAsia="en-IE"/>
                <w14:ligatures w14:val="none"/>
              </w:rPr>
              <w:t>Pasture supplementation</w:t>
            </w:r>
          </w:p>
        </w:tc>
        <w:tc>
          <w:tcPr>
            <w:tcW w:w="253" w:type="dxa"/>
            <w:tcBorders>
              <w:top w:val="single" w:sz="4" w:space="0" w:color="auto"/>
            </w:tcBorders>
          </w:tcPr>
          <w:p w14:paraId="7C969ADA" w14:textId="77777777" w:rsidR="00A46DBC" w:rsidRPr="0050714D" w:rsidRDefault="00A46DBC" w:rsidP="0050714D">
            <w:pPr>
              <w:jc w:val="center"/>
              <w:rPr>
                <w:rFonts w:ascii="Times New Roman" w:hAnsi="Times New Roman" w:cs="Times New Roman"/>
                <w:sz w:val="20"/>
                <w:szCs w:val="20"/>
                <w:lang w:val="en-US"/>
              </w:rPr>
            </w:pPr>
          </w:p>
        </w:tc>
        <w:tc>
          <w:tcPr>
            <w:tcW w:w="2521" w:type="dxa"/>
            <w:gridSpan w:val="2"/>
            <w:tcBorders>
              <w:top w:val="single" w:sz="4" w:space="0" w:color="auto"/>
              <w:bottom w:val="single" w:sz="4" w:space="0" w:color="auto"/>
            </w:tcBorders>
          </w:tcPr>
          <w:p w14:paraId="27880083" w14:textId="5D79629E" w:rsidR="00A46DBC" w:rsidRPr="0050714D" w:rsidRDefault="0050714D" w:rsidP="0050714D">
            <w:pPr>
              <w:jc w:val="center"/>
              <w:rPr>
                <w:rFonts w:ascii="Times New Roman" w:hAnsi="Times New Roman" w:cs="Times New Roman"/>
                <w:sz w:val="20"/>
                <w:szCs w:val="20"/>
                <w:lang w:val="en-US"/>
              </w:rPr>
            </w:pPr>
            <w:r w:rsidRPr="0050714D">
              <w:rPr>
                <w:rFonts w:ascii="Times New Roman" w:hAnsi="Times New Roman" w:cs="Times New Roman"/>
                <w:sz w:val="20"/>
                <w:szCs w:val="20"/>
                <w:lang w:val="en-US"/>
              </w:rPr>
              <w:t>Finishing strategy</w:t>
            </w:r>
          </w:p>
        </w:tc>
      </w:tr>
      <w:tr w:rsidR="00A46DBC" w:rsidRPr="0050714D" w14:paraId="1F36A894" w14:textId="77777777" w:rsidTr="003A0436">
        <w:tc>
          <w:tcPr>
            <w:tcW w:w="2410" w:type="dxa"/>
            <w:tcBorders>
              <w:bottom w:val="single" w:sz="4" w:space="0" w:color="auto"/>
            </w:tcBorders>
          </w:tcPr>
          <w:p w14:paraId="5CB9AEEA" w14:textId="77777777" w:rsidR="00A46DBC" w:rsidRPr="0050714D" w:rsidRDefault="00A46DBC" w:rsidP="0050714D">
            <w:pPr>
              <w:rPr>
                <w:rFonts w:ascii="Times New Roman" w:hAnsi="Times New Roman" w:cs="Times New Roman"/>
                <w:b/>
                <w:bCs/>
                <w:sz w:val="20"/>
                <w:szCs w:val="20"/>
                <w:lang w:val="en-US"/>
              </w:rPr>
            </w:pPr>
          </w:p>
        </w:tc>
        <w:tc>
          <w:tcPr>
            <w:tcW w:w="1413" w:type="dxa"/>
            <w:tcBorders>
              <w:top w:val="single" w:sz="4" w:space="0" w:color="auto"/>
              <w:bottom w:val="single" w:sz="4" w:space="0" w:color="auto"/>
            </w:tcBorders>
          </w:tcPr>
          <w:p w14:paraId="5A781D19" w14:textId="1CF6C93A" w:rsidR="00A46DBC" w:rsidRPr="0050714D" w:rsidRDefault="00A46DBC" w:rsidP="007F5C72">
            <w:pPr>
              <w:jc w:val="center"/>
              <w:rPr>
                <w:rFonts w:ascii="Times New Roman" w:hAnsi="Times New Roman" w:cs="Times New Roman"/>
                <w:sz w:val="20"/>
                <w:szCs w:val="20"/>
                <w:lang w:val="en-US"/>
              </w:rPr>
            </w:pPr>
            <w:r w:rsidRPr="0050714D">
              <w:rPr>
                <w:rFonts w:ascii="Times New Roman" w:hAnsi="Times New Roman" w:cs="Times New Roman"/>
                <w:sz w:val="20"/>
                <w:szCs w:val="20"/>
                <w:lang w:val="en-US"/>
              </w:rPr>
              <w:t>GG</w:t>
            </w:r>
            <w:r w:rsidR="007F5C72">
              <w:rPr>
                <w:rFonts w:ascii="Times New Roman" w:hAnsi="Times New Roman" w:cs="Times New Roman"/>
                <w:sz w:val="20"/>
                <w:szCs w:val="20"/>
                <w:lang w:val="en-US"/>
              </w:rPr>
              <w:t>-0</w:t>
            </w:r>
          </w:p>
        </w:tc>
        <w:tc>
          <w:tcPr>
            <w:tcW w:w="1280" w:type="dxa"/>
            <w:tcBorders>
              <w:top w:val="single" w:sz="4" w:space="0" w:color="auto"/>
              <w:bottom w:val="single" w:sz="4" w:space="0" w:color="auto"/>
            </w:tcBorders>
          </w:tcPr>
          <w:p w14:paraId="4D013CF8" w14:textId="4EA4421A" w:rsidR="00A46DBC" w:rsidRPr="0050714D" w:rsidRDefault="00A46DBC" w:rsidP="0050714D">
            <w:pPr>
              <w:jc w:val="center"/>
              <w:rPr>
                <w:rFonts w:ascii="Times New Roman" w:hAnsi="Times New Roman" w:cs="Times New Roman"/>
                <w:sz w:val="20"/>
                <w:szCs w:val="20"/>
                <w:lang w:val="en-US"/>
              </w:rPr>
            </w:pPr>
            <w:r w:rsidRPr="0050714D">
              <w:rPr>
                <w:rFonts w:ascii="Times New Roman" w:hAnsi="Times New Roman" w:cs="Times New Roman"/>
                <w:sz w:val="20"/>
                <w:szCs w:val="20"/>
                <w:lang w:val="en-US"/>
              </w:rPr>
              <w:t>GG</w:t>
            </w:r>
            <w:r w:rsidR="007F5C72">
              <w:rPr>
                <w:rFonts w:ascii="Times New Roman" w:hAnsi="Times New Roman" w:cs="Times New Roman"/>
                <w:sz w:val="20"/>
                <w:szCs w:val="20"/>
                <w:lang w:val="en-US"/>
              </w:rPr>
              <w:t>-</w:t>
            </w:r>
            <w:r w:rsidRPr="0050714D">
              <w:rPr>
                <w:rFonts w:ascii="Times New Roman" w:hAnsi="Times New Roman" w:cs="Times New Roman"/>
                <w:sz w:val="20"/>
                <w:szCs w:val="20"/>
                <w:lang w:val="en-US"/>
              </w:rPr>
              <w:t>1.5</w:t>
            </w:r>
          </w:p>
        </w:tc>
        <w:tc>
          <w:tcPr>
            <w:tcW w:w="1307" w:type="dxa"/>
            <w:tcBorders>
              <w:top w:val="single" w:sz="4" w:space="0" w:color="auto"/>
              <w:bottom w:val="single" w:sz="4" w:space="0" w:color="auto"/>
            </w:tcBorders>
          </w:tcPr>
          <w:p w14:paraId="438CDDB8" w14:textId="0E5C8EFC" w:rsidR="00A46DBC" w:rsidRPr="0050714D" w:rsidRDefault="00A46DBC" w:rsidP="0050714D">
            <w:pPr>
              <w:jc w:val="center"/>
              <w:rPr>
                <w:rFonts w:ascii="Times New Roman" w:hAnsi="Times New Roman" w:cs="Times New Roman"/>
                <w:sz w:val="20"/>
                <w:szCs w:val="20"/>
                <w:lang w:val="en-US"/>
              </w:rPr>
            </w:pPr>
            <w:r w:rsidRPr="0050714D">
              <w:rPr>
                <w:rFonts w:ascii="Times New Roman" w:hAnsi="Times New Roman" w:cs="Times New Roman"/>
                <w:sz w:val="20"/>
                <w:szCs w:val="20"/>
                <w:lang w:val="en-US"/>
              </w:rPr>
              <w:t>GG</w:t>
            </w:r>
            <w:r w:rsidR="007F5C72">
              <w:rPr>
                <w:rFonts w:ascii="Times New Roman" w:hAnsi="Times New Roman" w:cs="Times New Roman"/>
                <w:sz w:val="20"/>
                <w:szCs w:val="20"/>
                <w:lang w:val="en-US"/>
              </w:rPr>
              <w:t>-</w:t>
            </w:r>
            <w:r w:rsidRPr="0050714D">
              <w:rPr>
                <w:rFonts w:ascii="Times New Roman" w:hAnsi="Times New Roman" w:cs="Times New Roman"/>
                <w:sz w:val="20"/>
                <w:szCs w:val="20"/>
                <w:lang w:val="en-US"/>
              </w:rPr>
              <w:t>3.0</w:t>
            </w:r>
          </w:p>
        </w:tc>
        <w:tc>
          <w:tcPr>
            <w:tcW w:w="253" w:type="dxa"/>
            <w:tcBorders>
              <w:bottom w:val="single" w:sz="4" w:space="0" w:color="auto"/>
            </w:tcBorders>
          </w:tcPr>
          <w:p w14:paraId="696C35EA" w14:textId="77777777" w:rsidR="00A46DBC" w:rsidRPr="0050714D" w:rsidRDefault="00A46DBC" w:rsidP="0050714D">
            <w:pPr>
              <w:jc w:val="center"/>
              <w:rPr>
                <w:rFonts w:ascii="Times New Roman" w:hAnsi="Times New Roman" w:cs="Times New Roman"/>
                <w:sz w:val="20"/>
                <w:szCs w:val="20"/>
                <w:lang w:val="en-US"/>
              </w:rPr>
            </w:pPr>
          </w:p>
        </w:tc>
        <w:tc>
          <w:tcPr>
            <w:tcW w:w="1134" w:type="dxa"/>
            <w:tcBorders>
              <w:top w:val="single" w:sz="4" w:space="0" w:color="auto"/>
              <w:bottom w:val="single" w:sz="4" w:space="0" w:color="auto"/>
            </w:tcBorders>
          </w:tcPr>
          <w:p w14:paraId="0E22BDB4" w14:textId="429280A0" w:rsidR="00A46DBC" w:rsidRPr="0050714D" w:rsidRDefault="00A46DBC" w:rsidP="0050714D">
            <w:pPr>
              <w:jc w:val="center"/>
              <w:rPr>
                <w:rFonts w:ascii="Times New Roman" w:hAnsi="Times New Roman" w:cs="Times New Roman"/>
                <w:sz w:val="20"/>
                <w:szCs w:val="20"/>
                <w:lang w:val="en-US"/>
              </w:rPr>
            </w:pPr>
            <w:r w:rsidRPr="0050714D">
              <w:rPr>
                <w:rFonts w:ascii="Times New Roman" w:hAnsi="Times New Roman" w:cs="Times New Roman"/>
                <w:sz w:val="20"/>
                <w:szCs w:val="20"/>
                <w:lang w:val="en-US"/>
              </w:rPr>
              <w:t>Early</w:t>
            </w:r>
          </w:p>
        </w:tc>
        <w:tc>
          <w:tcPr>
            <w:tcW w:w="1387" w:type="dxa"/>
            <w:tcBorders>
              <w:top w:val="single" w:sz="4" w:space="0" w:color="auto"/>
              <w:bottom w:val="single" w:sz="4" w:space="0" w:color="auto"/>
            </w:tcBorders>
          </w:tcPr>
          <w:p w14:paraId="65D45E68" w14:textId="095D49B4" w:rsidR="00A46DBC" w:rsidRPr="0050714D" w:rsidRDefault="00A46DBC" w:rsidP="0050714D">
            <w:pPr>
              <w:jc w:val="center"/>
              <w:rPr>
                <w:rFonts w:ascii="Times New Roman" w:hAnsi="Times New Roman" w:cs="Times New Roman"/>
                <w:sz w:val="20"/>
                <w:szCs w:val="20"/>
                <w:lang w:val="en-US"/>
              </w:rPr>
            </w:pPr>
            <w:r w:rsidRPr="0050714D">
              <w:rPr>
                <w:rFonts w:ascii="Times New Roman" w:hAnsi="Times New Roman" w:cs="Times New Roman"/>
                <w:sz w:val="20"/>
                <w:szCs w:val="20"/>
                <w:lang w:val="en-US"/>
              </w:rPr>
              <w:t>Late</w:t>
            </w:r>
          </w:p>
        </w:tc>
      </w:tr>
      <w:tr w:rsidR="00A46DBC" w:rsidRPr="0050714D" w14:paraId="76B8E002" w14:textId="77777777" w:rsidTr="003A0436">
        <w:tc>
          <w:tcPr>
            <w:tcW w:w="2410" w:type="dxa"/>
            <w:tcBorders>
              <w:top w:val="single" w:sz="4" w:space="0" w:color="auto"/>
            </w:tcBorders>
            <w:shd w:val="clear" w:color="auto" w:fill="auto"/>
          </w:tcPr>
          <w:p w14:paraId="5C5E100D" w14:textId="77777777" w:rsidR="00A46DBC" w:rsidRPr="0050714D" w:rsidRDefault="00A46DBC" w:rsidP="0050714D">
            <w:pPr>
              <w:rPr>
                <w:rFonts w:ascii="Times New Roman" w:hAnsi="Times New Roman" w:cs="Times New Roman"/>
                <w:b/>
                <w:bCs/>
                <w:i/>
                <w:iCs/>
                <w:sz w:val="20"/>
                <w:szCs w:val="20"/>
                <w:lang w:val="en-US"/>
              </w:rPr>
            </w:pPr>
            <w:r w:rsidRPr="003A0436">
              <w:rPr>
                <w:rFonts w:ascii="Times New Roman" w:eastAsia="Times New Roman" w:hAnsi="Times New Roman" w:cs="Times New Roman"/>
                <w:i/>
                <w:iCs/>
                <w:kern w:val="0"/>
                <w:sz w:val="20"/>
                <w:szCs w:val="20"/>
                <w14:ligatures w14:val="none"/>
              </w:rPr>
              <w:t xml:space="preserve">Economic allocation </w:t>
            </w:r>
          </w:p>
        </w:tc>
        <w:tc>
          <w:tcPr>
            <w:tcW w:w="1413" w:type="dxa"/>
            <w:tcBorders>
              <w:top w:val="single" w:sz="4" w:space="0" w:color="auto"/>
            </w:tcBorders>
            <w:shd w:val="clear" w:color="auto" w:fill="auto"/>
          </w:tcPr>
          <w:p w14:paraId="1F9AA302" w14:textId="77777777" w:rsidR="00A46DBC" w:rsidRPr="0050714D" w:rsidRDefault="00A46DBC" w:rsidP="0050714D">
            <w:pPr>
              <w:jc w:val="center"/>
              <w:rPr>
                <w:rFonts w:ascii="Times New Roman" w:hAnsi="Times New Roman" w:cs="Times New Roman"/>
                <w:b/>
                <w:bCs/>
                <w:sz w:val="20"/>
                <w:szCs w:val="20"/>
                <w:lang w:val="en-US"/>
              </w:rPr>
            </w:pPr>
          </w:p>
        </w:tc>
        <w:tc>
          <w:tcPr>
            <w:tcW w:w="1280" w:type="dxa"/>
            <w:tcBorders>
              <w:top w:val="single" w:sz="4" w:space="0" w:color="auto"/>
            </w:tcBorders>
            <w:shd w:val="clear" w:color="auto" w:fill="auto"/>
          </w:tcPr>
          <w:p w14:paraId="0A6C46DE" w14:textId="77777777" w:rsidR="00A46DBC" w:rsidRPr="0050714D" w:rsidRDefault="00A46DBC" w:rsidP="0050714D">
            <w:pPr>
              <w:jc w:val="center"/>
              <w:rPr>
                <w:rFonts w:ascii="Times New Roman" w:hAnsi="Times New Roman" w:cs="Times New Roman"/>
                <w:b/>
                <w:bCs/>
                <w:sz w:val="20"/>
                <w:szCs w:val="20"/>
                <w:lang w:val="en-US"/>
              </w:rPr>
            </w:pPr>
          </w:p>
        </w:tc>
        <w:tc>
          <w:tcPr>
            <w:tcW w:w="1307" w:type="dxa"/>
            <w:tcBorders>
              <w:top w:val="single" w:sz="4" w:space="0" w:color="auto"/>
            </w:tcBorders>
            <w:shd w:val="clear" w:color="auto" w:fill="auto"/>
          </w:tcPr>
          <w:p w14:paraId="76E75C88" w14:textId="77777777" w:rsidR="00A46DBC" w:rsidRPr="0050714D" w:rsidRDefault="00A46DBC" w:rsidP="0050714D">
            <w:pPr>
              <w:jc w:val="center"/>
              <w:rPr>
                <w:rFonts w:ascii="Times New Roman" w:hAnsi="Times New Roman" w:cs="Times New Roman"/>
                <w:b/>
                <w:bCs/>
                <w:sz w:val="20"/>
                <w:szCs w:val="20"/>
                <w:lang w:val="en-US"/>
              </w:rPr>
            </w:pPr>
          </w:p>
        </w:tc>
        <w:tc>
          <w:tcPr>
            <w:tcW w:w="253" w:type="dxa"/>
            <w:tcBorders>
              <w:top w:val="single" w:sz="4" w:space="0" w:color="auto"/>
            </w:tcBorders>
          </w:tcPr>
          <w:p w14:paraId="5BDE3ECD" w14:textId="77777777" w:rsidR="00A46DBC" w:rsidRPr="0050714D" w:rsidRDefault="00A46DBC" w:rsidP="0050714D">
            <w:pPr>
              <w:jc w:val="center"/>
              <w:rPr>
                <w:rFonts w:ascii="Times New Roman" w:hAnsi="Times New Roman" w:cs="Times New Roman"/>
                <w:b/>
                <w:bCs/>
                <w:sz w:val="20"/>
                <w:szCs w:val="20"/>
                <w:lang w:val="en-US"/>
              </w:rPr>
            </w:pPr>
          </w:p>
        </w:tc>
        <w:tc>
          <w:tcPr>
            <w:tcW w:w="1134" w:type="dxa"/>
            <w:tcBorders>
              <w:top w:val="single" w:sz="4" w:space="0" w:color="auto"/>
            </w:tcBorders>
            <w:shd w:val="clear" w:color="auto" w:fill="auto"/>
          </w:tcPr>
          <w:p w14:paraId="24D5BBDA" w14:textId="71E79223" w:rsidR="00A46DBC" w:rsidRPr="0050714D" w:rsidRDefault="00A46DBC" w:rsidP="0050714D">
            <w:pPr>
              <w:jc w:val="center"/>
              <w:rPr>
                <w:rFonts w:ascii="Times New Roman" w:hAnsi="Times New Roman" w:cs="Times New Roman"/>
                <w:b/>
                <w:bCs/>
                <w:sz w:val="20"/>
                <w:szCs w:val="20"/>
                <w:lang w:val="en-US"/>
              </w:rPr>
            </w:pPr>
          </w:p>
        </w:tc>
        <w:tc>
          <w:tcPr>
            <w:tcW w:w="1387" w:type="dxa"/>
            <w:tcBorders>
              <w:top w:val="single" w:sz="4" w:space="0" w:color="auto"/>
            </w:tcBorders>
            <w:shd w:val="clear" w:color="auto" w:fill="auto"/>
          </w:tcPr>
          <w:p w14:paraId="36946A25" w14:textId="77777777" w:rsidR="00A46DBC" w:rsidRPr="0050714D" w:rsidRDefault="00A46DBC" w:rsidP="0050714D">
            <w:pPr>
              <w:jc w:val="center"/>
              <w:rPr>
                <w:rFonts w:ascii="Times New Roman" w:hAnsi="Times New Roman" w:cs="Times New Roman"/>
                <w:b/>
                <w:bCs/>
                <w:sz w:val="20"/>
                <w:szCs w:val="20"/>
                <w:lang w:val="en-US"/>
              </w:rPr>
            </w:pPr>
          </w:p>
        </w:tc>
      </w:tr>
      <w:tr w:rsidR="00A46DBC" w:rsidRPr="0050714D" w14:paraId="29F01BAE" w14:textId="77777777" w:rsidTr="003A0436">
        <w:tc>
          <w:tcPr>
            <w:tcW w:w="2410" w:type="dxa"/>
            <w:shd w:val="clear" w:color="auto" w:fill="auto"/>
          </w:tcPr>
          <w:p w14:paraId="2D76B360" w14:textId="5AE12E1E" w:rsidR="00A46DBC" w:rsidRPr="0050714D" w:rsidRDefault="00A46DBC" w:rsidP="0050714D">
            <w:pP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val="en-IE"/>
                <w14:ligatures w14:val="none"/>
              </w:rPr>
              <w:t>Beef price</w:t>
            </w:r>
            <w:r w:rsidRPr="003A0436">
              <w:rPr>
                <w:rFonts w:ascii="Times New Roman" w:eastAsia="Times New Roman" w:hAnsi="Times New Roman" w:cs="Times New Roman"/>
                <w:kern w:val="0"/>
                <w:sz w:val="20"/>
                <w:szCs w:val="20"/>
                <w:vertAlign w:val="superscript"/>
                <w:lang w:val="en-IE"/>
                <w14:ligatures w14:val="none"/>
              </w:rPr>
              <w:t>1</w:t>
            </w:r>
            <w:r w:rsidRPr="0050714D">
              <w:rPr>
                <w:rFonts w:ascii="Times New Roman" w:eastAsia="Times New Roman" w:hAnsi="Times New Roman" w:cs="Times New Roman"/>
                <w:kern w:val="0"/>
                <w:sz w:val="20"/>
                <w:szCs w:val="20"/>
                <w:lang w:val="en-IE"/>
                <w14:ligatures w14:val="none"/>
              </w:rPr>
              <w:t xml:space="preserve"> (€/kg)</w:t>
            </w:r>
          </w:p>
        </w:tc>
        <w:tc>
          <w:tcPr>
            <w:tcW w:w="1413" w:type="dxa"/>
            <w:shd w:val="clear" w:color="auto" w:fill="auto"/>
          </w:tcPr>
          <w:p w14:paraId="3DCC2D16"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4.73</w:t>
            </w:r>
          </w:p>
        </w:tc>
        <w:tc>
          <w:tcPr>
            <w:tcW w:w="1280" w:type="dxa"/>
            <w:shd w:val="clear" w:color="auto" w:fill="auto"/>
          </w:tcPr>
          <w:p w14:paraId="5CEA7C35"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4.72</w:t>
            </w:r>
          </w:p>
        </w:tc>
        <w:tc>
          <w:tcPr>
            <w:tcW w:w="1307" w:type="dxa"/>
            <w:shd w:val="clear" w:color="auto" w:fill="auto"/>
          </w:tcPr>
          <w:p w14:paraId="2AABE794"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4.78</w:t>
            </w:r>
          </w:p>
        </w:tc>
        <w:tc>
          <w:tcPr>
            <w:tcW w:w="253" w:type="dxa"/>
          </w:tcPr>
          <w:p w14:paraId="2C38907B" w14:textId="77777777" w:rsidR="00A46DBC" w:rsidRPr="0050714D" w:rsidRDefault="00A46DBC" w:rsidP="0050714D">
            <w:pPr>
              <w:jc w:val="center"/>
              <w:rPr>
                <w:rFonts w:ascii="Times New Roman" w:eastAsia="Times New Roman" w:hAnsi="Times New Roman" w:cs="Times New Roman"/>
                <w:kern w:val="0"/>
                <w:sz w:val="20"/>
                <w:szCs w:val="20"/>
                <w:lang w:eastAsia="en-GB"/>
                <w14:ligatures w14:val="none"/>
              </w:rPr>
            </w:pPr>
          </w:p>
        </w:tc>
        <w:tc>
          <w:tcPr>
            <w:tcW w:w="1134" w:type="dxa"/>
            <w:shd w:val="clear" w:color="auto" w:fill="auto"/>
          </w:tcPr>
          <w:p w14:paraId="1FDFE8F1" w14:textId="2AEEF4F8"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4.43</w:t>
            </w:r>
          </w:p>
        </w:tc>
        <w:tc>
          <w:tcPr>
            <w:tcW w:w="1387" w:type="dxa"/>
            <w:shd w:val="clear" w:color="auto" w:fill="auto"/>
          </w:tcPr>
          <w:p w14:paraId="6BF826A9"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5.07</w:t>
            </w:r>
          </w:p>
        </w:tc>
      </w:tr>
      <w:tr w:rsidR="00A46DBC" w:rsidRPr="0050714D" w14:paraId="15EC77C6" w14:textId="77777777" w:rsidTr="003A0436">
        <w:tc>
          <w:tcPr>
            <w:tcW w:w="2410" w:type="dxa"/>
            <w:shd w:val="clear" w:color="auto" w:fill="auto"/>
          </w:tcPr>
          <w:p w14:paraId="7B62A678" w14:textId="764C78C9" w:rsidR="00A46DBC" w:rsidRPr="0050714D" w:rsidRDefault="00A46DBC" w:rsidP="0050714D">
            <w:pP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val="en-IE"/>
                <w14:ligatures w14:val="none"/>
              </w:rPr>
              <w:t xml:space="preserve">Carcass value (€) </w:t>
            </w:r>
          </w:p>
        </w:tc>
        <w:tc>
          <w:tcPr>
            <w:tcW w:w="1413" w:type="dxa"/>
            <w:shd w:val="clear" w:color="auto" w:fill="auto"/>
          </w:tcPr>
          <w:p w14:paraId="129935A5"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1201</w:t>
            </w:r>
          </w:p>
        </w:tc>
        <w:tc>
          <w:tcPr>
            <w:tcW w:w="1280" w:type="dxa"/>
            <w:shd w:val="clear" w:color="auto" w:fill="auto"/>
          </w:tcPr>
          <w:p w14:paraId="1AABABB9"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1225</w:t>
            </w:r>
          </w:p>
        </w:tc>
        <w:tc>
          <w:tcPr>
            <w:tcW w:w="1307" w:type="dxa"/>
            <w:shd w:val="clear" w:color="auto" w:fill="auto"/>
          </w:tcPr>
          <w:p w14:paraId="46E79533"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1255</w:t>
            </w:r>
          </w:p>
        </w:tc>
        <w:tc>
          <w:tcPr>
            <w:tcW w:w="253" w:type="dxa"/>
          </w:tcPr>
          <w:p w14:paraId="48DF3F53" w14:textId="77777777" w:rsidR="00A46DBC" w:rsidRPr="0050714D" w:rsidRDefault="00A46DBC" w:rsidP="0050714D">
            <w:pPr>
              <w:jc w:val="center"/>
              <w:rPr>
                <w:rFonts w:ascii="Times New Roman" w:eastAsia="Times New Roman" w:hAnsi="Times New Roman" w:cs="Times New Roman"/>
                <w:kern w:val="0"/>
                <w:sz w:val="20"/>
                <w:szCs w:val="20"/>
                <w:lang w:eastAsia="en-GB"/>
                <w14:ligatures w14:val="none"/>
              </w:rPr>
            </w:pPr>
          </w:p>
        </w:tc>
        <w:tc>
          <w:tcPr>
            <w:tcW w:w="1134" w:type="dxa"/>
            <w:shd w:val="clear" w:color="auto" w:fill="auto"/>
          </w:tcPr>
          <w:p w14:paraId="3D5399D2" w14:textId="0C2A2BCE"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1025</w:t>
            </w:r>
          </w:p>
        </w:tc>
        <w:tc>
          <w:tcPr>
            <w:tcW w:w="1387" w:type="dxa"/>
            <w:shd w:val="clear" w:color="auto" w:fill="auto"/>
          </w:tcPr>
          <w:p w14:paraId="4B40F464"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1429</w:t>
            </w:r>
          </w:p>
        </w:tc>
      </w:tr>
      <w:tr w:rsidR="00A46DBC" w:rsidRPr="0050714D" w14:paraId="3693DA65" w14:textId="77777777" w:rsidTr="003A0436">
        <w:tc>
          <w:tcPr>
            <w:tcW w:w="2410" w:type="dxa"/>
            <w:shd w:val="clear" w:color="auto" w:fill="auto"/>
          </w:tcPr>
          <w:p w14:paraId="2BBB996F" w14:textId="0BB329CA" w:rsidR="00A46DBC" w:rsidRPr="0050714D" w:rsidRDefault="00A46DBC" w:rsidP="0050714D">
            <w:pP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14:ligatures w14:val="none"/>
              </w:rPr>
              <w:t>Non-carcass value (€)</w:t>
            </w:r>
          </w:p>
        </w:tc>
        <w:tc>
          <w:tcPr>
            <w:tcW w:w="1413" w:type="dxa"/>
            <w:shd w:val="clear" w:color="auto" w:fill="auto"/>
          </w:tcPr>
          <w:p w14:paraId="56F9FB22"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176</w:t>
            </w:r>
          </w:p>
        </w:tc>
        <w:tc>
          <w:tcPr>
            <w:tcW w:w="1280" w:type="dxa"/>
            <w:shd w:val="clear" w:color="auto" w:fill="auto"/>
          </w:tcPr>
          <w:p w14:paraId="4F242FF3"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180</w:t>
            </w:r>
          </w:p>
        </w:tc>
        <w:tc>
          <w:tcPr>
            <w:tcW w:w="1307" w:type="dxa"/>
            <w:shd w:val="clear" w:color="auto" w:fill="auto"/>
          </w:tcPr>
          <w:p w14:paraId="3A506CFF"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182</w:t>
            </w:r>
          </w:p>
        </w:tc>
        <w:tc>
          <w:tcPr>
            <w:tcW w:w="253" w:type="dxa"/>
          </w:tcPr>
          <w:p w14:paraId="14E01304" w14:textId="77777777" w:rsidR="00A46DBC" w:rsidRPr="0050714D" w:rsidRDefault="00A46DBC" w:rsidP="0050714D">
            <w:pPr>
              <w:jc w:val="center"/>
              <w:rPr>
                <w:rFonts w:ascii="Times New Roman" w:eastAsia="Times New Roman" w:hAnsi="Times New Roman" w:cs="Times New Roman"/>
                <w:kern w:val="0"/>
                <w:sz w:val="20"/>
                <w:szCs w:val="20"/>
                <w:lang w:eastAsia="en-GB"/>
                <w14:ligatures w14:val="none"/>
              </w:rPr>
            </w:pPr>
          </w:p>
        </w:tc>
        <w:tc>
          <w:tcPr>
            <w:tcW w:w="1134" w:type="dxa"/>
            <w:shd w:val="clear" w:color="auto" w:fill="auto"/>
          </w:tcPr>
          <w:p w14:paraId="3A7245CF" w14:textId="6EBE4814"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162</w:t>
            </w:r>
          </w:p>
        </w:tc>
        <w:tc>
          <w:tcPr>
            <w:tcW w:w="1387" w:type="dxa"/>
            <w:shd w:val="clear" w:color="auto" w:fill="auto"/>
          </w:tcPr>
          <w:p w14:paraId="4CECE180"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198</w:t>
            </w:r>
          </w:p>
        </w:tc>
      </w:tr>
      <w:tr w:rsidR="00A46DBC" w:rsidRPr="0050714D" w14:paraId="6CAA05EF" w14:textId="77777777" w:rsidTr="003A0436">
        <w:tc>
          <w:tcPr>
            <w:tcW w:w="2410" w:type="dxa"/>
            <w:tcBorders>
              <w:bottom w:val="single" w:sz="4" w:space="0" w:color="auto"/>
            </w:tcBorders>
            <w:shd w:val="clear" w:color="auto" w:fill="auto"/>
          </w:tcPr>
          <w:p w14:paraId="612E27EF" w14:textId="42BA4A11" w:rsidR="00A46DBC" w:rsidRPr="0050714D" w:rsidRDefault="00A46DBC" w:rsidP="0050714D">
            <w:pP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Combined total (€)</w:t>
            </w:r>
          </w:p>
        </w:tc>
        <w:tc>
          <w:tcPr>
            <w:tcW w:w="1413" w:type="dxa"/>
            <w:tcBorders>
              <w:bottom w:val="single" w:sz="4" w:space="0" w:color="auto"/>
            </w:tcBorders>
            <w:shd w:val="clear" w:color="auto" w:fill="auto"/>
          </w:tcPr>
          <w:p w14:paraId="42BEF475"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1377</w:t>
            </w:r>
          </w:p>
        </w:tc>
        <w:tc>
          <w:tcPr>
            <w:tcW w:w="1280" w:type="dxa"/>
            <w:tcBorders>
              <w:bottom w:val="single" w:sz="4" w:space="0" w:color="auto"/>
            </w:tcBorders>
            <w:shd w:val="clear" w:color="auto" w:fill="auto"/>
          </w:tcPr>
          <w:p w14:paraId="32B51747"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1405</w:t>
            </w:r>
          </w:p>
        </w:tc>
        <w:tc>
          <w:tcPr>
            <w:tcW w:w="1307" w:type="dxa"/>
            <w:tcBorders>
              <w:bottom w:val="single" w:sz="4" w:space="0" w:color="auto"/>
            </w:tcBorders>
            <w:shd w:val="clear" w:color="auto" w:fill="auto"/>
          </w:tcPr>
          <w:p w14:paraId="684AD269"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1437</w:t>
            </w:r>
          </w:p>
        </w:tc>
        <w:tc>
          <w:tcPr>
            <w:tcW w:w="253" w:type="dxa"/>
            <w:tcBorders>
              <w:bottom w:val="single" w:sz="4" w:space="0" w:color="auto"/>
            </w:tcBorders>
          </w:tcPr>
          <w:p w14:paraId="3912659A" w14:textId="77777777" w:rsidR="00A46DBC" w:rsidRPr="0050714D" w:rsidRDefault="00A46DBC" w:rsidP="0050714D">
            <w:pPr>
              <w:jc w:val="center"/>
              <w:rPr>
                <w:rFonts w:ascii="Times New Roman" w:eastAsia="Times New Roman" w:hAnsi="Times New Roman" w:cs="Times New Roman"/>
                <w:kern w:val="0"/>
                <w:sz w:val="20"/>
                <w:szCs w:val="20"/>
                <w:lang w:eastAsia="en-GB"/>
                <w14:ligatures w14:val="none"/>
              </w:rPr>
            </w:pPr>
          </w:p>
        </w:tc>
        <w:tc>
          <w:tcPr>
            <w:tcW w:w="1134" w:type="dxa"/>
            <w:tcBorders>
              <w:bottom w:val="single" w:sz="4" w:space="0" w:color="auto"/>
            </w:tcBorders>
            <w:shd w:val="clear" w:color="auto" w:fill="auto"/>
          </w:tcPr>
          <w:p w14:paraId="1976FB43" w14:textId="239F8086"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1187</w:t>
            </w:r>
          </w:p>
        </w:tc>
        <w:tc>
          <w:tcPr>
            <w:tcW w:w="1387" w:type="dxa"/>
            <w:tcBorders>
              <w:bottom w:val="single" w:sz="4" w:space="0" w:color="auto"/>
            </w:tcBorders>
          </w:tcPr>
          <w:p w14:paraId="0491E926" w14:textId="77777777" w:rsidR="00A46DBC" w:rsidRPr="0050714D" w:rsidRDefault="00A46DBC" w:rsidP="0050714D">
            <w:pPr>
              <w:jc w:val="center"/>
              <w:rPr>
                <w:rFonts w:ascii="Times New Roman" w:hAnsi="Times New Roman" w:cs="Times New Roman"/>
                <w:b/>
                <w:bCs/>
                <w:sz w:val="20"/>
                <w:szCs w:val="20"/>
                <w:lang w:val="en-US"/>
              </w:rPr>
            </w:pPr>
            <w:r w:rsidRPr="0050714D">
              <w:rPr>
                <w:rFonts w:ascii="Times New Roman" w:eastAsia="Times New Roman" w:hAnsi="Times New Roman" w:cs="Times New Roman"/>
                <w:kern w:val="0"/>
                <w:sz w:val="20"/>
                <w:szCs w:val="20"/>
                <w:lang w:eastAsia="en-GB"/>
                <w14:ligatures w14:val="none"/>
              </w:rPr>
              <w:t>1627</w:t>
            </w:r>
          </w:p>
        </w:tc>
      </w:tr>
    </w:tbl>
    <w:p w14:paraId="6C60E046" w14:textId="77777777" w:rsidR="0050714D" w:rsidRPr="00A14C25" w:rsidRDefault="0050714D" w:rsidP="0050714D">
      <w:pPr>
        <w:jc w:val="both"/>
        <w:rPr>
          <w:rFonts w:ascii="Times New Roman" w:hAnsi="Times New Roman" w:cs="Times New Roman"/>
          <w:sz w:val="18"/>
          <w:szCs w:val="18"/>
          <w:lang w:eastAsia="en-GB"/>
        </w:rPr>
      </w:pPr>
      <w:r>
        <w:rPr>
          <w:rFonts w:ascii="Times New Roman" w:hAnsi="Times New Roman" w:cs="Times New Roman"/>
          <w:sz w:val="18"/>
          <w:szCs w:val="18"/>
          <w:vertAlign w:val="superscript"/>
          <w:lang w:eastAsia="en-GB"/>
        </w:rPr>
        <w:t>1</w:t>
      </w:r>
      <w:r>
        <w:rPr>
          <w:rFonts w:ascii="Times New Roman" w:hAnsi="Times New Roman" w:cs="Times New Roman"/>
          <w:sz w:val="18"/>
          <w:szCs w:val="18"/>
          <w:lang w:eastAsia="en-GB"/>
        </w:rPr>
        <w:t>Beef price varied according to carcass grading (conformation and fat) and seasonality (date of slaughter)</w:t>
      </w:r>
    </w:p>
    <w:p w14:paraId="0F1C845C" w14:textId="0F45BE21" w:rsidR="008E16BF" w:rsidRPr="003A0436" w:rsidRDefault="008E16BF" w:rsidP="003A0436">
      <w:pPr>
        <w:spacing w:after="0" w:line="240" w:lineRule="auto"/>
        <w:jc w:val="both"/>
        <w:rPr>
          <w:rFonts w:ascii="Times New Roman" w:hAnsi="Times New Roman" w:cs="Times New Roman"/>
          <w:sz w:val="20"/>
          <w:szCs w:val="20"/>
          <w:lang w:eastAsia="en-GB"/>
        </w:rPr>
      </w:pPr>
    </w:p>
    <w:p w14:paraId="55D0A415" w14:textId="7356EBA4" w:rsidR="00397B01" w:rsidRDefault="00E4497B" w:rsidP="003A0436">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noProof/>
          <w:sz w:val="20"/>
          <w:szCs w:val="20"/>
          <w:lang w:val="en-IE" w:eastAsia="en-IE"/>
        </w:rPr>
        <w:lastRenderedPageBreak/>
        <w:drawing>
          <wp:inline distT="0" distB="0" distL="0" distR="0" wp14:anchorId="79A88D70" wp14:editId="56643D5B">
            <wp:extent cx="5168241" cy="2543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9109" cy="2548523"/>
                    </a:xfrm>
                    <a:prstGeom prst="rect">
                      <a:avLst/>
                    </a:prstGeom>
                    <a:noFill/>
                  </pic:spPr>
                </pic:pic>
              </a:graphicData>
            </a:graphic>
          </wp:inline>
        </w:drawing>
      </w:r>
    </w:p>
    <w:p w14:paraId="39DC66C6" w14:textId="77777777" w:rsidR="003A0436" w:rsidRPr="003A0436" w:rsidRDefault="003A0436" w:rsidP="003A0436">
      <w:pPr>
        <w:spacing w:after="0" w:line="240" w:lineRule="auto"/>
        <w:jc w:val="center"/>
        <w:rPr>
          <w:rFonts w:ascii="Times New Roman" w:hAnsi="Times New Roman" w:cs="Times New Roman"/>
          <w:b/>
          <w:bCs/>
          <w:sz w:val="20"/>
          <w:szCs w:val="20"/>
          <w:lang w:val="en-US"/>
        </w:rPr>
      </w:pPr>
    </w:p>
    <w:p w14:paraId="46E4B00D" w14:textId="448425B4" w:rsidR="00404158" w:rsidRPr="003A0436" w:rsidRDefault="002A5755" w:rsidP="003A0436">
      <w:pPr>
        <w:spacing w:after="0" w:line="240" w:lineRule="auto"/>
        <w:jc w:val="both"/>
        <w:rPr>
          <w:rFonts w:ascii="Times New Roman" w:hAnsi="Times New Roman" w:cs="Times New Roman"/>
          <w:sz w:val="20"/>
          <w:szCs w:val="20"/>
          <w:lang w:val="en-US"/>
        </w:rPr>
      </w:pPr>
      <w:r w:rsidRPr="003A0436">
        <w:rPr>
          <w:rFonts w:ascii="Times New Roman" w:hAnsi="Times New Roman" w:cs="Times New Roman"/>
          <w:b/>
          <w:bCs/>
          <w:sz w:val="20"/>
          <w:szCs w:val="20"/>
          <w:lang w:val="en-US"/>
        </w:rPr>
        <w:t>Fig</w:t>
      </w:r>
      <w:r w:rsidR="008E16BF" w:rsidRPr="0050714D">
        <w:rPr>
          <w:rFonts w:ascii="Times New Roman" w:hAnsi="Times New Roman" w:cs="Times New Roman"/>
          <w:b/>
          <w:bCs/>
          <w:sz w:val="20"/>
          <w:szCs w:val="20"/>
          <w:lang w:val="en-US"/>
        </w:rPr>
        <w:t>.</w:t>
      </w:r>
      <w:r w:rsidRPr="003A0436">
        <w:rPr>
          <w:rFonts w:ascii="Times New Roman" w:hAnsi="Times New Roman" w:cs="Times New Roman"/>
          <w:b/>
          <w:bCs/>
          <w:sz w:val="20"/>
          <w:szCs w:val="20"/>
          <w:lang w:val="en-US"/>
        </w:rPr>
        <w:t xml:space="preserve"> 1. </w:t>
      </w:r>
      <w:r w:rsidRPr="003A0436">
        <w:rPr>
          <w:rFonts w:ascii="Times New Roman" w:hAnsi="Times New Roman" w:cs="Times New Roman"/>
          <w:sz w:val="20"/>
          <w:szCs w:val="20"/>
          <w:lang w:val="en-US"/>
        </w:rPr>
        <w:t>Emission distribution for carcass and non</w:t>
      </w:r>
      <w:r w:rsidR="008E16BF" w:rsidRPr="0050714D">
        <w:rPr>
          <w:rFonts w:ascii="Times New Roman" w:hAnsi="Times New Roman" w:cs="Times New Roman"/>
          <w:sz w:val="20"/>
          <w:szCs w:val="20"/>
          <w:lang w:val="en-US"/>
        </w:rPr>
        <w:t>-</w:t>
      </w:r>
      <w:r w:rsidRPr="003A0436">
        <w:rPr>
          <w:rFonts w:ascii="Times New Roman" w:hAnsi="Times New Roman" w:cs="Times New Roman"/>
          <w:sz w:val="20"/>
          <w:szCs w:val="20"/>
          <w:lang w:val="en-US"/>
        </w:rPr>
        <w:t xml:space="preserve">carcass components expressed </w:t>
      </w:r>
      <w:r w:rsidR="0050714D">
        <w:rPr>
          <w:rFonts w:ascii="Times New Roman" w:hAnsi="Times New Roman" w:cs="Times New Roman"/>
          <w:sz w:val="20"/>
          <w:szCs w:val="20"/>
          <w:lang w:val="en-US"/>
        </w:rPr>
        <w:t>relative to</w:t>
      </w:r>
      <w:r w:rsidR="00D734C3" w:rsidRPr="003A0436">
        <w:rPr>
          <w:rFonts w:ascii="Times New Roman" w:hAnsi="Times New Roman" w:cs="Times New Roman"/>
          <w:sz w:val="20"/>
          <w:szCs w:val="20"/>
          <w:lang w:val="en-US"/>
        </w:rPr>
        <w:t xml:space="preserve"> total emissions per animal </w:t>
      </w:r>
    </w:p>
    <w:p w14:paraId="4408A62E" w14:textId="77777777" w:rsidR="00D734C3" w:rsidRPr="003A0436" w:rsidRDefault="00D734C3" w:rsidP="003A0436">
      <w:pPr>
        <w:spacing w:after="0" w:line="240" w:lineRule="auto"/>
        <w:rPr>
          <w:rFonts w:ascii="Times New Roman" w:hAnsi="Times New Roman" w:cs="Times New Roman"/>
          <w:b/>
          <w:bCs/>
          <w:sz w:val="20"/>
          <w:szCs w:val="20"/>
          <w:lang w:val="en-US"/>
        </w:rPr>
      </w:pPr>
    </w:p>
    <w:p w14:paraId="68E461EC" w14:textId="1CA743A2" w:rsidR="007B30E3" w:rsidRPr="003A0436" w:rsidRDefault="007B30E3" w:rsidP="003A0436">
      <w:pPr>
        <w:spacing w:after="0" w:line="240" w:lineRule="auto"/>
        <w:rPr>
          <w:rFonts w:ascii="Times New Roman" w:hAnsi="Times New Roman" w:cs="Times New Roman"/>
          <w:b/>
          <w:bCs/>
          <w:sz w:val="20"/>
          <w:szCs w:val="20"/>
          <w:lang w:val="en-US"/>
        </w:rPr>
      </w:pPr>
      <w:r w:rsidRPr="003A0436">
        <w:rPr>
          <w:rFonts w:ascii="Times New Roman" w:hAnsi="Times New Roman" w:cs="Times New Roman"/>
          <w:b/>
          <w:bCs/>
          <w:sz w:val="20"/>
          <w:szCs w:val="20"/>
          <w:lang w:val="en-US"/>
        </w:rPr>
        <w:t>Conclusion</w:t>
      </w:r>
    </w:p>
    <w:p w14:paraId="7D7B8D7B" w14:textId="21DC00FF" w:rsidR="00397B01" w:rsidRPr="003A0436" w:rsidRDefault="00A81B5D" w:rsidP="003A0436">
      <w:pPr>
        <w:spacing w:after="0" w:line="240" w:lineRule="auto"/>
        <w:jc w:val="both"/>
        <w:rPr>
          <w:rFonts w:ascii="Times New Roman" w:hAnsi="Times New Roman" w:cs="Times New Roman"/>
          <w:sz w:val="20"/>
          <w:szCs w:val="20"/>
          <w:lang w:eastAsia="en-IE"/>
        </w:rPr>
      </w:pPr>
      <w:r w:rsidRPr="003A0436">
        <w:rPr>
          <w:rFonts w:ascii="Times New Roman" w:hAnsi="Times New Roman" w:cs="Times New Roman"/>
          <w:sz w:val="20"/>
          <w:szCs w:val="20"/>
        </w:rPr>
        <w:t>In the current study</w:t>
      </w:r>
      <w:r w:rsidR="002B0FC0" w:rsidRPr="003A0436">
        <w:rPr>
          <w:rFonts w:ascii="Times New Roman" w:hAnsi="Times New Roman" w:cs="Times New Roman"/>
          <w:sz w:val="20"/>
          <w:szCs w:val="20"/>
        </w:rPr>
        <w:t>,</w:t>
      </w:r>
      <w:r w:rsidRPr="003A0436">
        <w:rPr>
          <w:rFonts w:ascii="Times New Roman" w:hAnsi="Times New Roman" w:cs="Times New Roman"/>
          <w:sz w:val="20"/>
          <w:szCs w:val="20"/>
        </w:rPr>
        <w:t xml:space="preserve"> the economic allocation </w:t>
      </w:r>
      <w:r w:rsidR="00E4497B">
        <w:rPr>
          <w:rFonts w:ascii="Times New Roman" w:hAnsi="Times New Roman" w:cs="Times New Roman"/>
          <w:sz w:val="20"/>
          <w:szCs w:val="20"/>
        </w:rPr>
        <w:t>distributed</w:t>
      </w:r>
      <w:r w:rsidRPr="003A0436">
        <w:rPr>
          <w:rFonts w:ascii="Times New Roman" w:hAnsi="Times New Roman" w:cs="Times New Roman"/>
          <w:sz w:val="20"/>
          <w:szCs w:val="20"/>
        </w:rPr>
        <w:t xml:space="preserve"> emissions on a mean 85:15 ratio across the six </w:t>
      </w:r>
      <w:r w:rsidR="007F5C72">
        <w:rPr>
          <w:rFonts w:ascii="Times New Roman" w:hAnsi="Times New Roman" w:cs="Times New Roman"/>
          <w:sz w:val="20"/>
          <w:szCs w:val="20"/>
        </w:rPr>
        <w:t xml:space="preserve">individual </w:t>
      </w:r>
      <w:r w:rsidRPr="003A0436">
        <w:rPr>
          <w:rFonts w:ascii="Times New Roman" w:hAnsi="Times New Roman" w:cs="Times New Roman"/>
          <w:sz w:val="20"/>
          <w:szCs w:val="20"/>
        </w:rPr>
        <w:t xml:space="preserve">treatment groups. </w:t>
      </w:r>
      <w:r w:rsidR="00303DDC" w:rsidRPr="003A0436">
        <w:rPr>
          <w:rFonts w:ascii="Times New Roman" w:hAnsi="Times New Roman" w:cs="Times New Roman"/>
          <w:sz w:val="20"/>
          <w:szCs w:val="20"/>
        </w:rPr>
        <w:t>Th</w:t>
      </w:r>
      <w:r w:rsidR="004F29BC">
        <w:rPr>
          <w:rFonts w:ascii="Times New Roman" w:hAnsi="Times New Roman" w:cs="Times New Roman"/>
          <w:sz w:val="20"/>
          <w:szCs w:val="20"/>
        </w:rPr>
        <w:t xml:space="preserve">e non-carcass component </w:t>
      </w:r>
      <w:r w:rsidR="001E1245" w:rsidRPr="003A0436">
        <w:rPr>
          <w:rFonts w:ascii="Times New Roman" w:hAnsi="Times New Roman" w:cs="Times New Roman"/>
          <w:sz w:val="20"/>
          <w:szCs w:val="20"/>
        </w:rPr>
        <w:t xml:space="preserve">is </w:t>
      </w:r>
      <w:r w:rsidR="00303DDC" w:rsidRPr="003A0436">
        <w:rPr>
          <w:rFonts w:ascii="Times New Roman" w:hAnsi="Times New Roman" w:cs="Times New Roman"/>
          <w:sz w:val="20"/>
          <w:szCs w:val="20"/>
        </w:rPr>
        <w:t xml:space="preserve">a substantial share of the total animal emissions. </w:t>
      </w:r>
      <w:r w:rsidRPr="003A0436">
        <w:rPr>
          <w:rFonts w:ascii="Times New Roman" w:hAnsi="Times New Roman" w:cs="Times New Roman"/>
          <w:sz w:val="20"/>
          <w:szCs w:val="20"/>
        </w:rPr>
        <w:t xml:space="preserve"> </w:t>
      </w:r>
      <w:r w:rsidR="00B35E09" w:rsidRPr="003A0436">
        <w:rPr>
          <w:rFonts w:ascii="Times New Roman" w:hAnsi="Times New Roman" w:cs="Times New Roman"/>
          <w:sz w:val="20"/>
          <w:szCs w:val="20"/>
        </w:rPr>
        <w:t xml:space="preserve">To enhance </w:t>
      </w:r>
      <w:r w:rsidR="0074447A" w:rsidRPr="003A0436">
        <w:rPr>
          <w:rFonts w:ascii="Times New Roman" w:hAnsi="Times New Roman" w:cs="Times New Roman"/>
          <w:sz w:val="20"/>
          <w:szCs w:val="20"/>
        </w:rPr>
        <w:t xml:space="preserve">beef sustainability in a bio-circular economy, policymakers should </w:t>
      </w:r>
      <w:r w:rsidR="00F17E19" w:rsidRPr="003A0436">
        <w:rPr>
          <w:rFonts w:ascii="Times New Roman" w:hAnsi="Times New Roman" w:cs="Times New Roman"/>
          <w:sz w:val="20"/>
          <w:szCs w:val="20"/>
        </w:rPr>
        <w:t>consider</w:t>
      </w:r>
      <w:r w:rsidR="0074447A" w:rsidRPr="003A0436">
        <w:rPr>
          <w:rFonts w:ascii="Times New Roman" w:hAnsi="Times New Roman" w:cs="Times New Roman"/>
          <w:sz w:val="20"/>
          <w:szCs w:val="20"/>
        </w:rPr>
        <w:t xml:space="preserve"> the novel practice of allocating emissions to co-products</w:t>
      </w:r>
      <w:r w:rsidR="00F17E19" w:rsidRPr="003A0436">
        <w:rPr>
          <w:rFonts w:ascii="Times New Roman" w:hAnsi="Times New Roman" w:cs="Times New Roman"/>
          <w:sz w:val="20"/>
          <w:szCs w:val="20"/>
        </w:rPr>
        <w:t xml:space="preserve"> as no</w:t>
      </w:r>
      <w:r w:rsidR="00B7367A" w:rsidRPr="003A0436">
        <w:rPr>
          <w:rFonts w:ascii="Times New Roman" w:hAnsi="Times New Roman" w:cs="Times New Roman"/>
          <w:sz w:val="20"/>
          <w:szCs w:val="20"/>
        </w:rPr>
        <w:t>n-carcass</w:t>
      </w:r>
      <w:r w:rsidR="00F17E19" w:rsidRPr="003A0436">
        <w:rPr>
          <w:rFonts w:ascii="Times New Roman" w:hAnsi="Times New Roman" w:cs="Times New Roman"/>
          <w:sz w:val="20"/>
          <w:szCs w:val="20"/>
        </w:rPr>
        <w:t xml:space="preserve"> co-</w:t>
      </w:r>
      <w:r w:rsidR="00B7367A" w:rsidRPr="003A0436">
        <w:rPr>
          <w:rFonts w:ascii="Times New Roman" w:hAnsi="Times New Roman" w:cs="Times New Roman"/>
          <w:sz w:val="20"/>
          <w:szCs w:val="20"/>
        </w:rPr>
        <w:t>p</w:t>
      </w:r>
      <w:r w:rsidR="00F17E19" w:rsidRPr="003A0436">
        <w:rPr>
          <w:rFonts w:ascii="Times New Roman" w:hAnsi="Times New Roman" w:cs="Times New Roman"/>
          <w:sz w:val="20"/>
          <w:szCs w:val="20"/>
        </w:rPr>
        <w:t xml:space="preserve">roducts </w:t>
      </w:r>
      <w:r w:rsidR="00FE1ACB" w:rsidRPr="003A0436">
        <w:rPr>
          <w:rFonts w:ascii="Times New Roman" w:hAnsi="Times New Roman" w:cs="Times New Roman"/>
          <w:sz w:val="20"/>
          <w:szCs w:val="20"/>
        </w:rPr>
        <w:t>have avoided this process</w:t>
      </w:r>
      <w:r w:rsidR="007F5C72">
        <w:rPr>
          <w:rFonts w:ascii="Times New Roman" w:hAnsi="Times New Roman" w:cs="Times New Roman"/>
          <w:sz w:val="20"/>
          <w:szCs w:val="20"/>
        </w:rPr>
        <w:t xml:space="preserve">. </w:t>
      </w:r>
      <w:r w:rsidR="007C2E2D">
        <w:rPr>
          <w:rFonts w:ascii="Times New Roman" w:hAnsi="Times New Roman" w:cs="Times New Roman"/>
          <w:sz w:val="20"/>
          <w:szCs w:val="20"/>
        </w:rPr>
        <w:t>D</w:t>
      </w:r>
      <w:r w:rsidR="00303DDC" w:rsidRPr="003A0436">
        <w:rPr>
          <w:rFonts w:ascii="Times New Roman" w:hAnsi="Times New Roman" w:cs="Times New Roman"/>
          <w:sz w:val="20"/>
          <w:szCs w:val="20"/>
        </w:rPr>
        <w:t xml:space="preserve">oing so </w:t>
      </w:r>
      <w:r w:rsidR="00F17E19" w:rsidRPr="003A0436">
        <w:rPr>
          <w:rFonts w:ascii="Times New Roman" w:hAnsi="Times New Roman" w:cs="Times New Roman"/>
          <w:sz w:val="20"/>
          <w:szCs w:val="20"/>
        </w:rPr>
        <w:t>would offer a much fairer distribution pattern</w:t>
      </w:r>
      <w:r w:rsidR="00B7367A" w:rsidRPr="003A0436">
        <w:rPr>
          <w:rFonts w:ascii="Times New Roman" w:hAnsi="Times New Roman" w:cs="Times New Roman"/>
          <w:sz w:val="20"/>
          <w:szCs w:val="20"/>
        </w:rPr>
        <w:t>.</w:t>
      </w:r>
      <w:r w:rsidR="00F17E19" w:rsidRPr="003A0436">
        <w:rPr>
          <w:rFonts w:ascii="Times New Roman" w:hAnsi="Times New Roman" w:cs="Times New Roman"/>
          <w:sz w:val="20"/>
          <w:szCs w:val="20"/>
        </w:rPr>
        <w:t xml:space="preserve"> </w:t>
      </w:r>
    </w:p>
    <w:p w14:paraId="14D495DA" w14:textId="77777777" w:rsidR="00F17E19" w:rsidRPr="003A0436" w:rsidRDefault="00F17E19" w:rsidP="003A0436">
      <w:pPr>
        <w:spacing w:after="0" w:line="240" w:lineRule="auto"/>
        <w:rPr>
          <w:rFonts w:ascii="Times New Roman" w:hAnsi="Times New Roman" w:cs="Times New Roman"/>
          <w:b/>
          <w:bCs/>
          <w:sz w:val="20"/>
          <w:szCs w:val="20"/>
        </w:rPr>
      </w:pPr>
    </w:p>
    <w:p w14:paraId="0ADB320F" w14:textId="735B68E9" w:rsidR="007B30E3" w:rsidRPr="003A0436" w:rsidRDefault="007B30E3" w:rsidP="003A0436">
      <w:pPr>
        <w:spacing w:after="0" w:line="240" w:lineRule="auto"/>
        <w:rPr>
          <w:rFonts w:ascii="Times New Roman" w:hAnsi="Times New Roman" w:cs="Times New Roman"/>
          <w:b/>
          <w:bCs/>
          <w:sz w:val="20"/>
          <w:szCs w:val="20"/>
          <w:lang w:val="en-US"/>
        </w:rPr>
      </w:pPr>
      <w:r w:rsidRPr="003A0436">
        <w:rPr>
          <w:rFonts w:ascii="Times New Roman" w:hAnsi="Times New Roman" w:cs="Times New Roman"/>
          <w:b/>
          <w:bCs/>
          <w:sz w:val="20"/>
          <w:szCs w:val="20"/>
          <w:lang w:val="en-US"/>
        </w:rPr>
        <w:t>References</w:t>
      </w:r>
    </w:p>
    <w:p w14:paraId="03AA384C" w14:textId="1572BA57" w:rsidR="000178D3" w:rsidRPr="003A0436" w:rsidRDefault="000178D3" w:rsidP="003A0436">
      <w:pPr>
        <w:pStyle w:val="Bibliography"/>
        <w:spacing w:after="0"/>
        <w:rPr>
          <w:rFonts w:ascii="Times New Roman" w:hAnsi="Times New Roman" w:cs="Times New Roman"/>
          <w:sz w:val="20"/>
          <w:szCs w:val="20"/>
        </w:rPr>
      </w:pPr>
      <w:r w:rsidRPr="003A0436">
        <w:rPr>
          <w:rFonts w:ascii="Times New Roman" w:hAnsi="Times New Roman" w:cs="Times New Roman"/>
          <w:sz w:val="20"/>
          <w:szCs w:val="20"/>
        </w:rPr>
        <w:t>Campion, B., Keane, M.G., Kenny, D.A., Berry, D.P.</w:t>
      </w:r>
      <w:r w:rsidR="008E16BF" w:rsidRPr="0050714D">
        <w:rPr>
          <w:rFonts w:ascii="Times New Roman" w:hAnsi="Times New Roman" w:cs="Times New Roman"/>
          <w:sz w:val="20"/>
          <w:szCs w:val="20"/>
        </w:rPr>
        <w:t>,</w:t>
      </w:r>
      <w:r w:rsidRPr="003A0436">
        <w:rPr>
          <w:rFonts w:ascii="Times New Roman" w:hAnsi="Times New Roman" w:cs="Times New Roman"/>
          <w:sz w:val="20"/>
          <w:szCs w:val="20"/>
        </w:rPr>
        <w:t xml:space="preserve"> 2009</w:t>
      </w:r>
      <w:r w:rsidR="008E16BF" w:rsidRPr="0050714D">
        <w:rPr>
          <w:rFonts w:ascii="Times New Roman" w:hAnsi="Times New Roman" w:cs="Times New Roman"/>
          <w:sz w:val="20"/>
          <w:szCs w:val="20"/>
        </w:rPr>
        <w:t>.</w:t>
      </w:r>
      <w:r w:rsidRPr="003A0436">
        <w:rPr>
          <w:rFonts w:ascii="Times New Roman" w:hAnsi="Times New Roman" w:cs="Times New Roman"/>
          <w:sz w:val="20"/>
          <w:szCs w:val="20"/>
        </w:rPr>
        <w:t xml:space="preserve"> </w:t>
      </w:r>
      <w:proofErr w:type="spellStart"/>
      <w:r w:rsidRPr="003A0436">
        <w:rPr>
          <w:rFonts w:ascii="Times New Roman" w:hAnsi="Times New Roman" w:cs="Times New Roman"/>
          <w:sz w:val="20"/>
          <w:szCs w:val="20"/>
        </w:rPr>
        <w:t>Livest</w:t>
      </w:r>
      <w:proofErr w:type="spellEnd"/>
      <w:r w:rsidR="008E16BF" w:rsidRPr="0050714D">
        <w:rPr>
          <w:rFonts w:ascii="Times New Roman" w:hAnsi="Times New Roman" w:cs="Times New Roman"/>
          <w:sz w:val="20"/>
          <w:szCs w:val="20"/>
        </w:rPr>
        <w:t>.</w:t>
      </w:r>
      <w:r w:rsidRPr="003A0436">
        <w:rPr>
          <w:rFonts w:ascii="Times New Roman" w:hAnsi="Times New Roman" w:cs="Times New Roman"/>
          <w:sz w:val="20"/>
          <w:szCs w:val="20"/>
        </w:rPr>
        <w:t xml:space="preserve"> Sci</w:t>
      </w:r>
      <w:r w:rsidR="008E16BF" w:rsidRPr="0050714D">
        <w:rPr>
          <w:rFonts w:ascii="Times New Roman" w:hAnsi="Times New Roman" w:cs="Times New Roman"/>
          <w:sz w:val="20"/>
          <w:szCs w:val="20"/>
        </w:rPr>
        <w:t>.</w:t>
      </w:r>
      <w:r w:rsidRPr="003A0436">
        <w:rPr>
          <w:rFonts w:ascii="Times New Roman" w:hAnsi="Times New Roman" w:cs="Times New Roman"/>
          <w:sz w:val="20"/>
          <w:szCs w:val="20"/>
        </w:rPr>
        <w:t xml:space="preserve"> 126, 87–99.</w:t>
      </w:r>
    </w:p>
    <w:p w14:paraId="47996DB5" w14:textId="432A1143" w:rsidR="00C37DA9" w:rsidRDefault="00C37DA9" w:rsidP="003A0436">
      <w:pPr>
        <w:pStyle w:val="Bibliography"/>
        <w:spacing w:after="0"/>
        <w:rPr>
          <w:rFonts w:ascii="Times New Roman" w:hAnsi="Times New Roman" w:cs="Times New Roman"/>
          <w:sz w:val="20"/>
          <w:szCs w:val="20"/>
        </w:rPr>
      </w:pPr>
      <w:r w:rsidRPr="00C37DA9">
        <w:rPr>
          <w:rFonts w:ascii="Times New Roman" w:hAnsi="Times New Roman" w:cs="Times New Roman"/>
          <w:sz w:val="20"/>
          <w:szCs w:val="20"/>
        </w:rPr>
        <w:t xml:space="preserve">Dominguez Aldama, D., </w:t>
      </w:r>
      <w:proofErr w:type="spellStart"/>
      <w:r w:rsidRPr="00C37DA9">
        <w:rPr>
          <w:rFonts w:ascii="Times New Roman" w:hAnsi="Times New Roman" w:cs="Times New Roman"/>
          <w:sz w:val="20"/>
          <w:szCs w:val="20"/>
        </w:rPr>
        <w:t>Grassauer</w:t>
      </w:r>
      <w:proofErr w:type="spellEnd"/>
      <w:r w:rsidRPr="00C37DA9">
        <w:rPr>
          <w:rFonts w:ascii="Times New Roman" w:hAnsi="Times New Roman" w:cs="Times New Roman"/>
          <w:sz w:val="20"/>
          <w:szCs w:val="20"/>
        </w:rPr>
        <w:t xml:space="preserve">, F., Zhu, Y., </w:t>
      </w:r>
      <w:proofErr w:type="spellStart"/>
      <w:r w:rsidRPr="00C37DA9">
        <w:rPr>
          <w:rFonts w:ascii="Times New Roman" w:hAnsi="Times New Roman" w:cs="Times New Roman"/>
          <w:sz w:val="20"/>
          <w:szCs w:val="20"/>
        </w:rPr>
        <w:t>Ardestani</w:t>
      </w:r>
      <w:proofErr w:type="spellEnd"/>
      <w:r w:rsidRPr="00C37DA9">
        <w:rPr>
          <w:rFonts w:ascii="Times New Roman" w:hAnsi="Times New Roman" w:cs="Times New Roman"/>
          <w:sz w:val="20"/>
          <w:szCs w:val="20"/>
        </w:rPr>
        <w:t>-Jaafari, A., Pelletier, N.</w:t>
      </w:r>
      <w:r>
        <w:rPr>
          <w:rFonts w:ascii="Times New Roman" w:hAnsi="Times New Roman" w:cs="Times New Roman"/>
          <w:sz w:val="20"/>
          <w:szCs w:val="20"/>
        </w:rPr>
        <w:t>,</w:t>
      </w:r>
      <w:r w:rsidRPr="00C37DA9">
        <w:rPr>
          <w:rFonts w:ascii="Times New Roman" w:hAnsi="Times New Roman" w:cs="Times New Roman"/>
          <w:sz w:val="20"/>
          <w:szCs w:val="20"/>
        </w:rPr>
        <w:t xml:space="preserve"> 2023</w:t>
      </w:r>
      <w:r>
        <w:rPr>
          <w:rFonts w:ascii="Times New Roman" w:hAnsi="Times New Roman" w:cs="Times New Roman"/>
          <w:sz w:val="20"/>
          <w:szCs w:val="20"/>
        </w:rPr>
        <w:t>.</w:t>
      </w:r>
      <w:r w:rsidRPr="00C37DA9">
        <w:rPr>
          <w:rFonts w:ascii="Times New Roman" w:hAnsi="Times New Roman" w:cs="Times New Roman"/>
          <w:sz w:val="20"/>
          <w:szCs w:val="20"/>
        </w:rPr>
        <w:t xml:space="preserve"> J</w:t>
      </w:r>
      <w:r>
        <w:rPr>
          <w:rFonts w:ascii="Times New Roman" w:hAnsi="Times New Roman" w:cs="Times New Roman"/>
          <w:sz w:val="20"/>
          <w:szCs w:val="20"/>
        </w:rPr>
        <w:t>.</w:t>
      </w:r>
      <w:r w:rsidRPr="00C37DA9">
        <w:rPr>
          <w:rFonts w:ascii="Times New Roman" w:hAnsi="Times New Roman" w:cs="Times New Roman"/>
          <w:sz w:val="20"/>
          <w:szCs w:val="20"/>
        </w:rPr>
        <w:t xml:space="preserve"> Cleaner Prod</w:t>
      </w:r>
      <w:r>
        <w:rPr>
          <w:rFonts w:ascii="Times New Roman" w:hAnsi="Times New Roman" w:cs="Times New Roman"/>
          <w:sz w:val="20"/>
          <w:szCs w:val="20"/>
        </w:rPr>
        <w:t>.</w:t>
      </w:r>
      <w:r w:rsidRPr="00C37DA9">
        <w:rPr>
          <w:rFonts w:ascii="Times New Roman" w:hAnsi="Times New Roman" w:cs="Times New Roman"/>
          <w:sz w:val="20"/>
          <w:szCs w:val="20"/>
        </w:rPr>
        <w:t>, 421, 138488</w:t>
      </w:r>
    </w:p>
    <w:p w14:paraId="1B02FD0D" w14:textId="15061401" w:rsidR="000178D3" w:rsidRPr="003A0436" w:rsidRDefault="000178D3" w:rsidP="003A0436">
      <w:pPr>
        <w:pStyle w:val="Bibliography"/>
        <w:spacing w:after="0"/>
        <w:rPr>
          <w:rFonts w:ascii="Times New Roman" w:hAnsi="Times New Roman" w:cs="Times New Roman"/>
          <w:sz w:val="20"/>
          <w:szCs w:val="20"/>
        </w:rPr>
      </w:pPr>
      <w:r w:rsidRPr="003A0436">
        <w:rPr>
          <w:rFonts w:ascii="Times New Roman" w:hAnsi="Times New Roman" w:cs="Times New Roman"/>
          <w:sz w:val="20"/>
          <w:szCs w:val="20"/>
        </w:rPr>
        <w:t>ISO 2006</w:t>
      </w:r>
      <w:r w:rsidR="008E16BF" w:rsidRPr="0050714D">
        <w:rPr>
          <w:rFonts w:ascii="Times New Roman" w:hAnsi="Times New Roman" w:cs="Times New Roman"/>
          <w:sz w:val="20"/>
          <w:szCs w:val="20"/>
        </w:rPr>
        <w:t>.</w:t>
      </w:r>
      <w:r w:rsidRPr="003A0436">
        <w:rPr>
          <w:rFonts w:ascii="Times New Roman" w:hAnsi="Times New Roman" w:cs="Times New Roman"/>
          <w:sz w:val="20"/>
          <w:szCs w:val="20"/>
        </w:rPr>
        <w:t xml:space="preserve"> </w:t>
      </w:r>
      <w:r w:rsidRPr="003A0436">
        <w:rPr>
          <w:rFonts w:ascii="Times New Roman" w:hAnsi="Times New Roman" w:cs="Times New Roman"/>
          <w:iCs/>
          <w:sz w:val="20"/>
          <w:szCs w:val="20"/>
        </w:rPr>
        <w:t>ISO 14040:2006</w:t>
      </w:r>
      <w:r w:rsidRPr="003A0436">
        <w:rPr>
          <w:rFonts w:ascii="Times New Roman" w:hAnsi="Times New Roman" w:cs="Times New Roman"/>
          <w:sz w:val="20"/>
          <w:szCs w:val="20"/>
        </w:rPr>
        <w:t xml:space="preserve">, </w:t>
      </w:r>
      <w:r w:rsidRPr="003A0436">
        <w:rPr>
          <w:rFonts w:ascii="Times New Roman" w:hAnsi="Times New Roman" w:cs="Times New Roman"/>
          <w:iCs/>
          <w:sz w:val="20"/>
          <w:szCs w:val="20"/>
        </w:rPr>
        <w:t>ISO</w:t>
      </w:r>
      <w:r w:rsidRPr="003A0436">
        <w:rPr>
          <w:rFonts w:ascii="Times New Roman" w:hAnsi="Times New Roman" w:cs="Times New Roman"/>
          <w:sz w:val="20"/>
          <w:szCs w:val="20"/>
        </w:rPr>
        <w:t>. Available at: https://www.iso.org/standard/37456.html (Accessed: 19 January 2024).</w:t>
      </w:r>
    </w:p>
    <w:p w14:paraId="700CBCCF" w14:textId="2ACBBEE1" w:rsidR="000178D3" w:rsidRPr="003A0436" w:rsidRDefault="000178D3" w:rsidP="003A0436">
      <w:pPr>
        <w:pStyle w:val="Bibliography"/>
        <w:spacing w:after="0"/>
        <w:rPr>
          <w:rFonts w:ascii="Times New Roman" w:hAnsi="Times New Roman" w:cs="Times New Roman"/>
          <w:sz w:val="20"/>
          <w:szCs w:val="20"/>
        </w:rPr>
      </w:pPr>
      <w:r w:rsidRPr="003A0436">
        <w:rPr>
          <w:rFonts w:ascii="Times New Roman" w:hAnsi="Times New Roman" w:cs="Times New Roman"/>
          <w:sz w:val="20"/>
          <w:szCs w:val="20"/>
        </w:rPr>
        <w:t>Kearney, M., O’Riordan, E.G., McGee, M., Breen, J., Crosson, P.</w:t>
      </w:r>
      <w:r w:rsidR="008E16BF" w:rsidRPr="0050714D">
        <w:rPr>
          <w:rFonts w:ascii="Times New Roman" w:hAnsi="Times New Roman" w:cs="Times New Roman"/>
          <w:sz w:val="20"/>
          <w:szCs w:val="20"/>
        </w:rPr>
        <w:t xml:space="preserve">, </w:t>
      </w:r>
      <w:r w:rsidRPr="003A0436">
        <w:rPr>
          <w:rFonts w:ascii="Times New Roman" w:hAnsi="Times New Roman" w:cs="Times New Roman"/>
          <w:sz w:val="20"/>
          <w:szCs w:val="20"/>
        </w:rPr>
        <w:t>2022</w:t>
      </w:r>
      <w:r w:rsidR="008E16BF" w:rsidRPr="0050714D">
        <w:rPr>
          <w:rFonts w:ascii="Times New Roman" w:hAnsi="Times New Roman" w:cs="Times New Roman"/>
          <w:sz w:val="20"/>
          <w:szCs w:val="20"/>
        </w:rPr>
        <w:t>.</w:t>
      </w:r>
      <w:r w:rsidRPr="003A0436">
        <w:rPr>
          <w:rFonts w:ascii="Times New Roman" w:hAnsi="Times New Roman" w:cs="Times New Roman"/>
          <w:sz w:val="20"/>
          <w:szCs w:val="20"/>
        </w:rPr>
        <w:t xml:space="preserve"> Agric</w:t>
      </w:r>
      <w:r w:rsidR="008E16BF" w:rsidRPr="0050714D">
        <w:rPr>
          <w:rFonts w:ascii="Times New Roman" w:hAnsi="Times New Roman" w:cs="Times New Roman"/>
          <w:sz w:val="20"/>
          <w:szCs w:val="20"/>
        </w:rPr>
        <w:t>.</w:t>
      </w:r>
      <w:r w:rsidRPr="003A0436">
        <w:rPr>
          <w:rFonts w:ascii="Times New Roman" w:hAnsi="Times New Roman" w:cs="Times New Roman"/>
          <w:sz w:val="20"/>
          <w:szCs w:val="20"/>
        </w:rPr>
        <w:t xml:space="preserve"> Systems 203, 103530.</w:t>
      </w:r>
    </w:p>
    <w:p w14:paraId="552625EB" w14:textId="28930832" w:rsidR="000178D3" w:rsidRPr="003A0436" w:rsidRDefault="000178D3" w:rsidP="003A0436">
      <w:pPr>
        <w:pStyle w:val="Bibliography"/>
        <w:spacing w:after="0"/>
        <w:rPr>
          <w:rFonts w:ascii="Times New Roman" w:hAnsi="Times New Roman" w:cs="Times New Roman"/>
          <w:sz w:val="20"/>
          <w:szCs w:val="20"/>
        </w:rPr>
      </w:pPr>
      <w:r w:rsidRPr="003A0436">
        <w:rPr>
          <w:rFonts w:ascii="Times New Roman" w:hAnsi="Times New Roman" w:cs="Times New Roman"/>
          <w:sz w:val="20"/>
          <w:szCs w:val="20"/>
        </w:rPr>
        <w:t>McGee, M., Keane, M., Neilan, R., Moloney, A., Caffrey, P.</w:t>
      </w:r>
      <w:r w:rsidR="008E16BF" w:rsidRPr="0050714D">
        <w:rPr>
          <w:rFonts w:ascii="Times New Roman" w:hAnsi="Times New Roman" w:cs="Times New Roman"/>
          <w:sz w:val="20"/>
          <w:szCs w:val="20"/>
        </w:rPr>
        <w:t>,</w:t>
      </w:r>
      <w:r w:rsidRPr="003A0436">
        <w:rPr>
          <w:rFonts w:ascii="Times New Roman" w:hAnsi="Times New Roman" w:cs="Times New Roman"/>
          <w:sz w:val="20"/>
          <w:szCs w:val="20"/>
        </w:rPr>
        <w:t xml:space="preserve"> 2008</w:t>
      </w:r>
      <w:r w:rsidR="008E16BF" w:rsidRPr="0050714D">
        <w:rPr>
          <w:rFonts w:ascii="Times New Roman" w:hAnsi="Times New Roman" w:cs="Times New Roman"/>
          <w:sz w:val="20"/>
          <w:szCs w:val="20"/>
        </w:rPr>
        <w:t>.</w:t>
      </w:r>
      <w:r w:rsidRPr="003A0436">
        <w:rPr>
          <w:rFonts w:ascii="Times New Roman" w:hAnsi="Times New Roman" w:cs="Times New Roman"/>
          <w:sz w:val="20"/>
          <w:szCs w:val="20"/>
        </w:rPr>
        <w:t xml:space="preserve"> Irish J</w:t>
      </w:r>
      <w:r w:rsidR="008E16BF" w:rsidRPr="0050714D">
        <w:rPr>
          <w:rFonts w:ascii="Times New Roman" w:hAnsi="Times New Roman" w:cs="Times New Roman"/>
          <w:sz w:val="20"/>
          <w:szCs w:val="20"/>
        </w:rPr>
        <w:t xml:space="preserve">. </w:t>
      </w:r>
      <w:r w:rsidRPr="003A0436">
        <w:rPr>
          <w:rFonts w:ascii="Times New Roman" w:hAnsi="Times New Roman" w:cs="Times New Roman"/>
          <w:sz w:val="20"/>
          <w:szCs w:val="20"/>
        </w:rPr>
        <w:t>Agric</w:t>
      </w:r>
      <w:r w:rsidR="008E16BF" w:rsidRPr="0050714D">
        <w:rPr>
          <w:rFonts w:ascii="Times New Roman" w:hAnsi="Times New Roman" w:cs="Times New Roman"/>
          <w:sz w:val="20"/>
          <w:szCs w:val="20"/>
        </w:rPr>
        <w:t xml:space="preserve">. </w:t>
      </w:r>
      <w:r w:rsidRPr="003A0436">
        <w:rPr>
          <w:rFonts w:ascii="Times New Roman" w:hAnsi="Times New Roman" w:cs="Times New Roman"/>
          <w:sz w:val="20"/>
          <w:szCs w:val="20"/>
        </w:rPr>
        <w:t>Food Res</w:t>
      </w:r>
      <w:r w:rsidR="008E16BF" w:rsidRPr="0050714D">
        <w:rPr>
          <w:rFonts w:ascii="Times New Roman" w:hAnsi="Times New Roman" w:cs="Times New Roman"/>
          <w:sz w:val="20"/>
          <w:szCs w:val="20"/>
        </w:rPr>
        <w:t>.</w:t>
      </w:r>
      <w:r w:rsidRPr="003A0436">
        <w:rPr>
          <w:rFonts w:ascii="Times New Roman" w:hAnsi="Times New Roman" w:cs="Times New Roman"/>
          <w:sz w:val="20"/>
          <w:szCs w:val="20"/>
        </w:rPr>
        <w:t xml:space="preserve"> 47</w:t>
      </w:r>
      <w:r w:rsidR="008E16BF" w:rsidRPr="0050714D">
        <w:rPr>
          <w:rFonts w:ascii="Times New Roman" w:hAnsi="Times New Roman" w:cs="Times New Roman"/>
          <w:sz w:val="20"/>
          <w:szCs w:val="20"/>
        </w:rPr>
        <w:t>, 41-51</w:t>
      </w:r>
      <w:r w:rsidRPr="003A0436">
        <w:rPr>
          <w:rFonts w:ascii="Times New Roman" w:hAnsi="Times New Roman" w:cs="Times New Roman"/>
          <w:sz w:val="20"/>
          <w:szCs w:val="20"/>
        </w:rPr>
        <w:t>.</w:t>
      </w:r>
    </w:p>
    <w:p w14:paraId="3CFC9A55" w14:textId="22064310" w:rsidR="00C37DA9" w:rsidRDefault="00C37DA9" w:rsidP="003A0436">
      <w:pPr>
        <w:pStyle w:val="Bibliography"/>
        <w:spacing w:after="0"/>
        <w:rPr>
          <w:rFonts w:ascii="Times New Roman" w:hAnsi="Times New Roman" w:cs="Times New Roman"/>
          <w:sz w:val="20"/>
          <w:szCs w:val="20"/>
        </w:rPr>
      </w:pPr>
      <w:proofErr w:type="spellStart"/>
      <w:r w:rsidRPr="00C37DA9">
        <w:rPr>
          <w:rFonts w:ascii="Times New Roman" w:hAnsi="Times New Roman" w:cs="Times New Roman"/>
          <w:sz w:val="20"/>
          <w:szCs w:val="20"/>
        </w:rPr>
        <w:t>Soladoye</w:t>
      </w:r>
      <w:proofErr w:type="spellEnd"/>
      <w:r w:rsidRPr="00C37DA9">
        <w:rPr>
          <w:rFonts w:ascii="Times New Roman" w:hAnsi="Times New Roman" w:cs="Times New Roman"/>
          <w:sz w:val="20"/>
          <w:szCs w:val="20"/>
        </w:rPr>
        <w:t>, O., Juárez, M., Estév</w:t>
      </w:r>
      <w:r>
        <w:rPr>
          <w:rFonts w:ascii="Times New Roman" w:hAnsi="Times New Roman" w:cs="Times New Roman"/>
          <w:sz w:val="20"/>
          <w:szCs w:val="20"/>
        </w:rPr>
        <w:t xml:space="preserve">ez, M., Fu, Y., Álvarez, C., </w:t>
      </w:r>
      <w:r w:rsidRPr="00C37DA9">
        <w:rPr>
          <w:rFonts w:ascii="Times New Roman" w:hAnsi="Times New Roman" w:cs="Times New Roman"/>
          <w:sz w:val="20"/>
          <w:szCs w:val="20"/>
        </w:rPr>
        <w:t>2022</w:t>
      </w:r>
      <w:r>
        <w:rPr>
          <w:rFonts w:ascii="Times New Roman" w:hAnsi="Times New Roman" w:cs="Times New Roman"/>
          <w:sz w:val="20"/>
          <w:szCs w:val="20"/>
        </w:rPr>
        <w:t>.</w:t>
      </w:r>
      <w:r w:rsidRPr="00C37DA9">
        <w:rPr>
          <w:rFonts w:ascii="Times New Roman" w:hAnsi="Times New Roman" w:cs="Times New Roman"/>
          <w:sz w:val="20"/>
          <w:szCs w:val="20"/>
        </w:rPr>
        <w:t xml:space="preserve"> Comprehensive Reviews in Food Science and Food Safety, 21,</w:t>
      </w:r>
      <w:r>
        <w:rPr>
          <w:rFonts w:ascii="Times New Roman" w:hAnsi="Times New Roman" w:cs="Times New Roman"/>
          <w:sz w:val="20"/>
          <w:szCs w:val="20"/>
        </w:rPr>
        <w:t xml:space="preserve"> 1439-1461.</w:t>
      </w:r>
    </w:p>
    <w:p w14:paraId="209D27BC" w14:textId="1C8BDF27" w:rsidR="000178D3" w:rsidRPr="003A0436" w:rsidRDefault="000178D3" w:rsidP="003A0436">
      <w:pPr>
        <w:pStyle w:val="Bibliography"/>
        <w:spacing w:after="0"/>
        <w:rPr>
          <w:rFonts w:ascii="Times New Roman" w:hAnsi="Times New Roman" w:cs="Times New Roman"/>
          <w:sz w:val="20"/>
          <w:szCs w:val="20"/>
        </w:rPr>
      </w:pPr>
      <w:r w:rsidRPr="003A0436">
        <w:rPr>
          <w:rFonts w:ascii="Times New Roman" w:hAnsi="Times New Roman" w:cs="Times New Roman"/>
          <w:sz w:val="20"/>
          <w:szCs w:val="20"/>
        </w:rPr>
        <w:t>USDA (2023) Ams_2829.Pdf [online], By-Product Drop Value (Steers) (Cattle) (NW_LS441 / 447), available: https://www.ams.usda.gov/mnreports/ams_2829.pdf [accessed 29 Nov 2023].</w:t>
      </w:r>
    </w:p>
    <w:p w14:paraId="7ADE7C1C" w14:textId="64508488" w:rsidR="00DA7BCC" w:rsidRPr="003A0436" w:rsidRDefault="00DA7BCC" w:rsidP="003A0436">
      <w:pPr>
        <w:spacing w:after="0" w:line="240" w:lineRule="auto"/>
        <w:rPr>
          <w:rFonts w:ascii="Times New Roman" w:hAnsi="Times New Roman" w:cs="Times New Roman"/>
          <w:b/>
          <w:bCs/>
          <w:sz w:val="20"/>
          <w:szCs w:val="20"/>
          <w:lang w:val="en-US"/>
        </w:rPr>
      </w:pPr>
    </w:p>
    <w:p w14:paraId="41CE64FD" w14:textId="77777777" w:rsidR="000178D3" w:rsidRPr="003A0436" w:rsidRDefault="000178D3" w:rsidP="003A0436">
      <w:pPr>
        <w:spacing w:after="0" w:line="240" w:lineRule="auto"/>
        <w:rPr>
          <w:rFonts w:ascii="Times New Roman" w:hAnsi="Times New Roman" w:cs="Times New Roman"/>
          <w:b/>
          <w:bCs/>
          <w:sz w:val="20"/>
          <w:szCs w:val="20"/>
          <w:lang w:val="en-US"/>
        </w:rPr>
      </w:pPr>
    </w:p>
    <w:sectPr w:rsidR="000178D3" w:rsidRPr="003A0436"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37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0E3"/>
    <w:rsid w:val="00014D64"/>
    <w:rsid w:val="000178D3"/>
    <w:rsid w:val="00025FD9"/>
    <w:rsid w:val="000473E3"/>
    <w:rsid w:val="00066491"/>
    <w:rsid w:val="00085A6D"/>
    <w:rsid w:val="000911FC"/>
    <w:rsid w:val="0009667B"/>
    <w:rsid w:val="000B0D2B"/>
    <w:rsid w:val="000C0079"/>
    <w:rsid w:val="000E419D"/>
    <w:rsid w:val="001410AB"/>
    <w:rsid w:val="00145A62"/>
    <w:rsid w:val="00162E71"/>
    <w:rsid w:val="00164D0D"/>
    <w:rsid w:val="00172D70"/>
    <w:rsid w:val="00185C91"/>
    <w:rsid w:val="00197E81"/>
    <w:rsid w:val="001B6824"/>
    <w:rsid w:val="001C3B33"/>
    <w:rsid w:val="001E1245"/>
    <w:rsid w:val="00253D9F"/>
    <w:rsid w:val="002A5755"/>
    <w:rsid w:val="002B0FC0"/>
    <w:rsid w:val="002B381C"/>
    <w:rsid w:val="00303DDC"/>
    <w:rsid w:val="003051F9"/>
    <w:rsid w:val="00340802"/>
    <w:rsid w:val="003514E0"/>
    <w:rsid w:val="003546B2"/>
    <w:rsid w:val="00374F0F"/>
    <w:rsid w:val="00383DCD"/>
    <w:rsid w:val="00397193"/>
    <w:rsid w:val="00397B01"/>
    <w:rsid w:val="003A02D9"/>
    <w:rsid w:val="003A0436"/>
    <w:rsid w:val="003A062E"/>
    <w:rsid w:val="003E2953"/>
    <w:rsid w:val="00404158"/>
    <w:rsid w:val="00450A95"/>
    <w:rsid w:val="004969AE"/>
    <w:rsid w:val="004A754A"/>
    <w:rsid w:val="004D055B"/>
    <w:rsid w:val="004D7199"/>
    <w:rsid w:val="004F29BC"/>
    <w:rsid w:val="0050714D"/>
    <w:rsid w:val="005272F3"/>
    <w:rsid w:val="005E3F10"/>
    <w:rsid w:val="00625B14"/>
    <w:rsid w:val="00631B8C"/>
    <w:rsid w:val="00665DDE"/>
    <w:rsid w:val="00693F97"/>
    <w:rsid w:val="006A3696"/>
    <w:rsid w:val="006A531B"/>
    <w:rsid w:val="006B4CAA"/>
    <w:rsid w:val="006D11ED"/>
    <w:rsid w:val="007021C3"/>
    <w:rsid w:val="0073647E"/>
    <w:rsid w:val="0074447A"/>
    <w:rsid w:val="007601F9"/>
    <w:rsid w:val="007845F0"/>
    <w:rsid w:val="00797E37"/>
    <w:rsid w:val="007A3387"/>
    <w:rsid w:val="007B30E3"/>
    <w:rsid w:val="007C1E70"/>
    <w:rsid w:val="007C2E2D"/>
    <w:rsid w:val="007C5B73"/>
    <w:rsid w:val="007C6781"/>
    <w:rsid w:val="007E2187"/>
    <w:rsid w:val="007F5C72"/>
    <w:rsid w:val="00810840"/>
    <w:rsid w:val="008324A4"/>
    <w:rsid w:val="0083328C"/>
    <w:rsid w:val="00844DEF"/>
    <w:rsid w:val="00853EEB"/>
    <w:rsid w:val="00892EBF"/>
    <w:rsid w:val="008975B2"/>
    <w:rsid w:val="008B14E7"/>
    <w:rsid w:val="008B3AE8"/>
    <w:rsid w:val="008D2A70"/>
    <w:rsid w:val="008E16BF"/>
    <w:rsid w:val="008E261D"/>
    <w:rsid w:val="0091452A"/>
    <w:rsid w:val="00933E8C"/>
    <w:rsid w:val="00946E98"/>
    <w:rsid w:val="009736C0"/>
    <w:rsid w:val="00974E01"/>
    <w:rsid w:val="009900A6"/>
    <w:rsid w:val="009A36A2"/>
    <w:rsid w:val="009B5222"/>
    <w:rsid w:val="009B53F2"/>
    <w:rsid w:val="009D46CA"/>
    <w:rsid w:val="00A20D7A"/>
    <w:rsid w:val="00A46DBC"/>
    <w:rsid w:val="00A57C6A"/>
    <w:rsid w:val="00A75520"/>
    <w:rsid w:val="00A81B5D"/>
    <w:rsid w:val="00A829DE"/>
    <w:rsid w:val="00A8336A"/>
    <w:rsid w:val="00A872F1"/>
    <w:rsid w:val="00AE0EF3"/>
    <w:rsid w:val="00AE248F"/>
    <w:rsid w:val="00AF0570"/>
    <w:rsid w:val="00AF1FA5"/>
    <w:rsid w:val="00B236FE"/>
    <w:rsid w:val="00B35E09"/>
    <w:rsid w:val="00B47FD9"/>
    <w:rsid w:val="00B52E4E"/>
    <w:rsid w:val="00B7367A"/>
    <w:rsid w:val="00B73DE8"/>
    <w:rsid w:val="00B912FC"/>
    <w:rsid w:val="00BA215F"/>
    <w:rsid w:val="00C212B1"/>
    <w:rsid w:val="00C31AE5"/>
    <w:rsid w:val="00C37DA9"/>
    <w:rsid w:val="00C53AE2"/>
    <w:rsid w:val="00C66DA4"/>
    <w:rsid w:val="00C95030"/>
    <w:rsid w:val="00C97F44"/>
    <w:rsid w:val="00CD2B38"/>
    <w:rsid w:val="00CE0188"/>
    <w:rsid w:val="00CE7D74"/>
    <w:rsid w:val="00D0549B"/>
    <w:rsid w:val="00D12927"/>
    <w:rsid w:val="00D62728"/>
    <w:rsid w:val="00D734C3"/>
    <w:rsid w:val="00D77D40"/>
    <w:rsid w:val="00DA7BCC"/>
    <w:rsid w:val="00DC42D0"/>
    <w:rsid w:val="00DC66BF"/>
    <w:rsid w:val="00DC6A7C"/>
    <w:rsid w:val="00DD21B5"/>
    <w:rsid w:val="00E00322"/>
    <w:rsid w:val="00E26E52"/>
    <w:rsid w:val="00E27EE6"/>
    <w:rsid w:val="00E4497B"/>
    <w:rsid w:val="00E45C2C"/>
    <w:rsid w:val="00E64200"/>
    <w:rsid w:val="00EA6E92"/>
    <w:rsid w:val="00EC77CF"/>
    <w:rsid w:val="00EF64F0"/>
    <w:rsid w:val="00F06339"/>
    <w:rsid w:val="00F13B59"/>
    <w:rsid w:val="00F17E19"/>
    <w:rsid w:val="00F3630A"/>
    <w:rsid w:val="00F41DBF"/>
    <w:rsid w:val="00F42FC3"/>
    <w:rsid w:val="00F47F01"/>
    <w:rsid w:val="00F52EFE"/>
    <w:rsid w:val="00FA27E7"/>
    <w:rsid w:val="00FE1ACB"/>
    <w:rsid w:val="00FE3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customStyle="1" w:styleId="Default">
    <w:name w:val="Default"/>
    <w:rsid w:val="006D11ED"/>
    <w:pPr>
      <w:autoSpaceDE w:val="0"/>
      <w:autoSpaceDN w:val="0"/>
      <w:adjustRightInd w:val="0"/>
      <w:spacing w:after="0" w:line="240" w:lineRule="auto"/>
    </w:pPr>
    <w:rPr>
      <w:rFonts w:ascii="Times New Roman" w:hAnsi="Times New Roman" w:cs="Times New Roman"/>
      <w:color w:val="000000"/>
      <w:kern w:val="0"/>
      <w:sz w:val="24"/>
      <w:szCs w:val="24"/>
      <w:lang w:val="en-IE"/>
    </w:rPr>
  </w:style>
  <w:style w:type="paragraph" w:customStyle="1" w:styleId="Normalpaper">
    <w:name w:val="Normal paper"/>
    <w:basedOn w:val="Normal"/>
    <w:link w:val="NormalpaperChar"/>
    <w:rsid w:val="0074447A"/>
    <w:pPr>
      <w:spacing w:after="3" w:line="480" w:lineRule="auto"/>
      <w:jc w:val="both"/>
    </w:pPr>
    <w:rPr>
      <w:rFonts w:ascii="Times New Roman" w:eastAsia="Times New Roman" w:hAnsi="Times New Roman" w:cs="Times New Roman"/>
      <w:kern w:val="0"/>
      <w:sz w:val="24"/>
      <w:szCs w:val="24"/>
      <w:lang w:val="en-IE"/>
      <w14:ligatures w14:val="none"/>
    </w:rPr>
  </w:style>
  <w:style w:type="character" w:customStyle="1" w:styleId="NormalpaperChar">
    <w:name w:val="Normal paper Char"/>
    <w:link w:val="Normalpaper"/>
    <w:rsid w:val="0074447A"/>
    <w:rPr>
      <w:rFonts w:ascii="Times New Roman" w:eastAsia="Times New Roman" w:hAnsi="Times New Roman" w:cs="Times New Roman"/>
      <w:kern w:val="0"/>
      <w:sz w:val="24"/>
      <w:szCs w:val="24"/>
      <w:lang w:val="en-IE"/>
      <w14:ligatures w14:val="none"/>
    </w:rPr>
  </w:style>
  <w:style w:type="paragraph" w:styleId="Bibliography">
    <w:name w:val="Bibliography"/>
    <w:basedOn w:val="Normal"/>
    <w:next w:val="Normal"/>
    <w:uiPriority w:val="37"/>
    <w:unhideWhenUsed/>
    <w:rsid w:val="00974E01"/>
    <w:pPr>
      <w:spacing w:after="240" w:line="240" w:lineRule="auto"/>
    </w:pPr>
  </w:style>
  <w:style w:type="paragraph" w:styleId="Revision">
    <w:name w:val="Revision"/>
    <w:hidden/>
    <w:uiPriority w:val="99"/>
    <w:semiHidden/>
    <w:rsid w:val="00014D64"/>
    <w:pPr>
      <w:spacing w:after="0" w:line="240" w:lineRule="auto"/>
    </w:pPr>
  </w:style>
  <w:style w:type="character" w:styleId="CommentReference">
    <w:name w:val="annotation reference"/>
    <w:basedOn w:val="DefaultParagraphFont"/>
    <w:uiPriority w:val="99"/>
    <w:semiHidden/>
    <w:unhideWhenUsed/>
    <w:rsid w:val="003051F9"/>
    <w:rPr>
      <w:sz w:val="16"/>
      <w:szCs w:val="16"/>
    </w:rPr>
  </w:style>
  <w:style w:type="paragraph" w:styleId="CommentText">
    <w:name w:val="annotation text"/>
    <w:basedOn w:val="Normal"/>
    <w:link w:val="CommentTextChar"/>
    <w:uiPriority w:val="99"/>
    <w:semiHidden/>
    <w:unhideWhenUsed/>
    <w:rsid w:val="003051F9"/>
    <w:pPr>
      <w:spacing w:line="240" w:lineRule="auto"/>
    </w:pPr>
    <w:rPr>
      <w:sz w:val="20"/>
      <w:szCs w:val="20"/>
    </w:rPr>
  </w:style>
  <w:style w:type="character" w:customStyle="1" w:styleId="CommentTextChar">
    <w:name w:val="Comment Text Char"/>
    <w:basedOn w:val="DefaultParagraphFont"/>
    <w:link w:val="CommentText"/>
    <w:uiPriority w:val="99"/>
    <w:semiHidden/>
    <w:rsid w:val="003051F9"/>
    <w:rPr>
      <w:sz w:val="20"/>
      <w:szCs w:val="20"/>
    </w:rPr>
  </w:style>
  <w:style w:type="paragraph" w:styleId="CommentSubject">
    <w:name w:val="annotation subject"/>
    <w:basedOn w:val="CommentText"/>
    <w:next w:val="CommentText"/>
    <w:link w:val="CommentSubjectChar"/>
    <w:uiPriority w:val="99"/>
    <w:semiHidden/>
    <w:unhideWhenUsed/>
    <w:rsid w:val="003051F9"/>
    <w:rPr>
      <w:b/>
      <w:bCs/>
    </w:rPr>
  </w:style>
  <w:style w:type="character" w:customStyle="1" w:styleId="CommentSubjectChar">
    <w:name w:val="Comment Subject Char"/>
    <w:basedOn w:val="CommentTextChar"/>
    <w:link w:val="CommentSubject"/>
    <w:uiPriority w:val="99"/>
    <w:semiHidden/>
    <w:rsid w:val="003051F9"/>
    <w:rPr>
      <w:b/>
      <w:bCs/>
      <w:sz w:val="20"/>
      <w:szCs w:val="20"/>
    </w:rPr>
  </w:style>
  <w:style w:type="paragraph" w:styleId="BalloonText">
    <w:name w:val="Balloon Text"/>
    <w:basedOn w:val="Normal"/>
    <w:link w:val="BalloonTextChar"/>
    <w:uiPriority w:val="99"/>
    <w:semiHidden/>
    <w:unhideWhenUsed/>
    <w:rsid w:val="00305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1F9"/>
    <w:rPr>
      <w:rFonts w:ascii="Segoe UI" w:hAnsi="Segoe UI" w:cs="Segoe UI"/>
      <w:sz w:val="18"/>
      <w:szCs w:val="18"/>
    </w:rPr>
  </w:style>
  <w:style w:type="table" w:styleId="TableGrid">
    <w:name w:val="Table Grid"/>
    <w:basedOn w:val="TableNormal"/>
    <w:uiPriority w:val="39"/>
    <w:rsid w:val="005E3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45ca3-5eb5-408b-885f-eced1df38e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03888971F2E4780B7AAC2CCADF011" ma:contentTypeVersion="16" ma:contentTypeDescription="Create a new document." ma:contentTypeScope="" ma:versionID="56a57c58b9d9c674aab72c716de3ea99">
  <xsd:schema xmlns:xsd="http://www.w3.org/2001/XMLSchema" xmlns:xs="http://www.w3.org/2001/XMLSchema" xmlns:p="http://schemas.microsoft.com/office/2006/metadata/properties" xmlns:ns1="http://schemas.microsoft.com/sharepoint/v3" xmlns:ns3="da045ca3-5eb5-408b-885f-eced1df38e91" targetNamespace="http://schemas.microsoft.com/office/2006/metadata/properties" ma:root="true" ma:fieldsID="def11e7f2cda9ef41990bb81d7ebae18" ns1:_="" ns3:_="">
    <xsd:import namespace="http://schemas.microsoft.com/sharepoint/v3"/>
    <xsd:import namespace="da045ca3-5eb5-408b-885f-eced1df38e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45ca3-5eb5-408b-885f-eced1df38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2C1E998D-96EF-4A0A-B53A-07C2AB504375}">
  <ds:schemaRefs>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da045ca3-5eb5-408b-885f-eced1df38e9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05C3F9FF-7A04-4C97-8162-03126AA7A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045ca3-5eb5-408b-885f-eced1df38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9856</Characters>
  <Application>Microsoft Office Word</Application>
  <DocSecurity>4</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Andrew McNamee</cp:lastModifiedBy>
  <cp:revision>2</cp:revision>
  <dcterms:created xsi:type="dcterms:W3CDTF">2025-02-12T16:54:00Z</dcterms:created>
  <dcterms:modified xsi:type="dcterms:W3CDTF">2025-02-12T16:54:00Z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0x01010004203888971F2E4780B7AAC2CCADF011</vt:lpwstr>
  </property>
  <property fmtid="{D5CDD505-2E9C-101B-9397-08002B2CF9AE}" pid="3" name="GrammarlyDocumentId">
    <vt:lpwstr>0f0c26a123736c5b94a9da1cbd2b3b70642d812f3d68e3e7109fce57548621db</vt:lpwstr>
  </property>
  <property fmtid="{D5CDD505-2E9C-101B-9397-08002B2CF9AE}" pid="4" name="ZOTERO_PREF_1">
    <vt:lpwstr>&lt;data data-version="3" zotero-version="6.0.4"&gt;&lt;session id="wtWD5u9T"/&gt;&lt;style id="http://www.zotero.org/styles/harvard-cite-them-right" hasBibliography="1" bibliographyStyleHasBeenSet="1"/&gt;&lt;prefs&gt;&lt;pref name="fieldType" value="Field"/&gt;&lt;pref name="automaticJ</vt:lpwstr>
  </property>
  <property fmtid="{D5CDD505-2E9C-101B-9397-08002B2CF9AE}" pid="5" name="ZOTERO_PREF_2">
    <vt:lpwstr>ournalAbbreviations" value="true"/&gt;&lt;/prefs&gt;&lt;/data&gt;</vt:lpwstr>
  </property>
</Properties>
</file>