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74F11" w14:textId="77777777" w:rsidR="0073044A" w:rsidRPr="0073044A" w:rsidRDefault="0073044A" w:rsidP="0073044A">
      <w:pPr>
        <w:spacing w:after="0"/>
        <w:rPr>
          <w:b/>
          <w:bCs/>
          <w:lang w:val="en-US"/>
        </w:rPr>
      </w:pPr>
      <w:r w:rsidRPr="0073044A">
        <w:rPr>
          <w:b/>
          <w:bCs/>
          <w:lang w:val="en-US"/>
        </w:rPr>
        <w:t xml:space="preserve">Application </w:t>
      </w:r>
    </w:p>
    <w:p w14:paraId="21733415" w14:textId="77777777" w:rsidR="005A6F0E" w:rsidRDefault="005A6F0E" w:rsidP="0073044A">
      <w:pPr>
        <w:spacing w:after="0"/>
        <w:rPr>
          <w:lang w:val="en-US"/>
        </w:rPr>
      </w:pPr>
      <w:r w:rsidRPr="005A6F0E">
        <w:rPr>
          <w:lang w:val="en-US"/>
        </w:rPr>
        <w:t>Results from this work will provide insight into cellular changes that occur before performance horses fatigue, leading to better diagnostics to reduce incidence of fatigue-induced injury.</w:t>
      </w:r>
    </w:p>
    <w:p w14:paraId="687E73DB" w14:textId="77777777" w:rsidR="005A6F0E" w:rsidRDefault="005A6F0E" w:rsidP="0073044A">
      <w:pPr>
        <w:spacing w:after="0"/>
        <w:rPr>
          <w:lang w:val="en-US"/>
        </w:rPr>
      </w:pPr>
    </w:p>
    <w:p w14:paraId="3EF78991" w14:textId="5BA1C7E5" w:rsidR="0073044A" w:rsidRPr="0073044A" w:rsidRDefault="0073044A" w:rsidP="0073044A">
      <w:pPr>
        <w:spacing w:after="0"/>
        <w:rPr>
          <w:b/>
          <w:bCs/>
          <w:lang w:val="en"/>
        </w:rPr>
      </w:pPr>
      <w:r w:rsidRPr="0073044A">
        <w:rPr>
          <w:b/>
          <w:bCs/>
          <w:lang w:val="en"/>
        </w:rPr>
        <w:t xml:space="preserve">Introduction </w:t>
      </w:r>
    </w:p>
    <w:p w14:paraId="6CCC55E4" w14:textId="3D17FD88" w:rsidR="0073044A" w:rsidRPr="0073044A" w:rsidRDefault="005A6F0E" w:rsidP="0073044A">
      <w:pPr>
        <w:rPr>
          <w:i/>
          <w:iCs/>
          <w:lang w:val="en"/>
        </w:rPr>
      </w:pPr>
      <w:r w:rsidRPr="005A6F0E">
        <w:rPr>
          <w:lang w:val="en"/>
        </w:rPr>
        <w:t xml:space="preserve">Racehorses are considered amongst the elite of domesticated athletic species. Like human athletes, specific feeding, training, and management protocols should be implemented to ensure equine athlete health and welfare. A focus of these protocols should be prevention of fatigue, as fatigue enhances an individual’s susceptibility to injury. However, defining objective measures of fatigue remains elusive, presenting a significant barrier in prediction of injury susceptibility. We hypothesized that gluteus </w:t>
      </w:r>
      <w:proofErr w:type="spellStart"/>
      <w:r w:rsidRPr="005A6F0E">
        <w:rPr>
          <w:lang w:val="en"/>
        </w:rPr>
        <w:t>medius</w:t>
      </w:r>
      <w:proofErr w:type="spellEnd"/>
      <w:r w:rsidRPr="005A6F0E">
        <w:rPr>
          <w:lang w:val="en"/>
        </w:rPr>
        <w:t xml:space="preserve"> mitochondrial metrics would decrease and production of H</w:t>
      </w:r>
      <w:r w:rsidRPr="000816B2">
        <w:rPr>
          <w:vertAlign w:val="subscript"/>
          <w:lang w:val="en"/>
        </w:rPr>
        <w:t>2</w:t>
      </w:r>
      <w:r w:rsidRPr="005A6F0E">
        <w:rPr>
          <w:lang w:val="en"/>
        </w:rPr>
        <w:t>O</w:t>
      </w:r>
      <w:r w:rsidRPr="000816B2">
        <w:rPr>
          <w:vertAlign w:val="subscript"/>
          <w:lang w:val="en"/>
        </w:rPr>
        <w:t>2</w:t>
      </w:r>
      <w:r w:rsidRPr="005A6F0E">
        <w:rPr>
          <w:lang w:val="en"/>
        </w:rPr>
        <w:t>, a reactive oxygen species, would increase prior to horses experiencing decreased performance, as evidenced by a decrease in run time to fatigue</w:t>
      </w:r>
      <w:r w:rsidR="0073044A" w:rsidRPr="0073044A">
        <w:rPr>
          <w:lang w:val="en"/>
        </w:rPr>
        <w:t xml:space="preserve">. </w:t>
      </w:r>
    </w:p>
    <w:p w14:paraId="2C3D5C8A" w14:textId="77777777" w:rsidR="0073044A" w:rsidRDefault="0073044A" w:rsidP="0073044A">
      <w:pPr>
        <w:spacing w:after="0"/>
        <w:rPr>
          <w:b/>
          <w:bCs/>
          <w:lang w:val="en"/>
        </w:rPr>
      </w:pPr>
      <w:r w:rsidRPr="0073044A">
        <w:rPr>
          <w:b/>
          <w:bCs/>
          <w:lang w:val="en"/>
        </w:rPr>
        <w:t xml:space="preserve">Materials and Methods </w:t>
      </w:r>
    </w:p>
    <w:p w14:paraId="12C69F12" w14:textId="737A85D3" w:rsidR="005A6F0E" w:rsidRDefault="005A6F0E" w:rsidP="0073044A">
      <w:pPr>
        <w:spacing w:after="0"/>
        <w:rPr>
          <w:lang w:val="en"/>
        </w:rPr>
      </w:pPr>
      <w:r w:rsidRPr="005A6F0E">
        <w:rPr>
          <w:lang w:val="en"/>
        </w:rPr>
        <w:t xml:space="preserve">All experimental protocols were reviewed and approved by </w:t>
      </w:r>
      <w:r w:rsidR="000816B2">
        <w:rPr>
          <w:lang w:val="en"/>
        </w:rPr>
        <w:t xml:space="preserve">the </w:t>
      </w:r>
      <w:r w:rsidR="009A10B0">
        <w:rPr>
          <w:lang w:val="en"/>
        </w:rPr>
        <w:t xml:space="preserve">[redacted for review] </w:t>
      </w:r>
      <w:r w:rsidRPr="005A6F0E">
        <w:rPr>
          <w:lang w:val="en"/>
        </w:rPr>
        <w:t xml:space="preserve">Institutional Animal Care and Use Committee prior to the start of the study (AUP 24-074). Gluteus </w:t>
      </w:r>
      <w:proofErr w:type="spellStart"/>
      <w:r w:rsidRPr="005A6F0E">
        <w:rPr>
          <w:lang w:val="en"/>
        </w:rPr>
        <w:t>medius</w:t>
      </w:r>
      <w:proofErr w:type="spellEnd"/>
      <w:r w:rsidRPr="005A6F0E">
        <w:rPr>
          <w:lang w:val="en"/>
        </w:rPr>
        <w:t xml:space="preserve"> samples were collected from 12 mature, unfit Thoroughbred geldings (mean ± SD 8 ± 2 yr; 510 ± 35 kg) on d 0, 2, and 4 prior to performing standardized exercise tests (SET) to exhaustion on a high-speed treadmill on d 1 (SET1), 3 (SET2), and 5 (SET3). Exercise tests began at 0700 each d. To facilitate completing SETs within a 2-h window, horses were randomly and evenly split into 2 groups then staggered to perform SETs on alternating days (6 horses/d). Samples were not collected on d 6 as the hypothesis to be tested was that mitochondria would become impaired *before* horses demonstrated a decrease in performance. Concordantly, SET3 on d 5 was necessary to determine if horses demonstrated a decrease in run time to fatigue with repeated SETs. The SET parameters were 4 min at 4 m/s followed by elevation of the treadmill to 6% and rapid increase in speed to 10 m/s. Belt speed was then increased 1 m/s every min until the horse was unable to maintain position on the treadmill with gentle encouragement. Mitochondria were isolated from the muscle samples and </w:t>
      </w:r>
      <w:proofErr w:type="spellStart"/>
      <w:r w:rsidRPr="005A6F0E">
        <w:rPr>
          <w:lang w:val="en"/>
        </w:rPr>
        <w:t>analysed</w:t>
      </w:r>
      <w:proofErr w:type="spellEnd"/>
      <w:r w:rsidRPr="005A6F0E">
        <w:rPr>
          <w:lang w:val="en"/>
        </w:rPr>
        <w:t xml:space="preserve"> for oxidative phosphorylation capacities (P) and production of adenosine triphosphate (ATP) and H</w:t>
      </w:r>
      <w:r w:rsidRPr="005A6F0E">
        <w:rPr>
          <w:vertAlign w:val="subscript"/>
          <w:lang w:val="en"/>
        </w:rPr>
        <w:t>2</w:t>
      </w:r>
      <w:r w:rsidRPr="005A6F0E">
        <w:rPr>
          <w:lang w:val="en"/>
        </w:rPr>
        <w:t>O</w:t>
      </w:r>
      <w:r w:rsidRPr="005A6F0E">
        <w:rPr>
          <w:vertAlign w:val="subscript"/>
          <w:lang w:val="en"/>
        </w:rPr>
        <w:t>2</w:t>
      </w:r>
      <w:r w:rsidRPr="005A6F0E">
        <w:rPr>
          <w:lang w:val="en"/>
        </w:rPr>
        <w:t xml:space="preserve"> using high-resolution </w:t>
      </w:r>
      <w:proofErr w:type="spellStart"/>
      <w:r w:rsidRPr="005A6F0E">
        <w:rPr>
          <w:lang w:val="en"/>
        </w:rPr>
        <w:t>fluororespirometry</w:t>
      </w:r>
      <w:proofErr w:type="spellEnd"/>
      <w:r w:rsidRPr="005A6F0E">
        <w:rPr>
          <w:lang w:val="en"/>
        </w:rPr>
        <w:t xml:space="preserve">. Data were analyzed by one-way ANOVA with repeated measures or by mixed linear models in the case of incomplete datasets with the fixed effect of day using GraphPad Prism v10.4. Significance was declared as </w:t>
      </w:r>
      <w:r w:rsidRPr="005A6F0E">
        <w:rPr>
          <w:i/>
          <w:iCs/>
          <w:lang w:val="en"/>
        </w:rPr>
        <w:t>P</w:t>
      </w:r>
      <m:oMath>
        <m:r>
          <w:rPr>
            <w:rFonts w:ascii="Cambria Math" w:hAnsi="Cambria Math"/>
            <w:lang w:val="en"/>
          </w:rPr>
          <m:t>≤</m:t>
        </m:r>
      </m:oMath>
      <w:r w:rsidRPr="005A6F0E">
        <w:rPr>
          <w:lang w:val="en"/>
        </w:rPr>
        <w:t>0.05 and trends declared when 0.</w:t>
      </w:r>
      <w:r w:rsidR="00753E39">
        <w:rPr>
          <w:lang w:val="en"/>
        </w:rPr>
        <w:t>0</w:t>
      </w:r>
      <w:r w:rsidRPr="005A6F0E">
        <w:rPr>
          <w:lang w:val="en"/>
        </w:rPr>
        <w:t>5</w:t>
      </w:r>
      <m:oMath>
        <m:r>
          <w:rPr>
            <w:rFonts w:ascii="Cambria Math" w:hAnsi="Cambria Math"/>
            <w:lang w:val="en"/>
          </w:rPr>
          <m:t>&lt;</m:t>
        </m:r>
      </m:oMath>
      <w:r w:rsidRPr="005A6F0E">
        <w:rPr>
          <w:i/>
          <w:iCs/>
          <w:lang w:val="en"/>
        </w:rPr>
        <w:t>P</w:t>
      </w:r>
      <m:oMath>
        <m:r>
          <w:rPr>
            <w:rFonts w:ascii="Cambria Math" w:hAnsi="Cambria Math"/>
            <w:lang w:val="en"/>
          </w:rPr>
          <m:t>≤</m:t>
        </m:r>
      </m:oMath>
      <w:r w:rsidRPr="005A6F0E">
        <w:rPr>
          <w:lang w:val="en"/>
        </w:rPr>
        <w:t>0.1.</w:t>
      </w:r>
    </w:p>
    <w:p w14:paraId="3B5E8D48" w14:textId="77777777" w:rsidR="005A6F0E" w:rsidRDefault="005A6F0E" w:rsidP="0073044A">
      <w:pPr>
        <w:spacing w:after="0"/>
        <w:rPr>
          <w:lang w:val="en"/>
        </w:rPr>
      </w:pPr>
    </w:p>
    <w:p w14:paraId="27D4B15C" w14:textId="68D12AA9" w:rsidR="0073044A" w:rsidRPr="0073044A" w:rsidRDefault="0073044A" w:rsidP="0073044A">
      <w:pPr>
        <w:spacing w:after="0"/>
        <w:rPr>
          <w:b/>
          <w:bCs/>
          <w:lang w:val="en"/>
        </w:rPr>
      </w:pPr>
      <w:r w:rsidRPr="0073044A">
        <w:rPr>
          <w:b/>
          <w:bCs/>
          <w:lang w:val="en"/>
        </w:rPr>
        <w:t xml:space="preserve">Results </w:t>
      </w:r>
    </w:p>
    <w:p w14:paraId="43FC43B7" w14:textId="77777777" w:rsidR="005A6F0E" w:rsidRPr="005A6F0E" w:rsidRDefault="005A6F0E" w:rsidP="005A6F0E">
      <w:pPr>
        <w:spacing w:after="0"/>
        <w:rPr>
          <w:lang w:val="en"/>
        </w:rPr>
      </w:pPr>
      <w:r w:rsidRPr="005A6F0E">
        <w:rPr>
          <w:lang w:val="en"/>
        </w:rPr>
        <w:t>One horse was excused from the study due to a hoof abscess developed prior to SET3. Unexpectedly, not all horses fatigued by SET3 on d 5 (defined as decreased run time to fatigue). We, therefore, divided the horses into either responders (RESP, n = 5), those horses that had a decreased run time to fatigue by SET3 (</w:t>
      </w:r>
      <w:r w:rsidRPr="005A6F0E">
        <w:rPr>
          <w:i/>
          <w:iCs/>
          <w:lang w:val="en"/>
        </w:rPr>
        <w:t>P</w:t>
      </w:r>
      <w:r w:rsidRPr="005A6F0E">
        <w:rPr>
          <w:lang w:val="en"/>
        </w:rPr>
        <w:t>=0.03), or non-responders (NON, n = 6), those horses that did not decrease their run time to fatigue by SET3 (</w:t>
      </w:r>
      <w:r w:rsidRPr="005A6F0E">
        <w:rPr>
          <w:i/>
          <w:iCs/>
          <w:lang w:val="en"/>
        </w:rPr>
        <w:t>P</w:t>
      </w:r>
      <w:r w:rsidRPr="005A6F0E">
        <w:rPr>
          <w:lang w:val="en"/>
        </w:rPr>
        <w:t>=0.6). In RESP horses, mitochondrial leak respiration, P with complex I only (P</w:t>
      </w:r>
      <w:r w:rsidRPr="005A6F0E">
        <w:rPr>
          <w:vertAlign w:val="subscript"/>
          <w:lang w:val="en"/>
        </w:rPr>
        <w:t>CI</w:t>
      </w:r>
      <w:r w:rsidRPr="005A6F0E">
        <w:rPr>
          <w:lang w:val="en"/>
        </w:rPr>
        <w:t>), maximal P with complexes I and II (P</w:t>
      </w:r>
      <w:r w:rsidRPr="005A6F0E">
        <w:rPr>
          <w:vertAlign w:val="subscript"/>
          <w:lang w:val="en"/>
        </w:rPr>
        <w:t>CI+II</w:t>
      </w:r>
      <w:r w:rsidRPr="005A6F0E">
        <w:rPr>
          <w:lang w:val="en"/>
        </w:rPr>
        <w:t>), and P with complex II only (P</w:t>
      </w:r>
      <w:r w:rsidRPr="005A6F0E">
        <w:rPr>
          <w:vertAlign w:val="subscript"/>
          <w:lang w:val="en"/>
        </w:rPr>
        <w:t>CII</w:t>
      </w:r>
      <w:r w:rsidRPr="005A6F0E">
        <w:rPr>
          <w:lang w:val="en"/>
        </w:rPr>
        <w:t>) decreased from d 2 to 4 (</w:t>
      </w:r>
      <w:r w:rsidRPr="005A6F0E">
        <w:rPr>
          <w:i/>
          <w:iCs/>
          <w:lang w:val="en"/>
        </w:rPr>
        <w:t>P&lt;</w:t>
      </w:r>
      <w:r w:rsidRPr="005A6F0E">
        <w:rPr>
          <w:lang w:val="en"/>
        </w:rPr>
        <w:t>0.05); P</w:t>
      </w:r>
      <w:r w:rsidRPr="005A6F0E">
        <w:rPr>
          <w:vertAlign w:val="subscript"/>
          <w:lang w:val="en"/>
        </w:rPr>
        <w:t>CI+II</w:t>
      </w:r>
      <w:r w:rsidRPr="005A6F0E">
        <w:rPr>
          <w:lang w:val="en"/>
        </w:rPr>
        <w:t xml:space="preserve"> and P</w:t>
      </w:r>
      <w:r w:rsidRPr="005A6F0E">
        <w:rPr>
          <w:vertAlign w:val="subscript"/>
          <w:lang w:val="en"/>
        </w:rPr>
        <w:t>CII</w:t>
      </w:r>
      <w:r w:rsidRPr="005A6F0E">
        <w:rPr>
          <w:lang w:val="en"/>
        </w:rPr>
        <w:t xml:space="preserve"> also tended to be lower at d 4 than d 0 (</w:t>
      </w:r>
      <w:r w:rsidRPr="005A6F0E">
        <w:rPr>
          <w:i/>
          <w:iCs/>
          <w:lang w:val="en"/>
        </w:rPr>
        <w:t>P</w:t>
      </w:r>
      <w:r w:rsidRPr="005A6F0E">
        <w:rPr>
          <w:lang w:val="en"/>
        </w:rPr>
        <w:t>&lt;0.1; Table 1). No P metric was impacted by d in NON horses (</w:t>
      </w:r>
      <w:r w:rsidRPr="005A6F0E">
        <w:rPr>
          <w:i/>
          <w:iCs/>
          <w:lang w:val="en"/>
        </w:rPr>
        <w:t>P</w:t>
      </w:r>
      <w:r w:rsidRPr="005A6F0E">
        <w:rPr>
          <w:lang w:val="en"/>
        </w:rPr>
        <w:t>&gt;0.05; Table 1). The rate of H</w:t>
      </w:r>
      <w:r w:rsidRPr="005A6F0E">
        <w:rPr>
          <w:vertAlign w:val="subscript"/>
          <w:lang w:val="en"/>
        </w:rPr>
        <w:t>2</w:t>
      </w:r>
      <w:r w:rsidRPr="005A6F0E">
        <w:rPr>
          <w:lang w:val="en"/>
        </w:rPr>
        <w:t>O</w:t>
      </w:r>
      <w:r w:rsidRPr="005A6F0E">
        <w:rPr>
          <w:vertAlign w:val="subscript"/>
          <w:lang w:val="en"/>
        </w:rPr>
        <w:t>2</w:t>
      </w:r>
      <w:r w:rsidRPr="005A6F0E">
        <w:rPr>
          <w:lang w:val="en"/>
        </w:rPr>
        <w:t xml:space="preserve"> production, a reactive oxygen species, relative to O</w:t>
      </w:r>
      <w:r w:rsidRPr="005A6F0E">
        <w:rPr>
          <w:vertAlign w:val="subscript"/>
          <w:lang w:val="en"/>
        </w:rPr>
        <w:t>2</w:t>
      </w:r>
      <w:r w:rsidRPr="005A6F0E">
        <w:rPr>
          <w:lang w:val="en"/>
        </w:rPr>
        <w:t xml:space="preserve"> flux tended to increase from d 0 to 4 during leak respiration in RESP horses (</w:t>
      </w:r>
      <w:r w:rsidRPr="005A6F0E">
        <w:rPr>
          <w:i/>
          <w:iCs/>
          <w:lang w:val="en"/>
        </w:rPr>
        <w:t>P</w:t>
      </w:r>
      <w:r w:rsidRPr="005A6F0E">
        <w:rPr>
          <w:lang w:val="en"/>
        </w:rPr>
        <w:t>=0.1)</w:t>
      </w:r>
      <w:r w:rsidRPr="005A6F0E">
        <w:rPr>
          <w:i/>
          <w:iCs/>
          <w:lang w:val="en"/>
        </w:rPr>
        <w:t xml:space="preserve"> </w:t>
      </w:r>
      <w:r w:rsidRPr="005A6F0E">
        <w:rPr>
          <w:lang w:val="en"/>
        </w:rPr>
        <w:t>but H</w:t>
      </w:r>
      <w:r w:rsidRPr="005A6F0E">
        <w:rPr>
          <w:vertAlign w:val="subscript"/>
          <w:lang w:val="en"/>
        </w:rPr>
        <w:t>2</w:t>
      </w:r>
      <w:r w:rsidRPr="005A6F0E">
        <w:rPr>
          <w:lang w:val="en"/>
        </w:rPr>
        <w:t>O</w:t>
      </w:r>
      <w:r w:rsidRPr="005A6F0E">
        <w:rPr>
          <w:vertAlign w:val="subscript"/>
          <w:lang w:val="en"/>
        </w:rPr>
        <w:t>2</w:t>
      </w:r>
      <w:r w:rsidRPr="005A6F0E">
        <w:rPr>
          <w:lang w:val="en"/>
        </w:rPr>
        <w:t>/O</w:t>
      </w:r>
      <w:r w:rsidRPr="005A6F0E">
        <w:rPr>
          <w:vertAlign w:val="subscript"/>
          <w:lang w:val="en"/>
        </w:rPr>
        <w:t>2</w:t>
      </w:r>
      <w:r w:rsidRPr="005A6F0E">
        <w:rPr>
          <w:lang w:val="en"/>
        </w:rPr>
        <w:t xml:space="preserve"> did not differ in any other respiratory state in RESP horses, nor in NON horses at all (</w:t>
      </w:r>
      <w:r w:rsidRPr="005A6F0E">
        <w:rPr>
          <w:i/>
          <w:iCs/>
          <w:lang w:val="en"/>
        </w:rPr>
        <w:t>P</w:t>
      </w:r>
      <w:r w:rsidRPr="005A6F0E">
        <w:rPr>
          <w:lang w:val="en"/>
        </w:rPr>
        <w:t>&gt;0.05). Production of ATP during P</w:t>
      </w:r>
      <w:r w:rsidRPr="005A6F0E">
        <w:rPr>
          <w:vertAlign w:val="subscript"/>
          <w:lang w:val="en"/>
        </w:rPr>
        <w:t>CI</w:t>
      </w:r>
      <w:r w:rsidRPr="005A6F0E">
        <w:rPr>
          <w:lang w:val="en"/>
        </w:rPr>
        <w:t xml:space="preserve"> tended to decrease from d 2 to 4 in RESP horses (</w:t>
      </w:r>
      <w:r w:rsidRPr="005A6F0E">
        <w:rPr>
          <w:i/>
          <w:iCs/>
          <w:lang w:val="en"/>
        </w:rPr>
        <w:t>P</w:t>
      </w:r>
      <w:r w:rsidRPr="005A6F0E">
        <w:rPr>
          <w:lang w:val="en"/>
        </w:rPr>
        <w:t>=0.1) but ATP production did not differ in any other respiratory state in RESP horses, nor in NON horses (</w:t>
      </w:r>
      <w:r w:rsidRPr="005A6F0E">
        <w:rPr>
          <w:i/>
          <w:iCs/>
          <w:lang w:val="en"/>
        </w:rPr>
        <w:t>P</w:t>
      </w:r>
      <w:r w:rsidRPr="005A6F0E">
        <w:rPr>
          <w:lang w:val="en"/>
        </w:rPr>
        <w:t>&gt;0.05).</w:t>
      </w:r>
    </w:p>
    <w:p w14:paraId="3FBE9FA5" w14:textId="77777777" w:rsidR="005A6F0E" w:rsidRPr="005A6F0E" w:rsidRDefault="005A6F0E" w:rsidP="005A6F0E">
      <w:pPr>
        <w:spacing w:after="0"/>
        <w:rPr>
          <w:lang w:val="en"/>
        </w:rPr>
      </w:pPr>
    </w:p>
    <w:p w14:paraId="0EFF4075" w14:textId="77777777" w:rsidR="005A6F0E" w:rsidRPr="005A6F0E" w:rsidRDefault="005A6F0E" w:rsidP="005A6F0E">
      <w:pPr>
        <w:spacing w:after="0"/>
        <w:rPr>
          <w:lang w:val="en"/>
        </w:rPr>
      </w:pPr>
      <w:r w:rsidRPr="005A6F0E">
        <w:rPr>
          <w:b/>
          <w:bCs/>
          <w:lang w:val="en"/>
        </w:rPr>
        <w:lastRenderedPageBreak/>
        <w:t>Table 1</w:t>
      </w:r>
      <w:r w:rsidRPr="005A6F0E">
        <w:rPr>
          <w:lang w:val="en"/>
        </w:rPr>
        <w:t xml:space="preserve">. Mean </w:t>
      </w:r>
      <w:r w:rsidRPr="005A6F0E">
        <w:rPr>
          <w:lang w:val="en"/>
        </w:rPr>
        <w:sym w:font="Symbol" w:char="F0B1"/>
      </w:r>
      <w:r w:rsidRPr="005A6F0E">
        <w:rPr>
          <w:lang w:val="en"/>
        </w:rPr>
        <w:t xml:space="preserve"> SEM isolated mitochondrial respiratory capacities from the gluteus </w:t>
      </w:r>
      <w:proofErr w:type="spellStart"/>
      <w:r w:rsidRPr="005A6F0E">
        <w:rPr>
          <w:lang w:val="en"/>
        </w:rPr>
        <w:t>medius</w:t>
      </w:r>
      <w:proofErr w:type="spellEnd"/>
      <w:r w:rsidRPr="005A6F0E">
        <w:rPr>
          <w:lang w:val="en"/>
        </w:rPr>
        <w:t xml:space="preserve"> of unfit Thoroughbred geldings whose run time to fatigue remained unchanged through SET3 (</w:t>
      </w:r>
      <w:r w:rsidRPr="005A6F0E">
        <w:rPr>
          <w:i/>
          <w:iCs/>
          <w:lang w:val="en"/>
        </w:rPr>
        <w:t>P</w:t>
      </w:r>
      <w:r w:rsidRPr="005A6F0E">
        <w:rPr>
          <w:lang w:val="en"/>
        </w:rPr>
        <w:t>=0.6; NON, n = 6) or whose</w:t>
      </w:r>
      <w:r w:rsidRPr="005A6F0E">
        <w:rPr>
          <w:i/>
          <w:iCs/>
          <w:lang w:val="en"/>
        </w:rPr>
        <w:t xml:space="preserve"> </w:t>
      </w:r>
      <w:r w:rsidRPr="005A6F0E">
        <w:rPr>
          <w:lang w:val="en"/>
        </w:rPr>
        <w:t>run time to fatigue decreased by SET3 (</w:t>
      </w:r>
      <w:r w:rsidRPr="005A6F0E">
        <w:rPr>
          <w:i/>
          <w:iCs/>
          <w:lang w:val="en"/>
        </w:rPr>
        <w:t>P</w:t>
      </w:r>
      <w:r w:rsidRPr="005A6F0E">
        <w:rPr>
          <w:lang w:val="en"/>
        </w:rPr>
        <w:t>=0.03; RESP, n = 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1180"/>
        <w:gridCol w:w="1400"/>
        <w:gridCol w:w="1400"/>
        <w:gridCol w:w="1419"/>
        <w:gridCol w:w="1421"/>
      </w:tblGrid>
      <w:tr w:rsidR="005A6F0E" w:rsidRPr="005A6F0E" w14:paraId="1DA3DB5D" w14:textId="77777777" w:rsidTr="005A6F0E">
        <w:tc>
          <w:tcPr>
            <w:tcW w:w="2340" w:type="dxa"/>
            <w:tcBorders>
              <w:top w:val="single" w:sz="4" w:space="0" w:color="auto"/>
              <w:bottom w:val="single" w:sz="4" w:space="0" w:color="auto"/>
            </w:tcBorders>
          </w:tcPr>
          <w:p w14:paraId="71586EDD" w14:textId="77777777" w:rsidR="005A6F0E" w:rsidRPr="00753E39" w:rsidRDefault="005A6F0E" w:rsidP="005A6F0E">
            <w:pPr>
              <w:spacing w:line="259" w:lineRule="auto"/>
              <w:rPr>
                <w:sz w:val="22"/>
                <w:szCs w:val="22"/>
                <w:lang w:val="es-ES"/>
              </w:rPr>
            </w:pPr>
            <w:r w:rsidRPr="00753E39">
              <w:rPr>
                <w:sz w:val="22"/>
                <w:szCs w:val="22"/>
                <w:lang w:val="es-ES"/>
              </w:rPr>
              <w:t>Variable,</w:t>
            </w:r>
          </w:p>
          <w:p w14:paraId="68A2147C" w14:textId="77777777" w:rsidR="005A6F0E" w:rsidRPr="00753E39" w:rsidRDefault="005A6F0E" w:rsidP="005A6F0E">
            <w:pPr>
              <w:spacing w:line="259" w:lineRule="auto"/>
              <w:rPr>
                <w:sz w:val="22"/>
                <w:szCs w:val="22"/>
                <w:lang w:val="es-ES"/>
              </w:rPr>
            </w:pPr>
            <w:r w:rsidRPr="00753E39">
              <w:rPr>
                <w:sz w:val="22"/>
                <w:szCs w:val="22"/>
                <w:lang w:val="es-ES"/>
              </w:rPr>
              <w:t>pmol O</w:t>
            </w:r>
            <w:r w:rsidRPr="00753E39">
              <w:rPr>
                <w:sz w:val="22"/>
                <w:szCs w:val="22"/>
                <w:vertAlign w:val="subscript"/>
                <w:lang w:val="es-ES"/>
              </w:rPr>
              <w:t>2</w:t>
            </w:r>
            <w:r w:rsidRPr="00753E39">
              <w:rPr>
                <w:sz w:val="22"/>
                <w:szCs w:val="22"/>
                <w:lang w:val="es-ES"/>
              </w:rPr>
              <w:t xml:space="preserve"> </w:t>
            </w:r>
            <w:r w:rsidRPr="005A6F0E">
              <w:rPr>
                <w:sz w:val="22"/>
                <w:szCs w:val="22"/>
                <w:lang w:val="en"/>
              </w:rPr>
              <w:sym w:font="Symbol" w:char="F0B7"/>
            </w:r>
            <w:r w:rsidRPr="00753E39">
              <w:rPr>
                <w:sz w:val="22"/>
                <w:szCs w:val="22"/>
                <w:lang w:val="es-ES"/>
              </w:rPr>
              <w:t xml:space="preserve"> sec</w:t>
            </w:r>
            <w:r w:rsidRPr="00753E39">
              <w:rPr>
                <w:sz w:val="22"/>
                <w:szCs w:val="22"/>
                <w:vertAlign w:val="superscript"/>
                <w:lang w:val="es-ES"/>
              </w:rPr>
              <w:t>-1</w:t>
            </w:r>
            <w:r w:rsidRPr="00753E39">
              <w:rPr>
                <w:sz w:val="22"/>
                <w:szCs w:val="22"/>
                <w:lang w:val="es-ES"/>
              </w:rPr>
              <w:t xml:space="preserve"> </w:t>
            </w:r>
            <w:r w:rsidRPr="005A6F0E">
              <w:rPr>
                <w:sz w:val="22"/>
                <w:szCs w:val="22"/>
                <w:lang w:val="en"/>
              </w:rPr>
              <w:sym w:font="Symbol" w:char="F0B7"/>
            </w:r>
            <w:r w:rsidRPr="00753E39">
              <w:rPr>
                <w:sz w:val="22"/>
                <w:szCs w:val="22"/>
                <w:lang w:val="es-ES"/>
              </w:rPr>
              <w:t xml:space="preserve"> mL</w:t>
            </w:r>
            <w:r w:rsidRPr="00753E39">
              <w:rPr>
                <w:sz w:val="22"/>
                <w:szCs w:val="22"/>
                <w:vertAlign w:val="superscript"/>
                <w:lang w:val="es-ES"/>
              </w:rPr>
              <w:t>-1</w:t>
            </w:r>
          </w:p>
        </w:tc>
        <w:tc>
          <w:tcPr>
            <w:tcW w:w="711" w:type="dxa"/>
            <w:tcBorders>
              <w:top w:val="single" w:sz="4" w:space="0" w:color="auto"/>
              <w:bottom w:val="single" w:sz="4" w:space="0" w:color="auto"/>
            </w:tcBorders>
            <w:vAlign w:val="bottom"/>
          </w:tcPr>
          <w:p w14:paraId="2CF8D129" w14:textId="77777777" w:rsidR="005A6F0E" w:rsidRPr="005A6F0E" w:rsidRDefault="005A6F0E" w:rsidP="005A6F0E">
            <w:pPr>
              <w:spacing w:line="259" w:lineRule="auto"/>
              <w:rPr>
                <w:sz w:val="22"/>
                <w:szCs w:val="22"/>
                <w:lang w:val="en"/>
              </w:rPr>
            </w:pPr>
            <w:r w:rsidRPr="005A6F0E">
              <w:rPr>
                <w:sz w:val="22"/>
                <w:szCs w:val="22"/>
                <w:lang w:val="en"/>
              </w:rPr>
              <w:t>Treatment</w:t>
            </w:r>
          </w:p>
        </w:tc>
        <w:tc>
          <w:tcPr>
            <w:tcW w:w="1489" w:type="dxa"/>
            <w:tcBorders>
              <w:top w:val="single" w:sz="4" w:space="0" w:color="auto"/>
              <w:bottom w:val="single" w:sz="4" w:space="0" w:color="auto"/>
            </w:tcBorders>
            <w:vAlign w:val="bottom"/>
          </w:tcPr>
          <w:p w14:paraId="607CCBE3" w14:textId="77777777" w:rsidR="005A6F0E" w:rsidRPr="005A6F0E" w:rsidRDefault="005A6F0E" w:rsidP="005A6F0E">
            <w:pPr>
              <w:spacing w:line="259" w:lineRule="auto"/>
              <w:jc w:val="center"/>
              <w:rPr>
                <w:sz w:val="22"/>
                <w:szCs w:val="22"/>
                <w:lang w:val="en"/>
              </w:rPr>
            </w:pPr>
            <w:r w:rsidRPr="005A6F0E">
              <w:rPr>
                <w:sz w:val="22"/>
                <w:szCs w:val="22"/>
                <w:lang w:val="en"/>
              </w:rPr>
              <w:t>d 0</w:t>
            </w:r>
          </w:p>
        </w:tc>
        <w:tc>
          <w:tcPr>
            <w:tcW w:w="1489" w:type="dxa"/>
            <w:tcBorders>
              <w:top w:val="single" w:sz="4" w:space="0" w:color="auto"/>
              <w:bottom w:val="single" w:sz="4" w:space="0" w:color="auto"/>
            </w:tcBorders>
            <w:vAlign w:val="bottom"/>
          </w:tcPr>
          <w:p w14:paraId="2EA6B3EF" w14:textId="77777777" w:rsidR="005A6F0E" w:rsidRPr="005A6F0E" w:rsidRDefault="005A6F0E" w:rsidP="005A6F0E">
            <w:pPr>
              <w:spacing w:line="259" w:lineRule="auto"/>
              <w:jc w:val="center"/>
              <w:rPr>
                <w:sz w:val="22"/>
                <w:szCs w:val="22"/>
                <w:lang w:val="en"/>
              </w:rPr>
            </w:pPr>
            <w:r w:rsidRPr="005A6F0E">
              <w:rPr>
                <w:sz w:val="22"/>
                <w:szCs w:val="22"/>
                <w:lang w:val="en"/>
              </w:rPr>
              <w:t>d 2</w:t>
            </w:r>
          </w:p>
        </w:tc>
        <w:tc>
          <w:tcPr>
            <w:tcW w:w="1498" w:type="dxa"/>
            <w:tcBorders>
              <w:top w:val="single" w:sz="4" w:space="0" w:color="auto"/>
              <w:bottom w:val="single" w:sz="4" w:space="0" w:color="auto"/>
            </w:tcBorders>
            <w:vAlign w:val="bottom"/>
          </w:tcPr>
          <w:p w14:paraId="4C51A3F3" w14:textId="77777777" w:rsidR="005A6F0E" w:rsidRPr="005A6F0E" w:rsidRDefault="005A6F0E" w:rsidP="005A6F0E">
            <w:pPr>
              <w:spacing w:line="259" w:lineRule="auto"/>
              <w:jc w:val="center"/>
              <w:rPr>
                <w:sz w:val="22"/>
                <w:szCs w:val="22"/>
                <w:lang w:val="en"/>
              </w:rPr>
            </w:pPr>
            <w:r w:rsidRPr="005A6F0E">
              <w:rPr>
                <w:sz w:val="22"/>
                <w:szCs w:val="22"/>
                <w:lang w:val="en"/>
              </w:rPr>
              <w:t>d 4</w:t>
            </w:r>
          </w:p>
        </w:tc>
        <w:tc>
          <w:tcPr>
            <w:tcW w:w="1499" w:type="dxa"/>
            <w:tcBorders>
              <w:top w:val="single" w:sz="4" w:space="0" w:color="auto"/>
              <w:bottom w:val="single" w:sz="4" w:space="0" w:color="auto"/>
            </w:tcBorders>
            <w:vAlign w:val="bottom"/>
          </w:tcPr>
          <w:p w14:paraId="730B9018" w14:textId="77777777" w:rsidR="005A6F0E" w:rsidRPr="005A6F0E" w:rsidRDefault="005A6F0E" w:rsidP="005A6F0E">
            <w:pPr>
              <w:spacing w:line="259" w:lineRule="auto"/>
              <w:rPr>
                <w:sz w:val="22"/>
                <w:szCs w:val="22"/>
                <w:lang w:val="en"/>
              </w:rPr>
            </w:pPr>
            <w:r w:rsidRPr="005A6F0E">
              <w:rPr>
                <w:i/>
                <w:iCs/>
                <w:sz w:val="22"/>
                <w:szCs w:val="22"/>
                <w:lang w:val="en"/>
              </w:rPr>
              <w:t>P</w:t>
            </w:r>
            <w:r w:rsidRPr="005A6F0E">
              <w:rPr>
                <w:sz w:val="22"/>
                <w:szCs w:val="22"/>
                <w:lang w:val="en"/>
              </w:rPr>
              <w:t>-value</w:t>
            </w:r>
          </w:p>
        </w:tc>
      </w:tr>
      <w:tr w:rsidR="005A6F0E" w:rsidRPr="005A6F0E" w14:paraId="0D2DD9B0" w14:textId="77777777" w:rsidTr="005A6F0E">
        <w:tc>
          <w:tcPr>
            <w:tcW w:w="2340" w:type="dxa"/>
            <w:tcBorders>
              <w:top w:val="single" w:sz="4" w:space="0" w:color="auto"/>
            </w:tcBorders>
            <w:shd w:val="clear" w:color="auto" w:fill="E8E8E8" w:themeFill="background2"/>
          </w:tcPr>
          <w:p w14:paraId="32232ED1" w14:textId="77777777" w:rsidR="005A6F0E" w:rsidRPr="005A6F0E" w:rsidRDefault="005A6F0E" w:rsidP="005A6F0E">
            <w:pPr>
              <w:spacing w:line="259" w:lineRule="auto"/>
              <w:rPr>
                <w:sz w:val="22"/>
                <w:szCs w:val="22"/>
                <w:lang w:val="en"/>
              </w:rPr>
            </w:pPr>
            <w:r w:rsidRPr="005A6F0E">
              <w:rPr>
                <w:sz w:val="22"/>
                <w:szCs w:val="22"/>
                <w:lang w:val="en"/>
              </w:rPr>
              <w:t>Leak</w:t>
            </w:r>
          </w:p>
        </w:tc>
        <w:tc>
          <w:tcPr>
            <w:tcW w:w="711" w:type="dxa"/>
            <w:tcBorders>
              <w:top w:val="single" w:sz="4" w:space="0" w:color="auto"/>
            </w:tcBorders>
            <w:shd w:val="clear" w:color="auto" w:fill="E8E8E8" w:themeFill="background2"/>
          </w:tcPr>
          <w:p w14:paraId="0AC7CBF7" w14:textId="77777777" w:rsidR="005A6F0E" w:rsidRPr="005A6F0E" w:rsidRDefault="005A6F0E" w:rsidP="005A6F0E">
            <w:pPr>
              <w:spacing w:line="259" w:lineRule="auto"/>
              <w:rPr>
                <w:sz w:val="22"/>
                <w:szCs w:val="22"/>
                <w:lang w:val="en"/>
              </w:rPr>
            </w:pPr>
            <w:r w:rsidRPr="005A6F0E">
              <w:rPr>
                <w:sz w:val="22"/>
                <w:szCs w:val="22"/>
                <w:lang w:val="en"/>
              </w:rPr>
              <w:t>NON</w:t>
            </w:r>
          </w:p>
        </w:tc>
        <w:tc>
          <w:tcPr>
            <w:tcW w:w="1489" w:type="dxa"/>
            <w:tcBorders>
              <w:top w:val="single" w:sz="4" w:space="0" w:color="auto"/>
            </w:tcBorders>
            <w:shd w:val="clear" w:color="auto" w:fill="E8E8E8" w:themeFill="background2"/>
          </w:tcPr>
          <w:p w14:paraId="2DE87383" w14:textId="77777777" w:rsidR="005A6F0E" w:rsidRPr="005A6F0E" w:rsidRDefault="005A6F0E" w:rsidP="005A6F0E">
            <w:pPr>
              <w:spacing w:line="259" w:lineRule="auto"/>
              <w:rPr>
                <w:sz w:val="22"/>
                <w:szCs w:val="22"/>
                <w:lang w:val="en"/>
              </w:rPr>
            </w:pPr>
            <w:r w:rsidRPr="005A6F0E">
              <w:rPr>
                <w:sz w:val="22"/>
                <w:szCs w:val="22"/>
                <w:lang w:val="en"/>
              </w:rPr>
              <w:t xml:space="preserve">9.3 </w:t>
            </w:r>
            <w:r w:rsidRPr="005A6F0E">
              <w:rPr>
                <w:sz w:val="22"/>
                <w:szCs w:val="22"/>
                <w:lang w:val="en"/>
              </w:rPr>
              <w:sym w:font="Symbol" w:char="F0B1"/>
            </w:r>
            <w:r w:rsidRPr="005A6F0E">
              <w:rPr>
                <w:sz w:val="22"/>
                <w:szCs w:val="22"/>
                <w:lang w:val="en"/>
              </w:rPr>
              <w:t xml:space="preserve"> 1.8</w:t>
            </w:r>
          </w:p>
        </w:tc>
        <w:tc>
          <w:tcPr>
            <w:tcW w:w="1489" w:type="dxa"/>
            <w:tcBorders>
              <w:top w:val="single" w:sz="4" w:space="0" w:color="auto"/>
            </w:tcBorders>
            <w:shd w:val="clear" w:color="auto" w:fill="E8E8E8" w:themeFill="background2"/>
          </w:tcPr>
          <w:p w14:paraId="49A42595" w14:textId="77777777" w:rsidR="005A6F0E" w:rsidRPr="005A6F0E" w:rsidRDefault="005A6F0E" w:rsidP="005A6F0E">
            <w:pPr>
              <w:spacing w:line="259" w:lineRule="auto"/>
              <w:rPr>
                <w:sz w:val="22"/>
                <w:szCs w:val="22"/>
                <w:lang w:val="en"/>
              </w:rPr>
            </w:pPr>
            <w:r w:rsidRPr="005A6F0E">
              <w:rPr>
                <w:sz w:val="22"/>
                <w:szCs w:val="22"/>
                <w:lang w:val="en"/>
              </w:rPr>
              <w:t xml:space="preserve">8.2 </w:t>
            </w:r>
            <w:r w:rsidRPr="005A6F0E">
              <w:rPr>
                <w:sz w:val="22"/>
                <w:szCs w:val="22"/>
                <w:lang w:val="en"/>
              </w:rPr>
              <w:sym w:font="Symbol" w:char="F0B1"/>
            </w:r>
            <w:r w:rsidRPr="005A6F0E">
              <w:rPr>
                <w:sz w:val="22"/>
                <w:szCs w:val="22"/>
                <w:lang w:val="en"/>
              </w:rPr>
              <w:t xml:space="preserve"> 1.7</w:t>
            </w:r>
          </w:p>
        </w:tc>
        <w:tc>
          <w:tcPr>
            <w:tcW w:w="1498" w:type="dxa"/>
            <w:tcBorders>
              <w:top w:val="single" w:sz="4" w:space="0" w:color="auto"/>
            </w:tcBorders>
            <w:shd w:val="clear" w:color="auto" w:fill="E8E8E8" w:themeFill="background2"/>
          </w:tcPr>
          <w:p w14:paraId="3942996D" w14:textId="77777777" w:rsidR="005A6F0E" w:rsidRPr="005A6F0E" w:rsidRDefault="005A6F0E" w:rsidP="005A6F0E">
            <w:pPr>
              <w:spacing w:line="259" w:lineRule="auto"/>
              <w:rPr>
                <w:sz w:val="22"/>
                <w:szCs w:val="22"/>
                <w:lang w:val="en"/>
              </w:rPr>
            </w:pPr>
            <w:r w:rsidRPr="005A6F0E">
              <w:rPr>
                <w:sz w:val="22"/>
                <w:szCs w:val="22"/>
                <w:lang w:val="en"/>
              </w:rPr>
              <w:t xml:space="preserve">6.1 </w:t>
            </w:r>
            <w:r w:rsidRPr="005A6F0E">
              <w:rPr>
                <w:sz w:val="22"/>
                <w:szCs w:val="22"/>
                <w:lang w:val="en"/>
              </w:rPr>
              <w:sym w:font="Symbol" w:char="F0B1"/>
            </w:r>
            <w:r w:rsidRPr="005A6F0E">
              <w:rPr>
                <w:sz w:val="22"/>
                <w:szCs w:val="22"/>
                <w:lang w:val="en"/>
              </w:rPr>
              <w:t xml:space="preserve"> 1.7</w:t>
            </w:r>
          </w:p>
        </w:tc>
        <w:tc>
          <w:tcPr>
            <w:tcW w:w="1499" w:type="dxa"/>
            <w:tcBorders>
              <w:top w:val="single" w:sz="4" w:space="0" w:color="auto"/>
            </w:tcBorders>
            <w:shd w:val="clear" w:color="auto" w:fill="E8E8E8" w:themeFill="background2"/>
          </w:tcPr>
          <w:p w14:paraId="4B04AB56" w14:textId="77777777" w:rsidR="005A6F0E" w:rsidRPr="005A6F0E" w:rsidRDefault="005A6F0E" w:rsidP="005A6F0E">
            <w:pPr>
              <w:spacing w:line="259" w:lineRule="auto"/>
              <w:rPr>
                <w:sz w:val="22"/>
                <w:szCs w:val="22"/>
                <w:lang w:val="en"/>
              </w:rPr>
            </w:pPr>
            <w:r w:rsidRPr="005A6F0E">
              <w:rPr>
                <w:sz w:val="22"/>
                <w:szCs w:val="22"/>
                <w:lang w:val="en"/>
              </w:rPr>
              <w:t>0.355</w:t>
            </w:r>
          </w:p>
        </w:tc>
      </w:tr>
      <w:tr w:rsidR="005A6F0E" w:rsidRPr="005A6F0E" w14:paraId="1B281897" w14:textId="77777777" w:rsidTr="005A6F0E">
        <w:tc>
          <w:tcPr>
            <w:tcW w:w="2340" w:type="dxa"/>
            <w:shd w:val="clear" w:color="auto" w:fill="E8E8E8" w:themeFill="background2"/>
          </w:tcPr>
          <w:p w14:paraId="3304E771" w14:textId="77777777" w:rsidR="005A6F0E" w:rsidRPr="005A6F0E" w:rsidRDefault="005A6F0E" w:rsidP="005A6F0E">
            <w:pPr>
              <w:spacing w:line="259" w:lineRule="auto"/>
              <w:rPr>
                <w:sz w:val="22"/>
                <w:szCs w:val="22"/>
                <w:lang w:val="en"/>
              </w:rPr>
            </w:pPr>
          </w:p>
        </w:tc>
        <w:tc>
          <w:tcPr>
            <w:tcW w:w="711" w:type="dxa"/>
            <w:shd w:val="clear" w:color="auto" w:fill="E8E8E8" w:themeFill="background2"/>
          </w:tcPr>
          <w:p w14:paraId="5E2F9DDC" w14:textId="77777777" w:rsidR="005A6F0E" w:rsidRPr="005A6F0E" w:rsidRDefault="005A6F0E" w:rsidP="005A6F0E">
            <w:pPr>
              <w:spacing w:line="259" w:lineRule="auto"/>
              <w:rPr>
                <w:sz w:val="22"/>
                <w:szCs w:val="22"/>
                <w:lang w:val="en"/>
              </w:rPr>
            </w:pPr>
            <w:r w:rsidRPr="005A6F0E">
              <w:rPr>
                <w:sz w:val="22"/>
                <w:szCs w:val="22"/>
                <w:lang w:val="en"/>
              </w:rPr>
              <w:t>RESP</w:t>
            </w:r>
          </w:p>
        </w:tc>
        <w:tc>
          <w:tcPr>
            <w:tcW w:w="1489" w:type="dxa"/>
            <w:shd w:val="clear" w:color="auto" w:fill="E8E8E8" w:themeFill="background2"/>
          </w:tcPr>
          <w:p w14:paraId="63C7E985" w14:textId="77777777" w:rsidR="005A6F0E" w:rsidRPr="005A6F0E" w:rsidRDefault="005A6F0E" w:rsidP="005A6F0E">
            <w:pPr>
              <w:spacing w:line="259" w:lineRule="auto"/>
              <w:rPr>
                <w:sz w:val="22"/>
                <w:szCs w:val="22"/>
                <w:lang w:val="en"/>
              </w:rPr>
            </w:pPr>
            <w:r w:rsidRPr="005A6F0E">
              <w:rPr>
                <w:sz w:val="22"/>
                <w:szCs w:val="22"/>
                <w:lang w:val="en"/>
              </w:rPr>
              <w:t xml:space="preserve">5.3 </w:t>
            </w:r>
            <w:r w:rsidRPr="005A6F0E">
              <w:rPr>
                <w:sz w:val="22"/>
                <w:szCs w:val="22"/>
                <w:lang w:val="en"/>
              </w:rPr>
              <w:sym w:font="Symbol" w:char="F0B1"/>
            </w:r>
            <w:r w:rsidRPr="005A6F0E">
              <w:rPr>
                <w:sz w:val="22"/>
                <w:szCs w:val="22"/>
                <w:lang w:val="en"/>
              </w:rPr>
              <w:t xml:space="preserve"> 0.8</w:t>
            </w:r>
          </w:p>
        </w:tc>
        <w:tc>
          <w:tcPr>
            <w:tcW w:w="1489" w:type="dxa"/>
            <w:shd w:val="clear" w:color="auto" w:fill="E8E8E8" w:themeFill="background2"/>
          </w:tcPr>
          <w:p w14:paraId="0756830A" w14:textId="77777777" w:rsidR="005A6F0E" w:rsidRPr="005A6F0E" w:rsidRDefault="005A6F0E" w:rsidP="005A6F0E">
            <w:pPr>
              <w:spacing w:line="259" w:lineRule="auto"/>
              <w:rPr>
                <w:sz w:val="22"/>
                <w:szCs w:val="22"/>
                <w:lang w:val="en"/>
              </w:rPr>
            </w:pPr>
            <w:r w:rsidRPr="005A6F0E">
              <w:rPr>
                <w:sz w:val="22"/>
                <w:szCs w:val="22"/>
                <w:lang w:val="en"/>
              </w:rPr>
              <w:t xml:space="preserve">6.0 </w:t>
            </w:r>
            <w:r w:rsidRPr="005A6F0E">
              <w:rPr>
                <w:sz w:val="22"/>
                <w:szCs w:val="22"/>
                <w:lang w:val="en"/>
              </w:rPr>
              <w:sym w:font="Symbol" w:char="F0B1"/>
            </w:r>
            <w:r w:rsidRPr="005A6F0E">
              <w:rPr>
                <w:sz w:val="22"/>
                <w:szCs w:val="22"/>
                <w:lang w:val="en"/>
              </w:rPr>
              <w:t xml:space="preserve"> 0.6</w:t>
            </w:r>
          </w:p>
        </w:tc>
        <w:tc>
          <w:tcPr>
            <w:tcW w:w="1498" w:type="dxa"/>
            <w:shd w:val="clear" w:color="auto" w:fill="E8E8E8" w:themeFill="background2"/>
          </w:tcPr>
          <w:p w14:paraId="1CEDC371" w14:textId="77777777" w:rsidR="005A6F0E" w:rsidRPr="005A6F0E" w:rsidRDefault="005A6F0E" w:rsidP="005A6F0E">
            <w:pPr>
              <w:spacing w:line="259" w:lineRule="auto"/>
              <w:rPr>
                <w:sz w:val="22"/>
                <w:szCs w:val="22"/>
                <w:lang w:val="en"/>
              </w:rPr>
            </w:pPr>
            <w:r w:rsidRPr="005A6F0E">
              <w:rPr>
                <w:sz w:val="22"/>
                <w:szCs w:val="22"/>
                <w:lang w:val="en"/>
              </w:rPr>
              <w:t xml:space="preserve">2.9 </w:t>
            </w:r>
            <w:r w:rsidRPr="005A6F0E">
              <w:rPr>
                <w:sz w:val="22"/>
                <w:szCs w:val="22"/>
                <w:lang w:val="en"/>
              </w:rPr>
              <w:sym w:font="Symbol" w:char="F0B1"/>
            </w:r>
            <w:r w:rsidRPr="005A6F0E">
              <w:rPr>
                <w:sz w:val="22"/>
                <w:szCs w:val="22"/>
                <w:lang w:val="en"/>
              </w:rPr>
              <w:t xml:space="preserve"> 0.3*</w:t>
            </w:r>
          </w:p>
        </w:tc>
        <w:tc>
          <w:tcPr>
            <w:tcW w:w="1499" w:type="dxa"/>
            <w:shd w:val="clear" w:color="auto" w:fill="E8E8E8" w:themeFill="background2"/>
          </w:tcPr>
          <w:p w14:paraId="686F915A" w14:textId="77777777" w:rsidR="005A6F0E" w:rsidRPr="005A6F0E" w:rsidRDefault="005A6F0E" w:rsidP="005A6F0E">
            <w:pPr>
              <w:spacing w:line="259" w:lineRule="auto"/>
              <w:rPr>
                <w:b/>
                <w:bCs/>
                <w:sz w:val="22"/>
                <w:szCs w:val="22"/>
                <w:lang w:val="en"/>
              </w:rPr>
            </w:pPr>
            <w:r w:rsidRPr="005A6F0E">
              <w:rPr>
                <w:b/>
                <w:bCs/>
                <w:sz w:val="22"/>
                <w:szCs w:val="22"/>
                <w:lang w:val="en"/>
              </w:rPr>
              <w:t>0.026</w:t>
            </w:r>
          </w:p>
        </w:tc>
      </w:tr>
      <w:tr w:rsidR="005A6F0E" w:rsidRPr="005A6F0E" w14:paraId="07048E0A" w14:textId="77777777" w:rsidTr="005A6F0E">
        <w:tc>
          <w:tcPr>
            <w:tcW w:w="2340" w:type="dxa"/>
          </w:tcPr>
          <w:p w14:paraId="6C442C19" w14:textId="77777777" w:rsidR="005A6F0E" w:rsidRPr="005A6F0E" w:rsidRDefault="005A6F0E" w:rsidP="005A6F0E">
            <w:pPr>
              <w:spacing w:line="259" w:lineRule="auto"/>
              <w:rPr>
                <w:sz w:val="22"/>
                <w:szCs w:val="22"/>
                <w:lang w:val="en"/>
              </w:rPr>
            </w:pPr>
            <w:r w:rsidRPr="005A6F0E">
              <w:rPr>
                <w:sz w:val="22"/>
                <w:szCs w:val="22"/>
                <w:lang w:val="en"/>
              </w:rPr>
              <w:t>P</w:t>
            </w:r>
            <w:r w:rsidRPr="005A6F0E">
              <w:rPr>
                <w:sz w:val="22"/>
                <w:szCs w:val="22"/>
                <w:vertAlign w:val="subscript"/>
                <w:lang w:val="en"/>
              </w:rPr>
              <w:t>CI</w:t>
            </w:r>
          </w:p>
        </w:tc>
        <w:tc>
          <w:tcPr>
            <w:tcW w:w="711" w:type="dxa"/>
          </w:tcPr>
          <w:p w14:paraId="0E5CB3B8" w14:textId="77777777" w:rsidR="005A6F0E" w:rsidRPr="005A6F0E" w:rsidRDefault="005A6F0E" w:rsidP="005A6F0E">
            <w:pPr>
              <w:spacing w:line="259" w:lineRule="auto"/>
              <w:rPr>
                <w:sz w:val="22"/>
                <w:szCs w:val="22"/>
                <w:lang w:val="en"/>
              </w:rPr>
            </w:pPr>
            <w:r w:rsidRPr="005A6F0E">
              <w:rPr>
                <w:sz w:val="22"/>
                <w:szCs w:val="22"/>
                <w:lang w:val="en"/>
              </w:rPr>
              <w:t>NON</w:t>
            </w:r>
          </w:p>
        </w:tc>
        <w:tc>
          <w:tcPr>
            <w:tcW w:w="1489" w:type="dxa"/>
          </w:tcPr>
          <w:p w14:paraId="15675E42" w14:textId="77777777" w:rsidR="005A6F0E" w:rsidRPr="005A6F0E" w:rsidRDefault="005A6F0E" w:rsidP="005A6F0E">
            <w:pPr>
              <w:spacing w:line="259" w:lineRule="auto"/>
              <w:rPr>
                <w:sz w:val="22"/>
                <w:szCs w:val="22"/>
                <w:lang w:val="en"/>
              </w:rPr>
            </w:pPr>
            <w:r w:rsidRPr="005A6F0E">
              <w:rPr>
                <w:sz w:val="22"/>
                <w:szCs w:val="22"/>
                <w:lang w:val="en"/>
              </w:rPr>
              <w:t xml:space="preserve">27.3 </w:t>
            </w:r>
            <w:r w:rsidRPr="005A6F0E">
              <w:rPr>
                <w:sz w:val="22"/>
                <w:szCs w:val="22"/>
                <w:lang w:val="en"/>
              </w:rPr>
              <w:sym w:font="Symbol" w:char="F0B1"/>
            </w:r>
            <w:r w:rsidRPr="005A6F0E">
              <w:rPr>
                <w:sz w:val="22"/>
                <w:szCs w:val="22"/>
                <w:lang w:val="en"/>
              </w:rPr>
              <w:t xml:space="preserve"> 6.5</w:t>
            </w:r>
          </w:p>
        </w:tc>
        <w:tc>
          <w:tcPr>
            <w:tcW w:w="1489" w:type="dxa"/>
          </w:tcPr>
          <w:p w14:paraId="3997B73C" w14:textId="77777777" w:rsidR="005A6F0E" w:rsidRPr="005A6F0E" w:rsidRDefault="005A6F0E" w:rsidP="005A6F0E">
            <w:pPr>
              <w:spacing w:line="259" w:lineRule="auto"/>
              <w:rPr>
                <w:sz w:val="22"/>
                <w:szCs w:val="22"/>
                <w:lang w:val="en"/>
              </w:rPr>
            </w:pPr>
            <w:r w:rsidRPr="005A6F0E">
              <w:rPr>
                <w:sz w:val="22"/>
                <w:szCs w:val="22"/>
                <w:lang w:val="en"/>
              </w:rPr>
              <w:t xml:space="preserve">31.9 </w:t>
            </w:r>
            <w:r w:rsidRPr="005A6F0E">
              <w:rPr>
                <w:sz w:val="22"/>
                <w:szCs w:val="22"/>
                <w:lang w:val="en"/>
              </w:rPr>
              <w:sym w:font="Symbol" w:char="F0B1"/>
            </w:r>
            <w:r w:rsidRPr="005A6F0E">
              <w:rPr>
                <w:sz w:val="22"/>
                <w:szCs w:val="22"/>
                <w:lang w:val="en"/>
              </w:rPr>
              <w:t xml:space="preserve"> 4.2</w:t>
            </w:r>
          </w:p>
        </w:tc>
        <w:tc>
          <w:tcPr>
            <w:tcW w:w="1498" w:type="dxa"/>
          </w:tcPr>
          <w:p w14:paraId="0C5D478D" w14:textId="77777777" w:rsidR="005A6F0E" w:rsidRPr="005A6F0E" w:rsidRDefault="005A6F0E" w:rsidP="005A6F0E">
            <w:pPr>
              <w:spacing w:line="259" w:lineRule="auto"/>
              <w:rPr>
                <w:sz w:val="22"/>
                <w:szCs w:val="22"/>
                <w:lang w:val="en"/>
              </w:rPr>
            </w:pPr>
            <w:r w:rsidRPr="005A6F0E">
              <w:rPr>
                <w:sz w:val="22"/>
                <w:szCs w:val="22"/>
                <w:lang w:val="en"/>
              </w:rPr>
              <w:t xml:space="preserve">25.4 </w:t>
            </w:r>
            <w:r w:rsidRPr="005A6F0E">
              <w:rPr>
                <w:sz w:val="22"/>
                <w:szCs w:val="22"/>
                <w:lang w:val="en"/>
              </w:rPr>
              <w:sym w:font="Symbol" w:char="F0B1"/>
            </w:r>
            <w:r w:rsidRPr="005A6F0E">
              <w:rPr>
                <w:sz w:val="22"/>
                <w:szCs w:val="22"/>
                <w:lang w:val="en"/>
              </w:rPr>
              <w:t xml:space="preserve"> 4.0</w:t>
            </w:r>
          </w:p>
        </w:tc>
        <w:tc>
          <w:tcPr>
            <w:tcW w:w="1499" w:type="dxa"/>
          </w:tcPr>
          <w:p w14:paraId="718E9C06" w14:textId="77777777" w:rsidR="005A6F0E" w:rsidRPr="005A6F0E" w:rsidRDefault="005A6F0E" w:rsidP="005A6F0E">
            <w:pPr>
              <w:spacing w:line="259" w:lineRule="auto"/>
              <w:rPr>
                <w:sz w:val="22"/>
                <w:szCs w:val="22"/>
                <w:lang w:val="en"/>
              </w:rPr>
            </w:pPr>
            <w:r w:rsidRPr="005A6F0E">
              <w:rPr>
                <w:sz w:val="22"/>
                <w:szCs w:val="22"/>
                <w:lang w:val="en"/>
              </w:rPr>
              <w:t>0.600</w:t>
            </w:r>
          </w:p>
        </w:tc>
      </w:tr>
      <w:tr w:rsidR="005A6F0E" w:rsidRPr="005A6F0E" w14:paraId="3304000F" w14:textId="77777777" w:rsidTr="005A6F0E">
        <w:tc>
          <w:tcPr>
            <w:tcW w:w="2340" w:type="dxa"/>
          </w:tcPr>
          <w:p w14:paraId="54C9D2D9" w14:textId="77777777" w:rsidR="005A6F0E" w:rsidRPr="005A6F0E" w:rsidRDefault="005A6F0E" w:rsidP="005A6F0E">
            <w:pPr>
              <w:spacing w:line="259" w:lineRule="auto"/>
              <w:rPr>
                <w:sz w:val="22"/>
                <w:szCs w:val="22"/>
                <w:lang w:val="en"/>
              </w:rPr>
            </w:pPr>
          </w:p>
        </w:tc>
        <w:tc>
          <w:tcPr>
            <w:tcW w:w="711" w:type="dxa"/>
          </w:tcPr>
          <w:p w14:paraId="5DAAB808" w14:textId="77777777" w:rsidR="005A6F0E" w:rsidRPr="005A6F0E" w:rsidRDefault="005A6F0E" w:rsidP="005A6F0E">
            <w:pPr>
              <w:spacing w:line="259" w:lineRule="auto"/>
              <w:rPr>
                <w:sz w:val="22"/>
                <w:szCs w:val="22"/>
                <w:lang w:val="en"/>
              </w:rPr>
            </w:pPr>
            <w:r w:rsidRPr="005A6F0E">
              <w:rPr>
                <w:sz w:val="22"/>
                <w:szCs w:val="22"/>
                <w:lang w:val="en"/>
              </w:rPr>
              <w:t>RESP</w:t>
            </w:r>
          </w:p>
        </w:tc>
        <w:tc>
          <w:tcPr>
            <w:tcW w:w="1489" w:type="dxa"/>
          </w:tcPr>
          <w:p w14:paraId="7962E5A4" w14:textId="77777777" w:rsidR="005A6F0E" w:rsidRPr="005A6F0E" w:rsidRDefault="005A6F0E" w:rsidP="005A6F0E">
            <w:pPr>
              <w:spacing w:line="259" w:lineRule="auto"/>
              <w:rPr>
                <w:sz w:val="22"/>
                <w:szCs w:val="22"/>
                <w:lang w:val="en"/>
              </w:rPr>
            </w:pPr>
            <w:r w:rsidRPr="005A6F0E">
              <w:rPr>
                <w:sz w:val="22"/>
                <w:szCs w:val="22"/>
                <w:lang w:val="en"/>
              </w:rPr>
              <w:t xml:space="preserve">18.7 </w:t>
            </w:r>
            <w:r w:rsidRPr="005A6F0E">
              <w:rPr>
                <w:sz w:val="22"/>
                <w:szCs w:val="22"/>
                <w:lang w:val="en"/>
              </w:rPr>
              <w:sym w:font="Symbol" w:char="F0B1"/>
            </w:r>
            <w:r w:rsidRPr="005A6F0E">
              <w:rPr>
                <w:sz w:val="22"/>
                <w:szCs w:val="22"/>
                <w:lang w:val="en"/>
              </w:rPr>
              <w:t xml:space="preserve"> 3.7</w:t>
            </w:r>
          </w:p>
        </w:tc>
        <w:tc>
          <w:tcPr>
            <w:tcW w:w="1489" w:type="dxa"/>
          </w:tcPr>
          <w:p w14:paraId="6210C381" w14:textId="77777777" w:rsidR="005A6F0E" w:rsidRPr="005A6F0E" w:rsidRDefault="005A6F0E" w:rsidP="005A6F0E">
            <w:pPr>
              <w:spacing w:line="259" w:lineRule="auto"/>
              <w:rPr>
                <w:sz w:val="22"/>
                <w:szCs w:val="22"/>
                <w:lang w:val="en"/>
              </w:rPr>
            </w:pPr>
            <w:r w:rsidRPr="005A6F0E">
              <w:rPr>
                <w:sz w:val="22"/>
                <w:szCs w:val="22"/>
                <w:lang w:val="en"/>
              </w:rPr>
              <w:t xml:space="preserve">25.5 </w:t>
            </w:r>
            <w:r w:rsidRPr="005A6F0E">
              <w:rPr>
                <w:sz w:val="22"/>
                <w:szCs w:val="22"/>
                <w:lang w:val="en"/>
              </w:rPr>
              <w:sym w:font="Symbol" w:char="F0B1"/>
            </w:r>
            <w:r w:rsidRPr="005A6F0E">
              <w:rPr>
                <w:sz w:val="22"/>
                <w:szCs w:val="22"/>
                <w:lang w:val="en"/>
              </w:rPr>
              <w:t xml:space="preserve"> 1.4</w:t>
            </w:r>
          </w:p>
        </w:tc>
        <w:tc>
          <w:tcPr>
            <w:tcW w:w="1498" w:type="dxa"/>
          </w:tcPr>
          <w:p w14:paraId="38292087" w14:textId="77777777" w:rsidR="005A6F0E" w:rsidRPr="005A6F0E" w:rsidRDefault="005A6F0E" w:rsidP="005A6F0E">
            <w:pPr>
              <w:spacing w:line="259" w:lineRule="auto"/>
              <w:rPr>
                <w:sz w:val="22"/>
                <w:szCs w:val="22"/>
                <w:lang w:val="en"/>
              </w:rPr>
            </w:pPr>
            <w:r w:rsidRPr="005A6F0E">
              <w:rPr>
                <w:sz w:val="22"/>
                <w:szCs w:val="22"/>
                <w:lang w:val="en"/>
              </w:rPr>
              <w:t xml:space="preserve">9.0 </w:t>
            </w:r>
            <w:r w:rsidRPr="005A6F0E">
              <w:rPr>
                <w:sz w:val="22"/>
                <w:szCs w:val="22"/>
                <w:lang w:val="en"/>
              </w:rPr>
              <w:sym w:font="Symbol" w:char="F0B1"/>
            </w:r>
            <w:r w:rsidRPr="005A6F0E">
              <w:rPr>
                <w:sz w:val="22"/>
                <w:szCs w:val="22"/>
                <w:lang w:val="en"/>
              </w:rPr>
              <w:t xml:space="preserve"> 1.8*</w:t>
            </w:r>
          </w:p>
        </w:tc>
        <w:tc>
          <w:tcPr>
            <w:tcW w:w="1499" w:type="dxa"/>
          </w:tcPr>
          <w:p w14:paraId="1CD1ADC4" w14:textId="77777777" w:rsidR="005A6F0E" w:rsidRPr="005A6F0E" w:rsidRDefault="005A6F0E" w:rsidP="005A6F0E">
            <w:pPr>
              <w:spacing w:line="259" w:lineRule="auto"/>
              <w:rPr>
                <w:b/>
                <w:bCs/>
                <w:sz w:val="22"/>
                <w:szCs w:val="22"/>
                <w:lang w:val="en"/>
              </w:rPr>
            </w:pPr>
            <w:r w:rsidRPr="005A6F0E">
              <w:rPr>
                <w:b/>
                <w:bCs/>
                <w:sz w:val="22"/>
                <w:szCs w:val="22"/>
                <w:lang w:val="en"/>
              </w:rPr>
              <w:t>0.010</w:t>
            </w:r>
          </w:p>
        </w:tc>
      </w:tr>
      <w:tr w:rsidR="005A6F0E" w:rsidRPr="005A6F0E" w14:paraId="34A506C4" w14:textId="77777777" w:rsidTr="005A6F0E">
        <w:tc>
          <w:tcPr>
            <w:tcW w:w="2340" w:type="dxa"/>
            <w:shd w:val="clear" w:color="auto" w:fill="E8E8E8" w:themeFill="background2"/>
          </w:tcPr>
          <w:p w14:paraId="3B8320B5" w14:textId="77777777" w:rsidR="005A6F0E" w:rsidRPr="005A6F0E" w:rsidRDefault="005A6F0E" w:rsidP="005A6F0E">
            <w:pPr>
              <w:spacing w:line="259" w:lineRule="auto"/>
              <w:rPr>
                <w:sz w:val="22"/>
                <w:szCs w:val="22"/>
                <w:lang w:val="en"/>
              </w:rPr>
            </w:pPr>
            <w:r w:rsidRPr="005A6F0E">
              <w:rPr>
                <w:sz w:val="22"/>
                <w:szCs w:val="22"/>
                <w:lang w:val="en"/>
              </w:rPr>
              <w:t>P</w:t>
            </w:r>
            <w:r w:rsidRPr="005A6F0E">
              <w:rPr>
                <w:sz w:val="22"/>
                <w:szCs w:val="22"/>
                <w:vertAlign w:val="subscript"/>
                <w:lang w:val="en"/>
              </w:rPr>
              <w:t>CI+II</w:t>
            </w:r>
          </w:p>
        </w:tc>
        <w:tc>
          <w:tcPr>
            <w:tcW w:w="711" w:type="dxa"/>
            <w:shd w:val="clear" w:color="auto" w:fill="E8E8E8" w:themeFill="background2"/>
          </w:tcPr>
          <w:p w14:paraId="308A90C1" w14:textId="77777777" w:rsidR="005A6F0E" w:rsidRPr="005A6F0E" w:rsidRDefault="005A6F0E" w:rsidP="005A6F0E">
            <w:pPr>
              <w:spacing w:line="259" w:lineRule="auto"/>
              <w:rPr>
                <w:sz w:val="22"/>
                <w:szCs w:val="22"/>
                <w:lang w:val="en"/>
              </w:rPr>
            </w:pPr>
            <w:r w:rsidRPr="005A6F0E">
              <w:rPr>
                <w:sz w:val="22"/>
                <w:szCs w:val="22"/>
                <w:lang w:val="en"/>
              </w:rPr>
              <w:t>NON</w:t>
            </w:r>
          </w:p>
        </w:tc>
        <w:tc>
          <w:tcPr>
            <w:tcW w:w="1489" w:type="dxa"/>
            <w:shd w:val="clear" w:color="auto" w:fill="E8E8E8" w:themeFill="background2"/>
          </w:tcPr>
          <w:p w14:paraId="4EDFFD27" w14:textId="77777777" w:rsidR="005A6F0E" w:rsidRPr="005A6F0E" w:rsidRDefault="005A6F0E" w:rsidP="005A6F0E">
            <w:pPr>
              <w:spacing w:line="259" w:lineRule="auto"/>
              <w:rPr>
                <w:sz w:val="22"/>
                <w:szCs w:val="22"/>
                <w:lang w:val="en"/>
              </w:rPr>
            </w:pPr>
            <w:r w:rsidRPr="005A6F0E">
              <w:rPr>
                <w:sz w:val="22"/>
                <w:szCs w:val="22"/>
                <w:lang w:val="en"/>
              </w:rPr>
              <w:t xml:space="preserve">46.8 </w:t>
            </w:r>
            <w:r w:rsidRPr="005A6F0E">
              <w:rPr>
                <w:sz w:val="22"/>
                <w:szCs w:val="22"/>
                <w:lang w:val="en"/>
              </w:rPr>
              <w:sym w:font="Symbol" w:char="F0B1"/>
            </w:r>
            <w:r w:rsidRPr="005A6F0E">
              <w:rPr>
                <w:sz w:val="22"/>
                <w:szCs w:val="22"/>
                <w:lang w:val="en"/>
              </w:rPr>
              <w:t xml:space="preserve"> 9.8</w:t>
            </w:r>
          </w:p>
        </w:tc>
        <w:tc>
          <w:tcPr>
            <w:tcW w:w="1489" w:type="dxa"/>
            <w:shd w:val="clear" w:color="auto" w:fill="E8E8E8" w:themeFill="background2"/>
          </w:tcPr>
          <w:p w14:paraId="01FF8E20" w14:textId="77777777" w:rsidR="005A6F0E" w:rsidRPr="005A6F0E" w:rsidRDefault="005A6F0E" w:rsidP="005A6F0E">
            <w:pPr>
              <w:spacing w:line="259" w:lineRule="auto"/>
              <w:rPr>
                <w:sz w:val="22"/>
                <w:szCs w:val="22"/>
                <w:lang w:val="en"/>
              </w:rPr>
            </w:pPr>
            <w:r w:rsidRPr="005A6F0E">
              <w:rPr>
                <w:sz w:val="22"/>
                <w:szCs w:val="22"/>
                <w:lang w:val="en"/>
              </w:rPr>
              <w:t xml:space="preserve">44.1 </w:t>
            </w:r>
            <w:r w:rsidRPr="005A6F0E">
              <w:rPr>
                <w:sz w:val="22"/>
                <w:szCs w:val="22"/>
                <w:lang w:val="en"/>
              </w:rPr>
              <w:sym w:font="Symbol" w:char="F0B1"/>
            </w:r>
            <w:r w:rsidRPr="005A6F0E">
              <w:rPr>
                <w:sz w:val="22"/>
                <w:szCs w:val="22"/>
                <w:lang w:val="en"/>
              </w:rPr>
              <w:t xml:space="preserve"> 1.4</w:t>
            </w:r>
          </w:p>
        </w:tc>
        <w:tc>
          <w:tcPr>
            <w:tcW w:w="1498" w:type="dxa"/>
            <w:shd w:val="clear" w:color="auto" w:fill="E8E8E8" w:themeFill="background2"/>
          </w:tcPr>
          <w:p w14:paraId="43FC03A4" w14:textId="77777777" w:rsidR="005A6F0E" w:rsidRPr="005A6F0E" w:rsidRDefault="005A6F0E" w:rsidP="005A6F0E">
            <w:pPr>
              <w:spacing w:line="259" w:lineRule="auto"/>
              <w:rPr>
                <w:sz w:val="22"/>
                <w:szCs w:val="22"/>
                <w:lang w:val="en"/>
              </w:rPr>
            </w:pPr>
            <w:r w:rsidRPr="005A6F0E">
              <w:rPr>
                <w:sz w:val="22"/>
                <w:szCs w:val="22"/>
                <w:lang w:val="en"/>
              </w:rPr>
              <w:t xml:space="preserve">46.0 </w:t>
            </w:r>
            <w:r w:rsidRPr="005A6F0E">
              <w:rPr>
                <w:sz w:val="22"/>
                <w:szCs w:val="22"/>
                <w:lang w:val="en"/>
              </w:rPr>
              <w:sym w:font="Symbol" w:char="F0B1"/>
            </w:r>
            <w:r w:rsidRPr="005A6F0E">
              <w:rPr>
                <w:sz w:val="22"/>
                <w:szCs w:val="22"/>
                <w:lang w:val="en"/>
              </w:rPr>
              <w:t xml:space="preserve"> 7.3</w:t>
            </w:r>
          </w:p>
        </w:tc>
        <w:tc>
          <w:tcPr>
            <w:tcW w:w="1499" w:type="dxa"/>
            <w:shd w:val="clear" w:color="auto" w:fill="E8E8E8" w:themeFill="background2"/>
          </w:tcPr>
          <w:p w14:paraId="36249641" w14:textId="77777777" w:rsidR="005A6F0E" w:rsidRPr="005A6F0E" w:rsidRDefault="005A6F0E" w:rsidP="005A6F0E">
            <w:pPr>
              <w:spacing w:line="259" w:lineRule="auto"/>
              <w:rPr>
                <w:sz w:val="22"/>
                <w:szCs w:val="22"/>
                <w:lang w:val="en"/>
              </w:rPr>
            </w:pPr>
            <w:r w:rsidRPr="005A6F0E">
              <w:rPr>
                <w:sz w:val="22"/>
                <w:szCs w:val="22"/>
                <w:lang w:val="en"/>
              </w:rPr>
              <w:t>0.880</w:t>
            </w:r>
          </w:p>
        </w:tc>
      </w:tr>
      <w:tr w:rsidR="005A6F0E" w:rsidRPr="005A6F0E" w14:paraId="615FC0E2" w14:textId="77777777" w:rsidTr="005A6F0E">
        <w:tc>
          <w:tcPr>
            <w:tcW w:w="2340" w:type="dxa"/>
            <w:shd w:val="clear" w:color="auto" w:fill="E8E8E8" w:themeFill="background2"/>
          </w:tcPr>
          <w:p w14:paraId="3A016E29" w14:textId="77777777" w:rsidR="005A6F0E" w:rsidRPr="005A6F0E" w:rsidRDefault="005A6F0E" w:rsidP="005A6F0E">
            <w:pPr>
              <w:spacing w:line="259" w:lineRule="auto"/>
              <w:rPr>
                <w:sz w:val="22"/>
                <w:szCs w:val="22"/>
                <w:lang w:val="en"/>
              </w:rPr>
            </w:pPr>
          </w:p>
        </w:tc>
        <w:tc>
          <w:tcPr>
            <w:tcW w:w="711" w:type="dxa"/>
            <w:shd w:val="clear" w:color="auto" w:fill="E8E8E8" w:themeFill="background2"/>
          </w:tcPr>
          <w:p w14:paraId="63EBF661" w14:textId="77777777" w:rsidR="005A6F0E" w:rsidRPr="005A6F0E" w:rsidRDefault="005A6F0E" w:rsidP="005A6F0E">
            <w:pPr>
              <w:spacing w:line="259" w:lineRule="auto"/>
              <w:rPr>
                <w:sz w:val="22"/>
                <w:szCs w:val="22"/>
                <w:lang w:val="en"/>
              </w:rPr>
            </w:pPr>
            <w:r w:rsidRPr="005A6F0E">
              <w:rPr>
                <w:sz w:val="22"/>
                <w:szCs w:val="22"/>
                <w:lang w:val="en"/>
              </w:rPr>
              <w:t>RESP</w:t>
            </w:r>
          </w:p>
        </w:tc>
        <w:tc>
          <w:tcPr>
            <w:tcW w:w="1489" w:type="dxa"/>
            <w:shd w:val="clear" w:color="auto" w:fill="E8E8E8" w:themeFill="background2"/>
          </w:tcPr>
          <w:p w14:paraId="6E57DF1F" w14:textId="77777777" w:rsidR="005A6F0E" w:rsidRPr="005A6F0E" w:rsidRDefault="005A6F0E" w:rsidP="005A6F0E">
            <w:pPr>
              <w:spacing w:line="259" w:lineRule="auto"/>
              <w:rPr>
                <w:sz w:val="22"/>
                <w:szCs w:val="22"/>
                <w:lang w:val="en"/>
              </w:rPr>
            </w:pPr>
            <w:r w:rsidRPr="005A6F0E">
              <w:rPr>
                <w:sz w:val="22"/>
                <w:szCs w:val="22"/>
                <w:lang w:val="en"/>
              </w:rPr>
              <w:t xml:space="preserve">33.4 </w:t>
            </w:r>
            <w:r w:rsidRPr="005A6F0E">
              <w:rPr>
                <w:sz w:val="22"/>
                <w:szCs w:val="22"/>
                <w:lang w:val="en"/>
              </w:rPr>
              <w:sym w:font="Symbol" w:char="F0B1"/>
            </w:r>
            <w:r w:rsidRPr="005A6F0E">
              <w:rPr>
                <w:sz w:val="22"/>
                <w:szCs w:val="22"/>
                <w:lang w:val="en"/>
              </w:rPr>
              <w:t xml:space="preserve"> 5.9</w:t>
            </w:r>
          </w:p>
        </w:tc>
        <w:tc>
          <w:tcPr>
            <w:tcW w:w="1489" w:type="dxa"/>
            <w:shd w:val="clear" w:color="auto" w:fill="E8E8E8" w:themeFill="background2"/>
          </w:tcPr>
          <w:p w14:paraId="3C179A14" w14:textId="77777777" w:rsidR="005A6F0E" w:rsidRPr="005A6F0E" w:rsidRDefault="005A6F0E" w:rsidP="005A6F0E">
            <w:pPr>
              <w:spacing w:line="259" w:lineRule="auto"/>
              <w:rPr>
                <w:sz w:val="22"/>
                <w:szCs w:val="22"/>
                <w:lang w:val="en"/>
              </w:rPr>
            </w:pPr>
            <w:r w:rsidRPr="005A6F0E">
              <w:rPr>
                <w:sz w:val="22"/>
                <w:szCs w:val="22"/>
                <w:lang w:val="en"/>
              </w:rPr>
              <w:t xml:space="preserve">42.1 </w:t>
            </w:r>
            <w:r w:rsidRPr="005A6F0E">
              <w:rPr>
                <w:sz w:val="22"/>
                <w:szCs w:val="22"/>
                <w:lang w:val="en"/>
              </w:rPr>
              <w:sym w:font="Symbol" w:char="F0B1"/>
            </w:r>
            <w:r w:rsidRPr="005A6F0E">
              <w:rPr>
                <w:sz w:val="22"/>
                <w:szCs w:val="22"/>
                <w:lang w:val="en"/>
              </w:rPr>
              <w:t xml:space="preserve"> 1.6</w:t>
            </w:r>
          </w:p>
        </w:tc>
        <w:tc>
          <w:tcPr>
            <w:tcW w:w="1498" w:type="dxa"/>
            <w:shd w:val="clear" w:color="auto" w:fill="E8E8E8" w:themeFill="background2"/>
          </w:tcPr>
          <w:p w14:paraId="707EC7CE" w14:textId="45032C35" w:rsidR="005A6F0E" w:rsidRPr="005A6F0E" w:rsidRDefault="005A6F0E" w:rsidP="005A6F0E">
            <w:pPr>
              <w:spacing w:line="259" w:lineRule="auto"/>
              <w:rPr>
                <w:sz w:val="22"/>
                <w:szCs w:val="22"/>
                <w:lang w:val="en"/>
              </w:rPr>
            </w:pPr>
            <w:r w:rsidRPr="005A6F0E">
              <w:rPr>
                <w:sz w:val="22"/>
                <w:szCs w:val="22"/>
                <w:lang w:val="en"/>
              </w:rPr>
              <w:t xml:space="preserve">19.0 </w:t>
            </w:r>
            <w:r w:rsidRPr="005A6F0E">
              <w:rPr>
                <w:sz w:val="22"/>
                <w:szCs w:val="22"/>
                <w:lang w:val="en"/>
              </w:rPr>
              <w:sym w:font="Symbol" w:char="F0B1"/>
            </w:r>
            <w:r w:rsidRPr="005A6F0E">
              <w:rPr>
                <w:sz w:val="22"/>
                <w:szCs w:val="22"/>
                <w:lang w:val="en"/>
              </w:rPr>
              <w:t xml:space="preserve"> 2.2*</w:t>
            </w:r>
            <m:oMath>
              <m:r>
                <w:rPr>
                  <w:rFonts w:ascii="Cambria Math" w:hAnsi="Cambria Math"/>
                  <w:lang w:val="en"/>
                </w:rPr>
                <m:t>†</m:t>
              </m:r>
            </m:oMath>
          </w:p>
        </w:tc>
        <w:tc>
          <w:tcPr>
            <w:tcW w:w="1499" w:type="dxa"/>
            <w:shd w:val="clear" w:color="auto" w:fill="E8E8E8" w:themeFill="background2"/>
          </w:tcPr>
          <w:p w14:paraId="4AC4222C" w14:textId="77777777" w:rsidR="005A6F0E" w:rsidRPr="005A6F0E" w:rsidRDefault="005A6F0E" w:rsidP="005A6F0E">
            <w:pPr>
              <w:spacing w:line="259" w:lineRule="auto"/>
              <w:rPr>
                <w:b/>
                <w:bCs/>
                <w:sz w:val="22"/>
                <w:szCs w:val="22"/>
                <w:lang w:val="en"/>
              </w:rPr>
            </w:pPr>
            <w:r w:rsidRPr="005A6F0E">
              <w:rPr>
                <w:b/>
                <w:bCs/>
                <w:sz w:val="22"/>
                <w:szCs w:val="22"/>
                <w:lang w:val="en"/>
              </w:rPr>
              <w:t>0.012</w:t>
            </w:r>
          </w:p>
        </w:tc>
      </w:tr>
      <w:tr w:rsidR="005A6F0E" w:rsidRPr="005A6F0E" w14:paraId="4C4163F1" w14:textId="77777777" w:rsidTr="005A6F0E">
        <w:tc>
          <w:tcPr>
            <w:tcW w:w="2340" w:type="dxa"/>
          </w:tcPr>
          <w:p w14:paraId="31778235" w14:textId="77777777" w:rsidR="005A6F0E" w:rsidRPr="005A6F0E" w:rsidRDefault="005A6F0E" w:rsidP="005A6F0E">
            <w:pPr>
              <w:spacing w:line="259" w:lineRule="auto"/>
              <w:rPr>
                <w:sz w:val="22"/>
                <w:szCs w:val="22"/>
                <w:lang w:val="en"/>
              </w:rPr>
            </w:pPr>
            <w:r w:rsidRPr="005A6F0E">
              <w:rPr>
                <w:sz w:val="22"/>
                <w:szCs w:val="22"/>
                <w:lang w:val="en"/>
              </w:rPr>
              <w:t>P</w:t>
            </w:r>
            <w:r w:rsidRPr="005A6F0E">
              <w:rPr>
                <w:sz w:val="22"/>
                <w:szCs w:val="22"/>
                <w:vertAlign w:val="subscript"/>
                <w:lang w:val="en"/>
              </w:rPr>
              <w:t>CII</w:t>
            </w:r>
          </w:p>
        </w:tc>
        <w:tc>
          <w:tcPr>
            <w:tcW w:w="711" w:type="dxa"/>
          </w:tcPr>
          <w:p w14:paraId="50CAF881" w14:textId="77777777" w:rsidR="005A6F0E" w:rsidRPr="005A6F0E" w:rsidRDefault="005A6F0E" w:rsidP="005A6F0E">
            <w:pPr>
              <w:spacing w:line="259" w:lineRule="auto"/>
              <w:rPr>
                <w:sz w:val="22"/>
                <w:szCs w:val="22"/>
                <w:lang w:val="en"/>
              </w:rPr>
            </w:pPr>
            <w:r w:rsidRPr="005A6F0E">
              <w:rPr>
                <w:sz w:val="22"/>
                <w:szCs w:val="22"/>
                <w:lang w:val="en"/>
              </w:rPr>
              <w:t>NON</w:t>
            </w:r>
          </w:p>
        </w:tc>
        <w:tc>
          <w:tcPr>
            <w:tcW w:w="1489" w:type="dxa"/>
          </w:tcPr>
          <w:p w14:paraId="15AC511F" w14:textId="77777777" w:rsidR="005A6F0E" w:rsidRPr="005A6F0E" w:rsidRDefault="005A6F0E" w:rsidP="005A6F0E">
            <w:pPr>
              <w:spacing w:line="259" w:lineRule="auto"/>
              <w:rPr>
                <w:sz w:val="22"/>
                <w:szCs w:val="22"/>
                <w:lang w:val="en"/>
              </w:rPr>
            </w:pPr>
            <w:r w:rsidRPr="005A6F0E">
              <w:rPr>
                <w:sz w:val="22"/>
                <w:szCs w:val="22"/>
                <w:lang w:val="en"/>
              </w:rPr>
              <w:t xml:space="preserve">31.2 </w:t>
            </w:r>
            <w:r w:rsidRPr="005A6F0E">
              <w:rPr>
                <w:sz w:val="22"/>
                <w:szCs w:val="22"/>
                <w:lang w:val="en"/>
              </w:rPr>
              <w:sym w:font="Symbol" w:char="F0B1"/>
            </w:r>
            <w:r w:rsidRPr="005A6F0E">
              <w:rPr>
                <w:sz w:val="22"/>
                <w:szCs w:val="22"/>
                <w:lang w:val="en"/>
              </w:rPr>
              <w:t xml:space="preserve"> 5.6</w:t>
            </w:r>
          </w:p>
        </w:tc>
        <w:tc>
          <w:tcPr>
            <w:tcW w:w="1489" w:type="dxa"/>
          </w:tcPr>
          <w:p w14:paraId="0EB0C717" w14:textId="77777777" w:rsidR="005A6F0E" w:rsidRPr="005A6F0E" w:rsidRDefault="005A6F0E" w:rsidP="005A6F0E">
            <w:pPr>
              <w:spacing w:line="259" w:lineRule="auto"/>
              <w:rPr>
                <w:sz w:val="22"/>
                <w:szCs w:val="22"/>
                <w:lang w:val="en"/>
              </w:rPr>
            </w:pPr>
            <w:r w:rsidRPr="005A6F0E">
              <w:rPr>
                <w:sz w:val="22"/>
                <w:szCs w:val="22"/>
                <w:lang w:val="en"/>
              </w:rPr>
              <w:t xml:space="preserve">33.5 </w:t>
            </w:r>
            <w:r w:rsidRPr="005A6F0E">
              <w:rPr>
                <w:sz w:val="22"/>
                <w:szCs w:val="22"/>
                <w:lang w:val="en"/>
              </w:rPr>
              <w:sym w:font="Symbol" w:char="F0B1"/>
            </w:r>
            <w:r w:rsidRPr="005A6F0E">
              <w:rPr>
                <w:sz w:val="22"/>
                <w:szCs w:val="22"/>
                <w:lang w:val="en"/>
              </w:rPr>
              <w:t xml:space="preserve"> 3.7</w:t>
            </w:r>
          </w:p>
        </w:tc>
        <w:tc>
          <w:tcPr>
            <w:tcW w:w="1498" w:type="dxa"/>
          </w:tcPr>
          <w:p w14:paraId="2ED27301" w14:textId="77777777" w:rsidR="005A6F0E" w:rsidRPr="005A6F0E" w:rsidRDefault="005A6F0E" w:rsidP="005A6F0E">
            <w:pPr>
              <w:spacing w:line="259" w:lineRule="auto"/>
              <w:rPr>
                <w:sz w:val="22"/>
                <w:szCs w:val="22"/>
                <w:lang w:val="en"/>
              </w:rPr>
            </w:pPr>
            <w:r w:rsidRPr="005A6F0E">
              <w:rPr>
                <w:sz w:val="22"/>
                <w:szCs w:val="22"/>
                <w:lang w:val="en"/>
              </w:rPr>
              <w:t xml:space="preserve">31.5 </w:t>
            </w:r>
            <w:r w:rsidRPr="005A6F0E">
              <w:rPr>
                <w:sz w:val="22"/>
                <w:szCs w:val="22"/>
                <w:lang w:val="en"/>
              </w:rPr>
              <w:sym w:font="Symbol" w:char="F0B1"/>
            </w:r>
            <w:r w:rsidRPr="005A6F0E">
              <w:rPr>
                <w:sz w:val="22"/>
                <w:szCs w:val="22"/>
                <w:lang w:val="en"/>
              </w:rPr>
              <w:t xml:space="preserve"> 5.5</w:t>
            </w:r>
          </w:p>
        </w:tc>
        <w:tc>
          <w:tcPr>
            <w:tcW w:w="1499" w:type="dxa"/>
          </w:tcPr>
          <w:p w14:paraId="5A92C94D" w14:textId="77777777" w:rsidR="005A6F0E" w:rsidRPr="005A6F0E" w:rsidRDefault="005A6F0E" w:rsidP="005A6F0E">
            <w:pPr>
              <w:spacing w:line="259" w:lineRule="auto"/>
              <w:rPr>
                <w:sz w:val="22"/>
                <w:szCs w:val="22"/>
                <w:lang w:val="en"/>
              </w:rPr>
            </w:pPr>
            <w:r w:rsidRPr="005A6F0E">
              <w:rPr>
                <w:sz w:val="22"/>
                <w:szCs w:val="22"/>
                <w:lang w:val="en"/>
              </w:rPr>
              <w:t>0.876</w:t>
            </w:r>
          </w:p>
        </w:tc>
      </w:tr>
      <w:tr w:rsidR="005A6F0E" w:rsidRPr="005A6F0E" w14:paraId="73AB0E77" w14:textId="77777777" w:rsidTr="005A6F0E">
        <w:tc>
          <w:tcPr>
            <w:tcW w:w="2340" w:type="dxa"/>
          </w:tcPr>
          <w:p w14:paraId="03A3EDA5" w14:textId="77777777" w:rsidR="005A6F0E" w:rsidRPr="005A6F0E" w:rsidRDefault="005A6F0E" w:rsidP="005A6F0E">
            <w:pPr>
              <w:spacing w:line="259" w:lineRule="auto"/>
              <w:rPr>
                <w:sz w:val="22"/>
                <w:szCs w:val="22"/>
                <w:lang w:val="en"/>
              </w:rPr>
            </w:pPr>
          </w:p>
        </w:tc>
        <w:tc>
          <w:tcPr>
            <w:tcW w:w="711" w:type="dxa"/>
          </w:tcPr>
          <w:p w14:paraId="42E0854B" w14:textId="77777777" w:rsidR="005A6F0E" w:rsidRPr="005A6F0E" w:rsidRDefault="005A6F0E" w:rsidP="005A6F0E">
            <w:pPr>
              <w:spacing w:line="259" w:lineRule="auto"/>
              <w:rPr>
                <w:sz w:val="22"/>
                <w:szCs w:val="22"/>
                <w:lang w:val="en"/>
              </w:rPr>
            </w:pPr>
            <w:r w:rsidRPr="005A6F0E">
              <w:rPr>
                <w:sz w:val="22"/>
                <w:szCs w:val="22"/>
                <w:lang w:val="en"/>
              </w:rPr>
              <w:t>RESP</w:t>
            </w:r>
          </w:p>
        </w:tc>
        <w:tc>
          <w:tcPr>
            <w:tcW w:w="1489" w:type="dxa"/>
          </w:tcPr>
          <w:p w14:paraId="3A666A7C" w14:textId="77777777" w:rsidR="005A6F0E" w:rsidRPr="005A6F0E" w:rsidRDefault="005A6F0E" w:rsidP="005A6F0E">
            <w:pPr>
              <w:spacing w:line="259" w:lineRule="auto"/>
              <w:rPr>
                <w:sz w:val="22"/>
                <w:szCs w:val="22"/>
                <w:lang w:val="en"/>
              </w:rPr>
            </w:pPr>
            <w:r w:rsidRPr="005A6F0E">
              <w:rPr>
                <w:sz w:val="22"/>
                <w:szCs w:val="22"/>
                <w:lang w:val="en"/>
              </w:rPr>
              <w:t xml:space="preserve">21.8 </w:t>
            </w:r>
            <w:r w:rsidRPr="005A6F0E">
              <w:rPr>
                <w:sz w:val="22"/>
                <w:szCs w:val="22"/>
                <w:lang w:val="en"/>
              </w:rPr>
              <w:sym w:font="Symbol" w:char="F0B1"/>
            </w:r>
            <w:r w:rsidRPr="005A6F0E">
              <w:rPr>
                <w:sz w:val="22"/>
                <w:szCs w:val="22"/>
                <w:lang w:val="en"/>
              </w:rPr>
              <w:t xml:space="preserve"> 3.1</w:t>
            </w:r>
          </w:p>
        </w:tc>
        <w:tc>
          <w:tcPr>
            <w:tcW w:w="1489" w:type="dxa"/>
          </w:tcPr>
          <w:p w14:paraId="060FE188" w14:textId="77777777" w:rsidR="005A6F0E" w:rsidRPr="005A6F0E" w:rsidRDefault="005A6F0E" w:rsidP="005A6F0E">
            <w:pPr>
              <w:spacing w:line="259" w:lineRule="auto"/>
              <w:rPr>
                <w:sz w:val="22"/>
                <w:szCs w:val="22"/>
                <w:lang w:val="en"/>
              </w:rPr>
            </w:pPr>
            <w:r w:rsidRPr="005A6F0E">
              <w:rPr>
                <w:sz w:val="22"/>
                <w:szCs w:val="22"/>
                <w:lang w:val="en"/>
              </w:rPr>
              <w:t xml:space="preserve">26.8 </w:t>
            </w:r>
            <w:r w:rsidRPr="005A6F0E">
              <w:rPr>
                <w:sz w:val="22"/>
                <w:szCs w:val="22"/>
                <w:lang w:val="en"/>
              </w:rPr>
              <w:sym w:font="Symbol" w:char="F0B1"/>
            </w:r>
            <w:r w:rsidRPr="005A6F0E">
              <w:rPr>
                <w:sz w:val="22"/>
                <w:szCs w:val="22"/>
                <w:lang w:val="en"/>
              </w:rPr>
              <w:t xml:space="preserve"> 0.8</w:t>
            </w:r>
          </w:p>
        </w:tc>
        <w:tc>
          <w:tcPr>
            <w:tcW w:w="1498" w:type="dxa"/>
          </w:tcPr>
          <w:p w14:paraId="2A4BC0A6" w14:textId="6446638B" w:rsidR="005A6F0E" w:rsidRPr="005A6F0E" w:rsidRDefault="005A6F0E" w:rsidP="005A6F0E">
            <w:pPr>
              <w:spacing w:line="259" w:lineRule="auto"/>
              <w:rPr>
                <w:sz w:val="22"/>
                <w:szCs w:val="22"/>
                <w:lang w:val="en"/>
              </w:rPr>
            </w:pPr>
            <w:r w:rsidRPr="005A6F0E">
              <w:rPr>
                <w:sz w:val="22"/>
                <w:szCs w:val="22"/>
                <w:lang w:val="en"/>
              </w:rPr>
              <w:t xml:space="preserve">13.4 </w:t>
            </w:r>
            <w:r w:rsidRPr="005A6F0E">
              <w:rPr>
                <w:sz w:val="22"/>
                <w:szCs w:val="22"/>
                <w:lang w:val="en"/>
              </w:rPr>
              <w:sym w:font="Symbol" w:char="F0B1"/>
            </w:r>
            <w:r w:rsidRPr="005A6F0E">
              <w:rPr>
                <w:sz w:val="22"/>
                <w:szCs w:val="22"/>
                <w:lang w:val="en"/>
              </w:rPr>
              <w:t xml:space="preserve"> 1.4*</w:t>
            </w:r>
            <m:oMath>
              <m:r>
                <w:rPr>
                  <w:rFonts w:ascii="Cambria Math" w:hAnsi="Cambria Math"/>
                  <w:lang w:val="en"/>
                </w:rPr>
                <m:t>†</m:t>
              </m:r>
            </m:oMath>
          </w:p>
        </w:tc>
        <w:tc>
          <w:tcPr>
            <w:tcW w:w="1499" w:type="dxa"/>
          </w:tcPr>
          <w:p w14:paraId="372A7A85" w14:textId="77777777" w:rsidR="005A6F0E" w:rsidRPr="005A6F0E" w:rsidRDefault="005A6F0E" w:rsidP="005A6F0E">
            <w:pPr>
              <w:spacing w:line="259" w:lineRule="auto"/>
              <w:rPr>
                <w:b/>
                <w:bCs/>
                <w:sz w:val="22"/>
                <w:szCs w:val="22"/>
                <w:lang w:val="en"/>
              </w:rPr>
            </w:pPr>
            <w:r w:rsidRPr="005A6F0E">
              <w:rPr>
                <w:b/>
                <w:bCs/>
                <w:sz w:val="22"/>
                <w:szCs w:val="22"/>
                <w:lang w:val="en"/>
              </w:rPr>
              <w:t>0.008</w:t>
            </w:r>
          </w:p>
        </w:tc>
      </w:tr>
    </w:tbl>
    <w:p w14:paraId="0456D662" w14:textId="74DF6AA0" w:rsidR="005A6F0E" w:rsidRDefault="005A6F0E" w:rsidP="005A6F0E">
      <w:pPr>
        <w:spacing w:after="0"/>
        <w:rPr>
          <w:lang w:val="en"/>
        </w:rPr>
      </w:pPr>
      <w:r w:rsidRPr="005A6F0E">
        <w:rPr>
          <w:lang w:val="en"/>
        </w:rPr>
        <w:t xml:space="preserve">P, oxidative phosphorylation capacity; CI, complex I; CII, complex II. *Within treatment, </w:t>
      </w:r>
      <w:r w:rsidR="000816B2">
        <w:rPr>
          <w:lang w:val="en"/>
        </w:rPr>
        <w:t xml:space="preserve">d 4 </w:t>
      </w:r>
      <w:r w:rsidRPr="005A6F0E">
        <w:rPr>
          <w:lang w:val="en"/>
        </w:rPr>
        <w:t>differs from d 2 (</w:t>
      </w:r>
      <w:r w:rsidRPr="005A6F0E">
        <w:rPr>
          <w:i/>
          <w:iCs/>
          <w:lang w:val="en"/>
        </w:rPr>
        <w:t>P</w:t>
      </w:r>
      <w:r w:rsidRPr="005A6F0E">
        <w:rPr>
          <w:lang w:val="en"/>
        </w:rPr>
        <w:t xml:space="preserve">&lt;0.05). </w:t>
      </w:r>
      <m:oMath>
        <m:r>
          <w:rPr>
            <w:rFonts w:ascii="Cambria Math" w:hAnsi="Cambria Math"/>
            <w:lang w:val="en"/>
          </w:rPr>
          <m:t>†</m:t>
        </m:r>
      </m:oMath>
      <w:r w:rsidRPr="005A6F0E">
        <w:rPr>
          <w:lang w:val="en"/>
        </w:rPr>
        <w:t xml:space="preserve">Within treatment, </w:t>
      </w:r>
      <w:r w:rsidR="000816B2">
        <w:rPr>
          <w:lang w:val="en"/>
        </w:rPr>
        <w:t xml:space="preserve">d 4 </w:t>
      </w:r>
      <w:r w:rsidRPr="005A6F0E">
        <w:rPr>
          <w:lang w:val="en"/>
        </w:rPr>
        <w:t>differs from d 0 (</w:t>
      </w:r>
      <w:r w:rsidRPr="005A6F0E">
        <w:rPr>
          <w:i/>
          <w:iCs/>
          <w:lang w:val="en"/>
        </w:rPr>
        <w:t>P</w:t>
      </w:r>
      <w:r w:rsidRPr="005A6F0E">
        <w:rPr>
          <w:lang w:val="en"/>
        </w:rPr>
        <w:t>&lt;0.1).</w:t>
      </w:r>
    </w:p>
    <w:p w14:paraId="5842C226" w14:textId="77777777" w:rsidR="005A6F0E" w:rsidRPr="005A6F0E" w:rsidRDefault="005A6F0E" w:rsidP="005A6F0E">
      <w:pPr>
        <w:spacing w:after="0"/>
        <w:rPr>
          <w:lang w:val="en"/>
        </w:rPr>
      </w:pPr>
    </w:p>
    <w:p w14:paraId="05408890" w14:textId="77777777" w:rsidR="0073044A" w:rsidRDefault="0073044A" w:rsidP="0073044A">
      <w:pPr>
        <w:spacing w:after="0"/>
        <w:rPr>
          <w:b/>
          <w:bCs/>
          <w:lang w:val="en"/>
        </w:rPr>
      </w:pPr>
      <w:r w:rsidRPr="0073044A">
        <w:rPr>
          <w:b/>
          <w:bCs/>
          <w:lang w:val="en"/>
        </w:rPr>
        <w:t xml:space="preserve">Conclusions </w:t>
      </w:r>
    </w:p>
    <w:p w14:paraId="2F3D4217" w14:textId="15EE1002" w:rsidR="005A6F0E" w:rsidRPr="005A6F0E" w:rsidRDefault="0073044A" w:rsidP="0073044A">
      <w:pPr>
        <w:rPr>
          <w:lang w:val="en"/>
        </w:rPr>
      </w:pPr>
      <w:r w:rsidRPr="0073044A">
        <w:rPr>
          <w:lang w:val="en"/>
        </w:rPr>
        <w:t xml:space="preserve">With repeated exercise tests to exhaustion resulting in fatigue, mitochondria appear to become impaired, evidenced by decreased respiratory capacities, increased reactive oxygen species production, and decreased ATP production. Importantly, horses which did not decrease their run time to fatigue maintained mitochondrial health. Mitochondrial metrics may be useful predictors of susceptibility to fatigue, which may be utilized to decrease fatigue-induced injury. </w:t>
      </w:r>
    </w:p>
    <w:sectPr w:rsidR="005A6F0E" w:rsidRPr="005A6F0E"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816B2"/>
    <w:rsid w:val="001F31DF"/>
    <w:rsid w:val="002570CB"/>
    <w:rsid w:val="00383DCD"/>
    <w:rsid w:val="00397193"/>
    <w:rsid w:val="005A6F0E"/>
    <w:rsid w:val="005D4DF7"/>
    <w:rsid w:val="00625B14"/>
    <w:rsid w:val="0073044A"/>
    <w:rsid w:val="00753E39"/>
    <w:rsid w:val="007B30E3"/>
    <w:rsid w:val="00933E8C"/>
    <w:rsid w:val="009A10B0"/>
    <w:rsid w:val="00A17526"/>
    <w:rsid w:val="00A41468"/>
    <w:rsid w:val="00B52E4E"/>
    <w:rsid w:val="00C53AE2"/>
    <w:rsid w:val="00C95030"/>
    <w:rsid w:val="00DD21B5"/>
    <w:rsid w:val="00E27EE6"/>
    <w:rsid w:val="00E3387C"/>
    <w:rsid w:val="00F11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table" w:styleId="TableGrid">
    <w:name w:val="Table Grid"/>
    <w:basedOn w:val="TableNormal"/>
    <w:uiPriority w:val="39"/>
    <w:rsid w:val="005A6F0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Sophia Ferraro</cp:lastModifiedBy>
  <cp:revision>2</cp:revision>
  <dcterms:created xsi:type="dcterms:W3CDTF">2025-02-17T15:23:00Z</dcterms:created>
  <dcterms:modified xsi:type="dcterms:W3CDTF">2025-02-17T15:23:00Z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