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1C4D77" w14:textId="3D0CA174" w:rsidR="007B30E3" w:rsidRPr="007B30E3" w:rsidRDefault="007B30E3" w:rsidP="61976F7D">
      <w:pPr>
        <w:jc w:val="center"/>
        <w:rPr>
          <w:b/>
          <w:bCs/>
          <w:sz w:val="32"/>
          <w:szCs w:val="32"/>
          <w:lang w:val="en-US"/>
        </w:rPr>
      </w:pPr>
    </w:p>
    <w:p w14:paraId="4437C79B" w14:textId="1016C7E0" w:rsidR="007B30E3" w:rsidRDefault="007B30E3" w:rsidP="61976F7D">
      <w:pPr>
        <w:rPr>
          <w:b/>
          <w:bCs/>
          <w:lang w:val="en-US"/>
        </w:rPr>
      </w:pPr>
      <w:r w:rsidRPr="61976F7D">
        <w:rPr>
          <w:b/>
          <w:bCs/>
          <w:lang w:val="en-US"/>
        </w:rPr>
        <w:t>Application</w:t>
      </w:r>
    </w:p>
    <w:p w14:paraId="07C9ECB3" w14:textId="26D59BBC" w:rsidR="007B30E3" w:rsidRPr="00663407" w:rsidRDefault="00663407" w:rsidP="00663407">
      <w:pPr>
        <w:jc w:val="both"/>
        <w:rPr>
          <w:lang w:val="en-US"/>
        </w:rPr>
      </w:pPr>
      <w:r w:rsidRPr="4D1E7CFD">
        <w:rPr>
          <w:lang w:val="en-US"/>
        </w:rPr>
        <w:t>The objective is to explore the feasibility of a</w:t>
      </w:r>
      <w:r w:rsidR="67D12E89" w:rsidRPr="4D1E7CFD">
        <w:rPr>
          <w:lang w:val="en-US"/>
        </w:rPr>
        <w:t>n improved</w:t>
      </w:r>
      <w:r w:rsidRPr="4D1E7CFD">
        <w:rPr>
          <w:lang w:val="en-US"/>
        </w:rPr>
        <w:t xml:space="preserve"> test for </w:t>
      </w:r>
      <w:r w:rsidR="008D12DB">
        <w:rPr>
          <w:lang w:val="en-US"/>
        </w:rPr>
        <w:t>differentiating between</w:t>
      </w:r>
      <w:r w:rsidRPr="4D1E7CFD">
        <w:rPr>
          <w:lang w:val="en-US"/>
        </w:rPr>
        <w:t xml:space="preserve"> traditional </w:t>
      </w:r>
      <w:r w:rsidR="008D12DB">
        <w:rPr>
          <w:lang w:val="en-US"/>
        </w:rPr>
        <w:t xml:space="preserve">and </w:t>
      </w:r>
      <w:r w:rsidRPr="4D1E7CFD">
        <w:rPr>
          <w:lang w:val="en-US"/>
        </w:rPr>
        <w:t>modern Hereford cattle populations, preventing admixture with external bloodlines, and utilizing machine learning to classify animals with missing pedigree information.</w:t>
      </w:r>
    </w:p>
    <w:p w14:paraId="5E9F33D1" w14:textId="5CDACFAB" w:rsidR="007B30E3" w:rsidRDefault="007B30E3">
      <w:pPr>
        <w:rPr>
          <w:b/>
          <w:bCs/>
          <w:lang w:val="en-US"/>
        </w:rPr>
      </w:pPr>
      <w:r>
        <w:rPr>
          <w:b/>
          <w:bCs/>
          <w:lang w:val="en-US"/>
        </w:rPr>
        <w:t>Introduction</w:t>
      </w:r>
    </w:p>
    <w:p w14:paraId="167B5498" w14:textId="5F6EB022" w:rsidR="007B30E3" w:rsidRPr="0023485B" w:rsidRDefault="00663407" w:rsidP="0023485B">
      <w:pPr>
        <w:jc w:val="both"/>
        <w:rPr>
          <w:lang w:val="en-US"/>
        </w:rPr>
      </w:pPr>
      <w:r w:rsidRPr="37493441">
        <w:rPr>
          <w:lang w:val="en-US"/>
        </w:rPr>
        <w:t>The purebred Hereford Original Population (HOP) cattle breed has been present in the United Kingdom since 1627</w:t>
      </w:r>
      <w:r w:rsidR="28FE27E1" w:rsidRPr="37493441">
        <w:rPr>
          <w:lang w:val="en-US"/>
        </w:rPr>
        <w:t>. I</w:t>
      </w:r>
      <w:r w:rsidRPr="37493441">
        <w:rPr>
          <w:lang w:val="en-US"/>
        </w:rPr>
        <w:t>t originated in Herefordshire, England, a</w:t>
      </w:r>
      <w:r w:rsidR="417F6C77" w:rsidRPr="37493441">
        <w:rPr>
          <w:lang w:val="en-US"/>
        </w:rPr>
        <w:t xml:space="preserve">nd </w:t>
      </w:r>
      <w:r w:rsidR="008D12DB">
        <w:rPr>
          <w:lang w:val="en-US"/>
        </w:rPr>
        <w:t>was</w:t>
      </w:r>
      <w:r w:rsidRPr="37493441">
        <w:rPr>
          <w:lang w:val="en-US"/>
        </w:rPr>
        <w:t xml:space="preserve"> known for producing high-quality, rich meat despite poor grazing conditions (</w:t>
      </w:r>
      <w:proofErr w:type="spellStart"/>
      <w:r w:rsidRPr="37493441">
        <w:rPr>
          <w:lang w:val="en-US"/>
        </w:rPr>
        <w:t>Willham</w:t>
      </w:r>
      <w:proofErr w:type="spellEnd"/>
      <w:r w:rsidRPr="37493441">
        <w:rPr>
          <w:lang w:val="en-US"/>
        </w:rPr>
        <w:t xml:space="preserve">, 1937). </w:t>
      </w:r>
      <w:r w:rsidRPr="37493441">
        <w:rPr>
          <w:rFonts w:ascii="Arial" w:hAnsi="Arial" w:cs="Arial"/>
          <w:lang w:val="en-US"/>
        </w:rPr>
        <w:t>​</w:t>
      </w:r>
      <w:r w:rsidRPr="37493441">
        <w:rPr>
          <w:lang w:val="en-US"/>
        </w:rPr>
        <w:t>The Hereford breed became popular for beef production worldwide, leading to crossbreeding with outside breeds to improve productivity and toughness in local environments (</w:t>
      </w:r>
      <w:proofErr w:type="spellStart"/>
      <w:r w:rsidRPr="37493441">
        <w:rPr>
          <w:lang w:val="en-US"/>
        </w:rPr>
        <w:t>Blott</w:t>
      </w:r>
      <w:proofErr w:type="spellEnd"/>
      <w:r w:rsidRPr="37493441">
        <w:rPr>
          <w:lang w:val="en-US"/>
        </w:rPr>
        <w:t xml:space="preserve"> et al., 1998). </w:t>
      </w:r>
      <w:r w:rsidRPr="37493441">
        <w:rPr>
          <w:rFonts w:ascii="Arial" w:hAnsi="Arial" w:cs="Arial"/>
          <w:lang w:val="en-US"/>
        </w:rPr>
        <w:t>​</w:t>
      </w:r>
      <w:r w:rsidRPr="37493441">
        <w:rPr>
          <w:lang w:val="en-US"/>
        </w:rPr>
        <w:t>The HOP is the progenitor of the more modern commercial North American Derived (NAD) cattle which has longer legs and larger body size. Previous studies have shown that two groups are genetically distinct due to introgression of genetic material from other breeds into the NAD (Hegarty et al., 2020).</w:t>
      </w:r>
    </w:p>
    <w:p w14:paraId="1F63B1C6" w14:textId="70D2D108" w:rsidR="007B30E3" w:rsidRDefault="007B30E3">
      <w:pPr>
        <w:rPr>
          <w:b/>
          <w:bCs/>
          <w:lang w:val="en-US"/>
        </w:rPr>
      </w:pPr>
      <w:r>
        <w:rPr>
          <w:b/>
          <w:bCs/>
          <w:lang w:val="en-US"/>
        </w:rPr>
        <w:t>Materials and Methods</w:t>
      </w:r>
    </w:p>
    <w:p w14:paraId="56F5FD5E" w14:textId="77777777" w:rsidR="0023485B" w:rsidRPr="0023485B" w:rsidRDefault="0023485B" w:rsidP="0023485B">
      <w:pPr>
        <w:jc w:val="both"/>
        <w:rPr>
          <w:u w:val="single"/>
          <w:lang w:val="en-US"/>
        </w:rPr>
      </w:pPr>
      <w:r w:rsidRPr="0023485B">
        <w:rPr>
          <w:u w:val="single"/>
          <w:lang w:val="en-US"/>
        </w:rPr>
        <w:t>Breed Assignment and Clustering of Genotypes</w:t>
      </w:r>
      <w:r w:rsidRPr="0023485B">
        <w:rPr>
          <w:rFonts w:ascii="Arial" w:hAnsi="Arial" w:cs="Arial"/>
          <w:u w:val="single"/>
          <w:lang w:val="en-US"/>
        </w:rPr>
        <w:t>​</w:t>
      </w:r>
    </w:p>
    <w:p w14:paraId="3605F2FD" w14:textId="5F66BDEB" w:rsidR="0023485B" w:rsidRPr="0023485B" w:rsidRDefault="0023485B" w:rsidP="0023485B">
      <w:pPr>
        <w:jc w:val="both"/>
        <w:rPr>
          <w:lang w:val="en-US"/>
        </w:rPr>
      </w:pPr>
      <w:r w:rsidRPr="4D1E7CFD">
        <w:rPr>
          <w:lang w:val="en-US"/>
        </w:rPr>
        <w:t xml:space="preserve">Cattle genotypes from Hereford Herdbook International (HHBI) were combined with previous data from McMahon </w:t>
      </w:r>
      <w:r w:rsidRPr="4D1E7CFD">
        <w:rPr>
          <w:i/>
          <w:iCs/>
          <w:lang w:val="en-US"/>
        </w:rPr>
        <w:t xml:space="preserve">et al. </w:t>
      </w:r>
      <w:r w:rsidRPr="4D1E7CFD">
        <w:rPr>
          <w:lang w:val="en-US"/>
        </w:rPr>
        <w:t xml:space="preserve">(2015) using the 7K </w:t>
      </w:r>
      <w:proofErr w:type="spellStart"/>
      <w:r w:rsidRPr="4D1E7CFD">
        <w:rPr>
          <w:lang w:val="en-US"/>
        </w:rPr>
        <w:t>BovineLD</w:t>
      </w:r>
      <w:proofErr w:type="spellEnd"/>
      <w:r w:rsidRPr="4D1E7CFD">
        <w:rPr>
          <w:lang w:val="en-US"/>
        </w:rPr>
        <w:t xml:space="preserve"> assay, to investigate </w:t>
      </w:r>
      <w:r w:rsidR="47C9A699" w:rsidRPr="4D1E7CFD">
        <w:rPr>
          <w:lang w:val="en-US"/>
        </w:rPr>
        <w:t>genetic</w:t>
      </w:r>
      <w:r w:rsidRPr="4D1E7CFD">
        <w:rPr>
          <w:lang w:val="en-US"/>
        </w:rPr>
        <w:t xml:space="preserve"> differences between the HOP and NA</w:t>
      </w:r>
      <w:r w:rsidR="00986C3F" w:rsidRPr="4D1E7CFD">
        <w:rPr>
          <w:lang w:val="en-US"/>
        </w:rPr>
        <w:t>D</w:t>
      </w:r>
      <w:r w:rsidRPr="4D1E7CFD">
        <w:rPr>
          <w:lang w:val="en-US"/>
        </w:rPr>
        <w:t xml:space="preserve"> populations. </w:t>
      </w:r>
      <w:proofErr w:type="spellStart"/>
      <w:r w:rsidRPr="4D1E7CFD">
        <w:rPr>
          <w:lang w:val="en-US"/>
        </w:rPr>
        <w:t>GeneSeek</w:t>
      </w:r>
      <w:proofErr w:type="spellEnd"/>
      <w:r w:rsidRPr="4D1E7CFD">
        <w:rPr>
          <w:lang w:val="en-US"/>
        </w:rPr>
        <w:t xml:space="preserve"> data was received in PLINK format and individual files were merged with data from </w:t>
      </w:r>
      <w:r w:rsidR="3606AD67" w:rsidRPr="4D1E7CFD">
        <w:rPr>
          <w:lang w:val="en-US"/>
        </w:rPr>
        <w:t xml:space="preserve">McMahon </w:t>
      </w:r>
      <w:r w:rsidR="3606AD67" w:rsidRPr="4D1E7CFD">
        <w:rPr>
          <w:i/>
          <w:iCs/>
          <w:lang w:val="en-US"/>
        </w:rPr>
        <w:t>e</w:t>
      </w:r>
      <w:r w:rsidRPr="4D1E7CFD">
        <w:rPr>
          <w:i/>
          <w:iCs/>
          <w:lang w:val="en-US"/>
        </w:rPr>
        <w:t>t</w:t>
      </w:r>
      <w:r w:rsidR="4C853961" w:rsidRPr="4D1E7CFD">
        <w:rPr>
          <w:i/>
          <w:iCs/>
          <w:lang w:val="en-US"/>
        </w:rPr>
        <w:t xml:space="preserve"> al.</w:t>
      </w:r>
      <w:r w:rsidR="4C853961" w:rsidRPr="4D1E7CFD">
        <w:rPr>
          <w:lang w:val="en-US"/>
        </w:rPr>
        <w:t xml:space="preserve"> (2015)</w:t>
      </w:r>
      <w:r w:rsidRPr="4D1E7CFD">
        <w:rPr>
          <w:lang w:val="en-US"/>
        </w:rPr>
        <w:t>, resulting in a final merged set of 4593 SNPs.</w:t>
      </w:r>
      <w:r w:rsidR="00491F5B" w:rsidRPr="4D1E7CFD">
        <w:rPr>
          <w:lang w:val="en-US"/>
        </w:rPr>
        <w:t xml:space="preserve"> </w:t>
      </w:r>
      <w:r w:rsidRPr="4D1E7CFD">
        <w:rPr>
          <w:lang w:val="en-US"/>
        </w:rPr>
        <w:t xml:space="preserve">Multidimensional Scaling (MDS) analysis was used to identify major sources of variation within the data. </w:t>
      </w:r>
      <w:r w:rsidRPr="4D1E7CFD">
        <w:rPr>
          <w:rFonts w:ascii="Arial" w:hAnsi="Arial" w:cs="Arial"/>
          <w:lang w:val="en-US"/>
        </w:rPr>
        <w:t>​</w:t>
      </w:r>
    </w:p>
    <w:p w14:paraId="1D47A6B5" w14:textId="77777777" w:rsidR="0023485B" w:rsidRPr="0023485B" w:rsidRDefault="0023485B" w:rsidP="0023485B">
      <w:pPr>
        <w:jc w:val="both"/>
        <w:rPr>
          <w:u w:val="single"/>
          <w:lang w:val="en-US"/>
        </w:rPr>
      </w:pPr>
      <w:r w:rsidRPr="0023485B">
        <w:rPr>
          <w:u w:val="single"/>
          <w:lang w:val="en-US"/>
        </w:rPr>
        <w:t>Whole genome resequencing</w:t>
      </w:r>
      <w:r w:rsidRPr="0023485B">
        <w:rPr>
          <w:rFonts w:ascii="Arial" w:hAnsi="Arial" w:cs="Arial"/>
          <w:u w:val="single"/>
          <w:lang w:val="en-US"/>
        </w:rPr>
        <w:t>​</w:t>
      </w:r>
    </w:p>
    <w:p w14:paraId="31DE43A2" w14:textId="289D801B" w:rsidR="007B30E3" w:rsidRDefault="0023485B" w:rsidP="0023485B">
      <w:pPr>
        <w:jc w:val="both"/>
        <w:rPr>
          <w:rFonts w:ascii="Arial" w:hAnsi="Arial" w:cs="Arial"/>
          <w:lang w:val="en-US"/>
        </w:rPr>
      </w:pPr>
      <w:r w:rsidRPr="4D1E7CFD">
        <w:rPr>
          <w:lang w:val="en-US"/>
        </w:rPr>
        <w:t>~12-50x genome resequencing data was obtained for 20 animals (mix of HOP, NAD and those of suspect or mixed pedigree</w:t>
      </w:r>
      <w:r w:rsidR="00986C3F" w:rsidRPr="4D1E7CFD">
        <w:rPr>
          <w:lang w:val="en-US"/>
        </w:rPr>
        <w:t>).</w:t>
      </w:r>
      <w:r w:rsidRPr="4D1E7CFD">
        <w:rPr>
          <w:lang w:val="en-US"/>
        </w:rPr>
        <w:t xml:space="preserve"> </w:t>
      </w:r>
      <w:r w:rsidR="474EBCA4" w:rsidRPr="4D1E7CFD">
        <w:rPr>
          <w:lang w:val="en-US"/>
        </w:rPr>
        <w:t xml:space="preserve">Data for 5 animals/breed for </w:t>
      </w:r>
      <w:r w:rsidR="008D12DB">
        <w:rPr>
          <w:lang w:val="en-US"/>
        </w:rPr>
        <w:t>12</w:t>
      </w:r>
      <w:r w:rsidR="474EBCA4" w:rsidRPr="4D1E7CFD">
        <w:rPr>
          <w:lang w:val="en-US"/>
        </w:rPr>
        <w:t xml:space="preserve"> other breeds was downloaded from </w:t>
      </w:r>
      <w:r w:rsidR="008D12DB" w:rsidRPr="008D12DB">
        <w:t>Sequence Read Archive</w:t>
      </w:r>
      <w:r w:rsidR="008D12DB">
        <w:t xml:space="preserve"> (SRA)</w:t>
      </w:r>
      <w:r w:rsidR="474EBCA4" w:rsidRPr="4D1E7CFD">
        <w:rPr>
          <w:lang w:val="en-US"/>
        </w:rPr>
        <w:t>. Reads were</w:t>
      </w:r>
      <w:r w:rsidRPr="4D1E7CFD">
        <w:rPr>
          <w:lang w:val="en-US"/>
        </w:rPr>
        <w:t xml:space="preserve"> aligned to the ARS-UCD1.2 bovine reference genome via Bowtie2 and used to call SNPs (~7 million) via </w:t>
      </w:r>
      <w:proofErr w:type="spellStart"/>
      <w:r w:rsidRPr="4D1E7CFD">
        <w:rPr>
          <w:lang w:val="en-US"/>
        </w:rPr>
        <w:t>SAMtools</w:t>
      </w:r>
      <w:proofErr w:type="spellEnd"/>
      <w:r w:rsidR="0B91C1B5" w:rsidRPr="4D1E7CFD">
        <w:rPr>
          <w:lang w:val="en-US"/>
        </w:rPr>
        <w:t>/</w:t>
      </w:r>
      <w:proofErr w:type="spellStart"/>
      <w:r w:rsidRPr="4D1E7CFD">
        <w:rPr>
          <w:lang w:val="en-US"/>
        </w:rPr>
        <w:t>bcftools</w:t>
      </w:r>
      <w:proofErr w:type="spellEnd"/>
      <w:r w:rsidRPr="4D1E7CFD">
        <w:rPr>
          <w:lang w:val="en-US"/>
        </w:rPr>
        <w:t>. These were then employed for Principal Component Analysis (PCA) using a custom Python script to identify relevant PC loadings.</w:t>
      </w:r>
      <w:r w:rsidRPr="4D1E7CFD">
        <w:rPr>
          <w:rFonts w:ascii="Arial" w:hAnsi="Arial" w:cs="Arial"/>
          <w:lang w:val="en-US"/>
        </w:rPr>
        <w:t>​</w:t>
      </w:r>
    </w:p>
    <w:p w14:paraId="291B90B0" w14:textId="05FC35BF" w:rsidR="0023485B" w:rsidRDefault="0023485B" w:rsidP="0023485B">
      <w:pPr>
        <w:jc w:val="both"/>
        <w:rPr>
          <w:rFonts w:cs="Arial"/>
          <w:u w:val="single"/>
          <w:lang w:val="en-US"/>
        </w:rPr>
      </w:pPr>
      <w:r w:rsidRPr="61976F7D">
        <w:rPr>
          <w:rFonts w:cs="Arial"/>
          <w:u w:val="single"/>
          <w:lang w:val="en-US"/>
        </w:rPr>
        <w:t>Machine Learning</w:t>
      </w:r>
    </w:p>
    <w:p w14:paraId="7C122CA5" w14:textId="4A075137" w:rsidR="00536E72" w:rsidRPr="005A3978" w:rsidRDefault="11F6401C" w:rsidP="61976F7D">
      <w:pPr>
        <w:spacing w:line="257" w:lineRule="auto"/>
        <w:jc w:val="both"/>
        <w:rPr>
          <w:rFonts w:ascii="Aptos" w:eastAsia="Aptos" w:hAnsi="Aptos" w:cs="Aptos"/>
        </w:rPr>
      </w:pPr>
      <w:r w:rsidRPr="4D1E7CFD">
        <w:rPr>
          <w:rFonts w:ascii="Aptos" w:eastAsia="Aptos" w:hAnsi="Aptos" w:cs="Aptos"/>
        </w:rPr>
        <w:t xml:space="preserve">PCA was employed for </w:t>
      </w:r>
      <w:r w:rsidR="3E622D3C" w:rsidRPr="4D1E7CFD">
        <w:rPr>
          <w:rFonts w:ascii="Aptos" w:eastAsia="Aptos" w:hAnsi="Aptos" w:cs="Aptos"/>
        </w:rPr>
        <w:t>d</w:t>
      </w:r>
      <w:r w:rsidR="1CA5802E" w:rsidRPr="4D1E7CFD">
        <w:rPr>
          <w:rFonts w:ascii="Aptos" w:eastAsia="Aptos" w:hAnsi="Aptos" w:cs="Aptos"/>
        </w:rPr>
        <w:t>imensionality reduction</w:t>
      </w:r>
      <w:r w:rsidR="082258AA" w:rsidRPr="4D1E7CFD">
        <w:rPr>
          <w:rFonts w:ascii="Aptos" w:eastAsia="Aptos" w:hAnsi="Aptos" w:cs="Aptos"/>
        </w:rPr>
        <w:t>.</w:t>
      </w:r>
      <w:r w:rsidR="1CA5802E" w:rsidRPr="4D1E7CFD">
        <w:rPr>
          <w:rFonts w:ascii="Aptos" w:eastAsia="Aptos" w:hAnsi="Aptos" w:cs="Aptos"/>
        </w:rPr>
        <w:t xml:space="preserve"> We applied non-linear classifier methods; Support Vector Machine (SVM) </w:t>
      </w:r>
      <w:r w:rsidR="69C17035" w:rsidRPr="4D1E7CFD">
        <w:rPr>
          <w:rFonts w:ascii="Aptos" w:eastAsia="Aptos" w:hAnsi="Aptos" w:cs="Aptos"/>
        </w:rPr>
        <w:t>algorithm and trained the m</w:t>
      </w:r>
      <w:r w:rsidR="7F6E478F" w:rsidRPr="4D1E7CFD">
        <w:rPr>
          <w:rFonts w:ascii="Aptos" w:eastAsia="Aptos" w:hAnsi="Aptos" w:cs="Aptos"/>
        </w:rPr>
        <w:t>odel</w:t>
      </w:r>
      <w:r w:rsidR="69C17035" w:rsidRPr="4D1E7CFD">
        <w:rPr>
          <w:rFonts w:ascii="Aptos" w:eastAsia="Aptos" w:hAnsi="Aptos" w:cs="Aptos"/>
        </w:rPr>
        <w:t xml:space="preserve"> </w:t>
      </w:r>
      <w:r w:rsidR="79D262CA" w:rsidRPr="4D1E7CFD">
        <w:rPr>
          <w:rFonts w:ascii="Aptos" w:eastAsia="Aptos" w:hAnsi="Aptos" w:cs="Aptos"/>
        </w:rPr>
        <w:t>with K</w:t>
      </w:r>
      <w:r w:rsidR="1CA5802E" w:rsidRPr="4D1E7CFD">
        <w:rPr>
          <w:rFonts w:ascii="Aptos" w:eastAsia="Aptos" w:hAnsi="Aptos" w:cs="Aptos"/>
        </w:rPr>
        <w:t xml:space="preserve"> fold (k=5) </w:t>
      </w:r>
      <w:r w:rsidR="07A30364" w:rsidRPr="4D1E7CFD">
        <w:rPr>
          <w:rFonts w:ascii="Aptos" w:eastAsia="Aptos" w:hAnsi="Aptos" w:cs="Aptos"/>
        </w:rPr>
        <w:t xml:space="preserve">stratified </w:t>
      </w:r>
      <w:r w:rsidR="1CA5802E" w:rsidRPr="4D1E7CFD">
        <w:rPr>
          <w:rFonts w:ascii="Aptos" w:eastAsia="Aptos" w:hAnsi="Aptos" w:cs="Aptos"/>
        </w:rPr>
        <w:t>cross</w:t>
      </w:r>
      <w:r w:rsidR="4E87BC39" w:rsidRPr="4D1E7CFD">
        <w:rPr>
          <w:rFonts w:ascii="Aptos" w:eastAsia="Aptos" w:hAnsi="Aptos" w:cs="Aptos"/>
        </w:rPr>
        <w:t>-</w:t>
      </w:r>
      <w:r w:rsidR="1CA5802E" w:rsidRPr="4D1E7CFD">
        <w:rPr>
          <w:rFonts w:ascii="Aptos" w:eastAsia="Aptos" w:hAnsi="Aptos" w:cs="Aptos"/>
        </w:rPr>
        <w:t>validation strategies.</w:t>
      </w:r>
    </w:p>
    <w:p w14:paraId="35CAF992" w14:textId="757C4728" w:rsidR="007B30E3" w:rsidRDefault="007B30E3" w:rsidP="37493441">
      <w:pPr>
        <w:spacing w:line="257" w:lineRule="auto"/>
        <w:jc w:val="both"/>
        <w:rPr>
          <w:b/>
          <w:bCs/>
          <w:lang w:val="en-US"/>
        </w:rPr>
      </w:pPr>
      <w:r w:rsidRPr="37493441">
        <w:rPr>
          <w:b/>
          <w:bCs/>
          <w:lang w:val="en-US"/>
        </w:rPr>
        <w:t>Results</w:t>
      </w:r>
    </w:p>
    <w:p w14:paraId="3D5C9672" w14:textId="0087F191" w:rsidR="007B30E3" w:rsidRDefault="063A0920" w:rsidP="0023485B">
      <w:pPr>
        <w:jc w:val="both"/>
      </w:pPr>
      <w:r>
        <w:t>Multidimensional scaling analysis</w:t>
      </w:r>
      <w:r w:rsidR="0023485B">
        <w:t xml:space="preserve"> shows a clear division between Hereford (OP) and Hereford (NAD) (Figure </w:t>
      </w:r>
      <w:r w:rsidR="005A3978">
        <w:t>1</w:t>
      </w:r>
      <w:r w:rsidR="0023485B">
        <w:t xml:space="preserve">). To show the strength of the division between groupings, we also plotted two non-Hereford breed groups - UK and US Simmental profiles (as examples of genetic variation due to environment/breeding practice) and Black/Red Angus (as examples of recently diverged breeds). The clear pattern of division between Hereford (OP) and Hereford (NAD) suggests that the two have been separated by a significant genetic shift, not likely to result from genetic drift or different breeding practices (Figure </w:t>
      </w:r>
      <w:r w:rsidR="005A3978">
        <w:t>1</w:t>
      </w:r>
      <w:r w:rsidR="0023485B">
        <w:t xml:space="preserve">). </w:t>
      </w:r>
    </w:p>
    <w:p w14:paraId="5075EE7B" w14:textId="7379B341" w:rsidR="00E312FF" w:rsidRPr="00AA6CA7" w:rsidRDefault="0CC32C43" w:rsidP="61976F7D">
      <w:pPr>
        <w:jc w:val="both"/>
        <w:rPr>
          <w:sz w:val="20"/>
          <w:szCs w:val="20"/>
        </w:rPr>
      </w:pPr>
      <w:r>
        <w:rPr>
          <w:noProof/>
        </w:rPr>
        <w:lastRenderedPageBreak/>
        <w:drawing>
          <wp:inline distT="0" distB="0" distL="0" distR="0" wp14:anchorId="1F63B0AC" wp14:editId="1DA9E064">
            <wp:extent cx="5724524" cy="3133725"/>
            <wp:effectExtent l="0" t="0" r="0" b="0"/>
            <wp:docPr id="2002473150" name="Picture 2002473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4524" cy="3133725"/>
                    </a:xfrm>
                    <a:prstGeom prst="rect">
                      <a:avLst/>
                    </a:prstGeom>
                  </pic:spPr>
                </pic:pic>
              </a:graphicData>
            </a:graphic>
          </wp:inline>
        </w:drawing>
      </w:r>
      <w:r w:rsidR="00536E72" w:rsidRPr="00AA6CA7">
        <w:rPr>
          <w:b/>
          <w:bCs/>
          <w:sz w:val="20"/>
          <w:szCs w:val="20"/>
        </w:rPr>
        <w:t xml:space="preserve">Figure 1. </w:t>
      </w:r>
      <w:r w:rsidR="00536E72" w:rsidRPr="00AA6CA7">
        <w:rPr>
          <w:sz w:val="20"/>
          <w:szCs w:val="20"/>
        </w:rPr>
        <w:t>MDS plot of HOP vs NAD, with reference breeds</w:t>
      </w:r>
    </w:p>
    <w:p w14:paraId="54BA7F9D" w14:textId="6FCB1F69" w:rsidR="0023485B" w:rsidRDefault="0023485B" w:rsidP="61976F7D">
      <w:pPr>
        <w:jc w:val="both"/>
        <w:rPr>
          <w:sz w:val="18"/>
          <w:szCs w:val="18"/>
        </w:rPr>
      </w:pPr>
    </w:p>
    <w:p w14:paraId="11222693" w14:textId="0D82DD4C" w:rsidR="0023485B" w:rsidRDefault="0023485B" w:rsidP="61976F7D">
      <w:pPr>
        <w:jc w:val="both"/>
        <w:rPr>
          <w:lang w:val="en-US"/>
        </w:rPr>
      </w:pPr>
      <w:r w:rsidRPr="4D1E7CFD">
        <w:rPr>
          <w:lang w:val="en-US"/>
        </w:rPr>
        <w:t xml:space="preserve">For the resequencing analysis, it was found that PC1 split the two breeds. Significant marker loadings were extracted and plotted against the reference genome to identify candidate genes near to these regions, as shown in Figure </w:t>
      </w:r>
      <w:r w:rsidR="00491F5B" w:rsidRPr="4D1E7CFD">
        <w:rPr>
          <w:lang w:val="en-US"/>
        </w:rPr>
        <w:t>2</w:t>
      </w:r>
      <w:r w:rsidRPr="4D1E7CFD">
        <w:rPr>
          <w:lang w:val="en-US"/>
        </w:rPr>
        <w:t xml:space="preserve">. Candidate genes were then subjected to literature search to identify possible function and any known role in cattle biology. </w:t>
      </w:r>
    </w:p>
    <w:p w14:paraId="7F1D3C86" w14:textId="2F7CD6E2" w:rsidR="00AA6CA7" w:rsidRDefault="0023485B" w:rsidP="0023485B">
      <w:pPr>
        <w:jc w:val="both"/>
      </w:pPr>
      <w:r>
        <w:t xml:space="preserve">Some of the candidate genes are related </w:t>
      </w:r>
      <w:r w:rsidR="43F96EFD">
        <w:t xml:space="preserve">to </w:t>
      </w:r>
      <w:r>
        <w:t>phenotypic traits</w:t>
      </w:r>
      <w:r w:rsidR="0DFAB8ED">
        <w:t xml:space="preserve"> involved in meat/milk production</w:t>
      </w:r>
      <w:r>
        <w:t xml:space="preserve">, like the MAATS1 gene </w:t>
      </w:r>
      <w:r w:rsidR="10496F65">
        <w:t>linked to</w:t>
      </w:r>
      <w:r>
        <w:t xml:space="preserve"> carcass fat in Nellore cattle</w:t>
      </w:r>
      <w:r w:rsidR="78FB0379">
        <w:t>,</w:t>
      </w:r>
      <w:r>
        <w:t xml:space="preserve"> or </w:t>
      </w:r>
      <w:r w:rsidR="01FB4EDA">
        <w:t xml:space="preserve">the </w:t>
      </w:r>
      <w:r>
        <w:t xml:space="preserve">ARHGEF26 gene </w:t>
      </w:r>
      <w:r w:rsidR="292D16A5">
        <w:t>associated with</w:t>
      </w:r>
      <w:r>
        <w:t xml:space="preserve"> milk cholesterol content in dairy cattle. Other</w:t>
      </w:r>
      <w:r w:rsidR="7102CA3B">
        <w:t xml:space="preserve"> genes are</w:t>
      </w:r>
      <w:r>
        <w:t xml:space="preserve"> also related </w:t>
      </w:r>
      <w:r w:rsidR="6B103B69">
        <w:t>to</w:t>
      </w:r>
      <w:r>
        <w:t xml:space="preserve"> phenotypic traits </w:t>
      </w:r>
      <w:r w:rsidR="4EF2ECF5">
        <w:t>which indirectly affect economic performance</w:t>
      </w:r>
      <w:r>
        <w:t xml:space="preserve">, </w:t>
      </w:r>
      <w:r w:rsidR="519373EA">
        <w:t>such as</w:t>
      </w:r>
      <w:r>
        <w:t xml:space="preserve"> the APP gene that affects cattle temperament</w:t>
      </w:r>
      <w:r w:rsidR="2F9FF053">
        <w:t>,</w:t>
      </w:r>
      <w:r>
        <w:t xml:space="preserve"> or the DCBLD2 gene </w:t>
      </w:r>
      <w:r w:rsidR="31B7B5D7">
        <w:t>linked to</w:t>
      </w:r>
      <w:r>
        <w:t xml:space="preserve"> hoof disorders and lameness in cattle.</w:t>
      </w:r>
    </w:p>
    <w:p w14:paraId="4EF82FC8" w14:textId="1590A5C0" w:rsidR="61976F7D" w:rsidRDefault="61976F7D" w:rsidP="61976F7D">
      <w:pPr>
        <w:jc w:val="both"/>
      </w:pPr>
    </w:p>
    <w:p w14:paraId="5811EA39" w14:textId="0341F99A" w:rsidR="00536E72" w:rsidRPr="00AA6CA7" w:rsidRDefault="00986C3F" w:rsidP="37493441">
      <w:pPr>
        <w:jc w:val="both"/>
        <w:rPr>
          <w:sz w:val="20"/>
          <w:szCs w:val="20"/>
          <w:lang w:val="en-US"/>
        </w:rPr>
      </w:pPr>
      <w:r>
        <w:rPr>
          <w:noProof/>
        </w:rPr>
        <w:drawing>
          <wp:inline distT="0" distB="0" distL="0" distR="0" wp14:anchorId="0884E09C" wp14:editId="3D486726">
            <wp:extent cx="3909848" cy="2720346"/>
            <wp:effectExtent l="0" t="0" r="1905" b="0"/>
            <wp:docPr id="1970058829" name="Picture 2" descr="A screen 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09848" cy="2720346"/>
                    </a:xfrm>
                    <a:prstGeom prst="rect">
                      <a:avLst/>
                    </a:prstGeom>
                  </pic:spPr>
                </pic:pic>
              </a:graphicData>
            </a:graphic>
          </wp:inline>
        </w:drawing>
      </w:r>
    </w:p>
    <w:p w14:paraId="6B6062B7" w14:textId="020E20C5" w:rsidR="00536E72" w:rsidRPr="00AA6CA7" w:rsidRDefault="005C720A" w:rsidP="0023485B">
      <w:pPr>
        <w:jc w:val="both"/>
        <w:rPr>
          <w:sz w:val="20"/>
          <w:szCs w:val="20"/>
          <w:lang w:val="en-US"/>
        </w:rPr>
      </w:pPr>
      <w:r w:rsidRPr="4D1E7CFD">
        <w:rPr>
          <w:b/>
          <w:bCs/>
          <w:sz w:val="20"/>
          <w:szCs w:val="20"/>
        </w:rPr>
        <w:t xml:space="preserve">Figure 2. </w:t>
      </w:r>
      <w:r w:rsidRPr="4D1E7CFD">
        <w:rPr>
          <w:sz w:val="20"/>
          <w:szCs w:val="20"/>
        </w:rPr>
        <w:t>Results of PCA loading analysis for c</w:t>
      </w:r>
      <w:r w:rsidR="1916C0AD" w:rsidRPr="4D1E7CFD">
        <w:rPr>
          <w:sz w:val="20"/>
          <w:szCs w:val="20"/>
        </w:rPr>
        <w:t>hromosome</w:t>
      </w:r>
      <w:r w:rsidRPr="4D1E7CFD">
        <w:rPr>
          <w:sz w:val="20"/>
          <w:szCs w:val="20"/>
        </w:rPr>
        <w:t xml:space="preserve"> 1, based on WGS resequencing</w:t>
      </w:r>
    </w:p>
    <w:p w14:paraId="0E9B2E09" w14:textId="77777777" w:rsidR="00AA6CA7" w:rsidRDefault="00AA6CA7" w:rsidP="0023485B">
      <w:pPr>
        <w:jc w:val="both"/>
      </w:pPr>
    </w:p>
    <w:p w14:paraId="659A1A20" w14:textId="2124C4DE" w:rsidR="61976F7D" w:rsidRDefault="61976F7D" w:rsidP="61976F7D">
      <w:pPr>
        <w:jc w:val="both"/>
      </w:pPr>
    </w:p>
    <w:p w14:paraId="68E461EC" w14:textId="317E8356" w:rsidR="007B30E3" w:rsidRDefault="007B30E3">
      <w:pPr>
        <w:rPr>
          <w:b/>
          <w:bCs/>
          <w:lang w:val="en-US"/>
        </w:rPr>
      </w:pPr>
      <w:r>
        <w:rPr>
          <w:b/>
          <w:bCs/>
          <w:lang w:val="en-US"/>
        </w:rPr>
        <w:t>Conclusions</w:t>
      </w:r>
    </w:p>
    <w:p w14:paraId="2D338EB7" w14:textId="45316F2D" w:rsidR="00CE62AC" w:rsidRDefault="00CE62AC" w:rsidP="61976F7D">
      <w:pPr>
        <w:jc w:val="both"/>
        <w:rPr>
          <w:lang w:val="en-US"/>
        </w:rPr>
      </w:pPr>
      <w:r w:rsidRPr="4D1E7CFD">
        <w:rPr>
          <w:lang w:val="en-US"/>
        </w:rPr>
        <w:t>This study identified clear genetic distinctions between the Hereford Original Population (HOP) and the North American Derived (NAD) Hereford cattle. The significant genetic shifts detected are unlikely to have occurred exclusively due to genetic drift or different breeding methods. Machine learning techniques have improved the ability to categorize breeds and manage complex dataset</w:t>
      </w:r>
      <w:r w:rsidR="72A4775F" w:rsidRPr="4D1E7CFD">
        <w:rPr>
          <w:lang w:val="en-US"/>
        </w:rPr>
        <w:t>s</w:t>
      </w:r>
      <w:r w:rsidRPr="4D1E7CFD">
        <w:rPr>
          <w:lang w:val="en-US"/>
        </w:rPr>
        <w:t>. Overall, the findings indicate the feasibility of developing a</w:t>
      </w:r>
      <w:r w:rsidR="1CC63CE5" w:rsidRPr="4D1E7CFD">
        <w:rPr>
          <w:lang w:val="en-US"/>
        </w:rPr>
        <w:t>n improved</w:t>
      </w:r>
      <w:r w:rsidRPr="4D1E7CFD">
        <w:rPr>
          <w:lang w:val="en-US"/>
        </w:rPr>
        <w:t xml:space="preserve"> genetic test for distinguishing traditional and modern Hereford cattle populations, which is essential for maintaining the genetic integrity of the HOP and preventing undesirable admixture with external bloodlines.</w:t>
      </w:r>
    </w:p>
    <w:p w14:paraId="5C0B9574" w14:textId="73C80BE4" w:rsidR="005A3978" w:rsidRDefault="00A73A2F">
      <w:pPr>
        <w:rPr>
          <w:b/>
          <w:bCs/>
          <w:lang w:val="en-US"/>
        </w:rPr>
      </w:pPr>
      <w:r w:rsidRPr="4D1E7CFD">
        <w:rPr>
          <w:b/>
          <w:bCs/>
          <w:lang w:val="en-US"/>
        </w:rPr>
        <w:t>Acknowledgements</w:t>
      </w:r>
    </w:p>
    <w:p w14:paraId="1E82C1CB" w14:textId="52911887" w:rsidR="55C03A3C" w:rsidRDefault="55C03A3C" w:rsidP="4D1E7CFD">
      <w:r w:rsidRPr="4D1E7CFD">
        <w:rPr>
          <w:rFonts w:ascii="Aptos" w:eastAsia="Aptos" w:hAnsi="Aptos" w:cs="Aptos"/>
          <w:lang w:val="en-US"/>
        </w:rPr>
        <w:t xml:space="preserve">The authors express gratitude to </w:t>
      </w:r>
      <w:proofErr w:type="spellStart"/>
      <w:r w:rsidRPr="4D1E7CFD">
        <w:rPr>
          <w:rFonts w:ascii="Aptos" w:eastAsia="Aptos" w:hAnsi="Aptos" w:cs="Aptos"/>
          <w:lang w:val="en-US"/>
        </w:rPr>
        <w:t>Neogen</w:t>
      </w:r>
      <w:proofErr w:type="spellEnd"/>
      <w:r w:rsidRPr="4D1E7CFD">
        <w:rPr>
          <w:rFonts w:ascii="Aptos" w:eastAsia="Aptos" w:hAnsi="Aptos" w:cs="Aptos"/>
          <w:lang w:val="en-US"/>
        </w:rPr>
        <w:t>® for their assistance during the study and to Hereford Herdbook International (HHBI) for their contributions to the Ph.D. bursary.</w:t>
      </w:r>
    </w:p>
    <w:p w14:paraId="45CC747B" w14:textId="5F74151C" w:rsidR="4D1E7CFD" w:rsidRDefault="4D1E7CFD" w:rsidP="4D1E7CFD">
      <w:pPr>
        <w:rPr>
          <w:rFonts w:ascii="Aptos" w:eastAsia="Aptos" w:hAnsi="Aptos" w:cs="Aptos"/>
          <w:lang w:val="en-US"/>
        </w:rPr>
      </w:pPr>
    </w:p>
    <w:p w14:paraId="0ADB320F" w14:textId="5E6F53FF" w:rsidR="007B30E3" w:rsidRDefault="007B30E3">
      <w:pPr>
        <w:rPr>
          <w:b/>
          <w:bCs/>
          <w:lang w:val="en-US"/>
        </w:rPr>
      </w:pPr>
      <w:r>
        <w:rPr>
          <w:b/>
          <w:bCs/>
          <w:lang w:val="en-US"/>
        </w:rPr>
        <w:t>References</w:t>
      </w:r>
    </w:p>
    <w:p w14:paraId="37612B3F" w14:textId="77777777" w:rsidR="0023485B" w:rsidRPr="0023485B" w:rsidRDefault="0023485B" w:rsidP="0023485B">
      <w:pPr>
        <w:jc w:val="both"/>
        <w:rPr>
          <w:lang w:val="en-US"/>
        </w:rPr>
      </w:pPr>
      <w:proofErr w:type="spellStart"/>
      <w:r w:rsidRPr="0023485B">
        <w:rPr>
          <w:lang w:val="en-US"/>
        </w:rPr>
        <w:t>Blott</w:t>
      </w:r>
      <w:proofErr w:type="spellEnd"/>
      <w:r w:rsidRPr="0023485B">
        <w:rPr>
          <w:lang w:val="en-US"/>
        </w:rPr>
        <w:t>, S. C., Williams, J. L., &amp; Haley, C. S. (1998). Genetic variation within the Hereford breed of cattle. Animal Genetics, 29(3), 202–211.</w:t>
      </w:r>
      <w:r w:rsidRPr="0023485B">
        <w:rPr>
          <w:rFonts w:ascii="Arial" w:hAnsi="Arial" w:cs="Arial"/>
          <w:lang w:val="en-US"/>
        </w:rPr>
        <w:t>​</w:t>
      </w:r>
    </w:p>
    <w:p w14:paraId="25C4DFB0" w14:textId="3D079F49" w:rsidR="0023485B" w:rsidRPr="0023485B" w:rsidRDefault="0023485B" w:rsidP="4D1E7CFD">
      <w:pPr>
        <w:jc w:val="both"/>
        <w:rPr>
          <w:lang w:val="en-US"/>
        </w:rPr>
      </w:pPr>
      <w:r w:rsidRPr="4D1E7CFD">
        <w:rPr>
          <w:lang w:val="en-US"/>
        </w:rPr>
        <w:t>Hegarty, M., Broadbent, Z. E., &amp; McMahon, R. (2020). Towards the development of a genetic test for distinguishing the Hereford Original Population (Hereford (OP)) from the Hereford North American Derived (Hereford (NAD)) cattle in the UK, Australia and North America</w:t>
      </w:r>
      <w:r w:rsidR="1D68448A" w:rsidRPr="4D1E7CFD">
        <w:rPr>
          <w:lang w:val="en-US"/>
        </w:rPr>
        <w:t>, Aberystwyth University.</w:t>
      </w:r>
      <w:r w:rsidR="1D68448A" w:rsidRPr="4D1E7CFD">
        <w:rPr>
          <w:rFonts w:ascii="Arial" w:hAnsi="Arial" w:cs="Arial"/>
          <w:lang w:val="en-US"/>
        </w:rPr>
        <w:t>​</w:t>
      </w:r>
    </w:p>
    <w:p w14:paraId="0CC62793" w14:textId="0343B7DA" w:rsidR="0023485B" w:rsidRPr="0023485B" w:rsidRDefault="0023485B" w:rsidP="0023485B">
      <w:pPr>
        <w:jc w:val="both"/>
        <w:rPr>
          <w:lang w:val="en-US"/>
        </w:rPr>
      </w:pPr>
      <w:r w:rsidRPr="4D1E7CFD">
        <w:rPr>
          <w:lang w:val="en-US"/>
        </w:rPr>
        <w:t>McMahon, R., Avila, V., Debbonaire, A., Patten, E., &amp; Hegarty, M</w:t>
      </w:r>
      <w:r w:rsidR="11E011E3" w:rsidRPr="4D1E7CFD">
        <w:rPr>
          <w:lang w:val="en-US"/>
        </w:rPr>
        <w:t xml:space="preserve">. </w:t>
      </w:r>
      <w:r w:rsidRPr="4D1E7CFD">
        <w:rPr>
          <w:lang w:val="en-US"/>
        </w:rPr>
        <w:t>(2015) Verification of breed, individual identity and farm of origin of beef carcasses using genetic assays. Report to Waitrose Supermarket, Aberystwyth University.</w:t>
      </w:r>
      <w:r w:rsidRPr="4D1E7CFD">
        <w:rPr>
          <w:rFonts w:ascii="Arial" w:hAnsi="Arial" w:cs="Arial"/>
          <w:lang w:val="en-US"/>
        </w:rPr>
        <w:t>​</w:t>
      </w:r>
    </w:p>
    <w:p w14:paraId="28E8F491" w14:textId="77777777" w:rsidR="0023485B" w:rsidRPr="0023485B" w:rsidRDefault="0023485B" w:rsidP="0023485B">
      <w:pPr>
        <w:jc w:val="both"/>
        <w:rPr>
          <w:lang w:val="en-US"/>
        </w:rPr>
      </w:pPr>
      <w:proofErr w:type="spellStart"/>
      <w:r w:rsidRPr="0023485B">
        <w:rPr>
          <w:lang w:val="en-US"/>
        </w:rPr>
        <w:t>Willham</w:t>
      </w:r>
      <w:proofErr w:type="spellEnd"/>
      <w:r w:rsidRPr="0023485B">
        <w:rPr>
          <w:lang w:val="en-US"/>
        </w:rPr>
        <w:t xml:space="preserve">, O. S. (1937). A genetic history of Hereford cattle in the United States. Journal of Heredity, 28(8), 283–294. </w:t>
      </w:r>
    </w:p>
    <w:p w14:paraId="2AC15BA7" w14:textId="77777777" w:rsidR="0023485B" w:rsidRPr="007B30E3" w:rsidRDefault="0023485B">
      <w:pPr>
        <w:rPr>
          <w:b/>
          <w:bCs/>
          <w:lang w:val="en-US"/>
        </w:rPr>
      </w:pPr>
    </w:p>
    <w:sectPr w:rsidR="0023485B" w:rsidRPr="007B30E3" w:rsidSect="00DD21B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yPKFYzcntHsygG" int2:id="vhVhG5Yh">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C046F"/>
    <w:multiLevelType w:val="hybridMultilevel"/>
    <w:tmpl w:val="687E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FC15C4"/>
    <w:multiLevelType w:val="multilevel"/>
    <w:tmpl w:val="808E5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1890609">
    <w:abstractNumId w:val="0"/>
  </w:num>
  <w:num w:numId="2" w16cid:durableId="1790053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E3"/>
    <w:rsid w:val="000410F4"/>
    <w:rsid w:val="00167442"/>
    <w:rsid w:val="0023485B"/>
    <w:rsid w:val="00383DCD"/>
    <w:rsid w:val="00397193"/>
    <w:rsid w:val="00480968"/>
    <w:rsid w:val="00491F5B"/>
    <w:rsid w:val="004E6C30"/>
    <w:rsid w:val="00536E72"/>
    <w:rsid w:val="00556F65"/>
    <w:rsid w:val="005A3978"/>
    <w:rsid w:val="005C720A"/>
    <w:rsid w:val="00625B14"/>
    <w:rsid w:val="00663407"/>
    <w:rsid w:val="007B30E3"/>
    <w:rsid w:val="008D12DB"/>
    <w:rsid w:val="00933E8C"/>
    <w:rsid w:val="00986C3F"/>
    <w:rsid w:val="009F4C66"/>
    <w:rsid w:val="00A73A2F"/>
    <w:rsid w:val="00AA6CA7"/>
    <w:rsid w:val="00B52E4E"/>
    <w:rsid w:val="00C53AE2"/>
    <w:rsid w:val="00C95030"/>
    <w:rsid w:val="00CE62AC"/>
    <w:rsid w:val="00D3608A"/>
    <w:rsid w:val="00DD21B5"/>
    <w:rsid w:val="00E27EE6"/>
    <w:rsid w:val="00E312FF"/>
    <w:rsid w:val="00E77ED2"/>
    <w:rsid w:val="00F17B28"/>
    <w:rsid w:val="01FB4EDA"/>
    <w:rsid w:val="0346BD97"/>
    <w:rsid w:val="03A4538E"/>
    <w:rsid w:val="043525C0"/>
    <w:rsid w:val="063A0920"/>
    <w:rsid w:val="07A30364"/>
    <w:rsid w:val="082258AA"/>
    <w:rsid w:val="0B91C1B5"/>
    <w:rsid w:val="0CC32C43"/>
    <w:rsid w:val="0DFAB8ED"/>
    <w:rsid w:val="10496F65"/>
    <w:rsid w:val="11E011E3"/>
    <w:rsid w:val="11F6401C"/>
    <w:rsid w:val="12A5E498"/>
    <w:rsid w:val="15C82A31"/>
    <w:rsid w:val="1916C0AD"/>
    <w:rsid w:val="19833234"/>
    <w:rsid w:val="1B4F02EF"/>
    <w:rsid w:val="1CA5802E"/>
    <w:rsid w:val="1CC63CE5"/>
    <w:rsid w:val="1D68448A"/>
    <w:rsid w:val="226E1CA2"/>
    <w:rsid w:val="28A4DB9D"/>
    <w:rsid w:val="28FE27E1"/>
    <w:rsid w:val="292D16A5"/>
    <w:rsid w:val="29A3035E"/>
    <w:rsid w:val="2C4B9314"/>
    <w:rsid w:val="2F9FF053"/>
    <w:rsid w:val="31B7B5D7"/>
    <w:rsid w:val="3414A170"/>
    <w:rsid w:val="341A29E0"/>
    <w:rsid w:val="3606AD67"/>
    <w:rsid w:val="37493441"/>
    <w:rsid w:val="3770FDAA"/>
    <w:rsid w:val="38B3106B"/>
    <w:rsid w:val="39F8D6C0"/>
    <w:rsid w:val="3E622D3C"/>
    <w:rsid w:val="417F6C77"/>
    <w:rsid w:val="420FED09"/>
    <w:rsid w:val="43F96EFD"/>
    <w:rsid w:val="4591E607"/>
    <w:rsid w:val="462E4124"/>
    <w:rsid w:val="474EBCA4"/>
    <w:rsid w:val="47C9A699"/>
    <w:rsid w:val="47EE7DA9"/>
    <w:rsid w:val="48743B1A"/>
    <w:rsid w:val="4992E308"/>
    <w:rsid w:val="4BAE9406"/>
    <w:rsid w:val="4C853961"/>
    <w:rsid w:val="4D1E7CFD"/>
    <w:rsid w:val="4E6FFBBD"/>
    <w:rsid w:val="4E87BC39"/>
    <w:rsid w:val="4EF2ECF5"/>
    <w:rsid w:val="519373EA"/>
    <w:rsid w:val="54B23479"/>
    <w:rsid w:val="55C03A3C"/>
    <w:rsid w:val="56C87198"/>
    <w:rsid w:val="5F098158"/>
    <w:rsid w:val="601D4245"/>
    <w:rsid w:val="616397FF"/>
    <w:rsid w:val="61976F7D"/>
    <w:rsid w:val="638E77E1"/>
    <w:rsid w:val="6602DA9E"/>
    <w:rsid w:val="67D12E89"/>
    <w:rsid w:val="68641310"/>
    <w:rsid w:val="69C17035"/>
    <w:rsid w:val="6ACB56BE"/>
    <w:rsid w:val="6B103B69"/>
    <w:rsid w:val="6C25F1D5"/>
    <w:rsid w:val="6D0F236D"/>
    <w:rsid w:val="6E5FBE39"/>
    <w:rsid w:val="7102CA3B"/>
    <w:rsid w:val="72A4775F"/>
    <w:rsid w:val="735AEC6E"/>
    <w:rsid w:val="78FB0379"/>
    <w:rsid w:val="79D262CA"/>
    <w:rsid w:val="7A33F2D2"/>
    <w:rsid w:val="7A5D093F"/>
    <w:rsid w:val="7AF33C46"/>
    <w:rsid w:val="7C7BBAE4"/>
    <w:rsid w:val="7CDB2F73"/>
    <w:rsid w:val="7EF3829E"/>
    <w:rsid w:val="7F6E478F"/>
    <w:rsid w:val="7FB6A4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3A22"/>
  <w15:chartTrackingRefBased/>
  <w15:docId w15:val="{071DFB90-475F-4F62-BAC5-508A4A0B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0E3"/>
    <w:rPr>
      <w:rFonts w:eastAsiaTheme="majorEastAsia" w:cstheme="majorBidi"/>
      <w:color w:val="272727" w:themeColor="text1" w:themeTint="D8"/>
    </w:rPr>
  </w:style>
  <w:style w:type="paragraph" w:styleId="Title">
    <w:name w:val="Title"/>
    <w:basedOn w:val="Normal"/>
    <w:next w:val="Normal"/>
    <w:link w:val="TitleChar"/>
    <w:uiPriority w:val="10"/>
    <w:qFormat/>
    <w:rsid w:val="007B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0E3"/>
    <w:pPr>
      <w:spacing w:before="160"/>
      <w:jc w:val="center"/>
    </w:pPr>
    <w:rPr>
      <w:i/>
      <w:iCs/>
      <w:color w:val="404040" w:themeColor="text1" w:themeTint="BF"/>
    </w:rPr>
  </w:style>
  <w:style w:type="character" w:customStyle="1" w:styleId="QuoteChar">
    <w:name w:val="Quote Char"/>
    <w:basedOn w:val="DefaultParagraphFont"/>
    <w:link w:val="Quote"/>
    <w:uiPriority w:val="29"/>
    <w:rsid w:val="007B30E3"/>
    <w:rPr>
      <w:i/>
      <w:iCs/>
      <w:color w:val="404040" w:themeColor="text1" w:themeTint="BF"/>
    </w:rPr>
  </w:style>
  <w:style w:type="paragraph" w:styleId="ListParagraph">
    <w:name w:val="List Paragraph"/>
    <w:basedOn w:val="Normal"/>
    <w:uiPriority w:val="34"/>
    <w:qFormat/>
    <w:rsid w:val="007B30E3"/>
    <w:pPr>
      <w:ind w:left="720"/>
      <w:contextualSpacing/>
    </w:pPr>
  </w:style>
  <w:style w:type="character" w:styleId="IntenseEmphasis">
    <w:name w:val="Intense Emphasis"/>
    <w:basedOn w:val="DefaultParagraphFont"/>
    <w:uiPriority w:val="21"/>
    <w:qFormat/>
    <w:rsid w:val="007B30E3"/>
    <w:rPr>
      <w:i/>
      <w:iCs/>
      <w:color w:val="0F4761" w:themeColor="accent1" w:themeShade="BF"/>
    </w:rPr>
  </w:style>
  <w:style w:type="paragraph" w:styleId="IntenseQuote">
    <w:name w:val="Intense Quote"/>
    <w:basedOn w:val="Normal"/>
    <w:next w:val="Normal"/>
    <w:link w:val="IntenseQuoteChar"/>
    <w:uiPriority w:val="30"/>
    <w:qFormat/>
    <w:rsid w:val="007B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0E3"/>
    <w:rPr>
      <w:i/>
      <w:iCs/>
      <w:color w:val="0F4761" w:themeColor="accent1" w:themeShade="BF"/>
    </w:rPr>
  </w:style>
  <w:style w:type="character" w:styleId="IntenseReference">
    <w:name w:val="Intense Reference"/>
    <w:basedOn w:val="DefaultParagraphFont"/>
    <w:uiPriority w:val="32"/>
    <w:qFormat/>
    <w:rsid w:val="007B30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342865">
      <w:bodyDiv w:val="1"/>
      <w:marLeft w:val="0"/>
      <w:marRight w:val="0"/>
      <w:marTop w:val="0"/>
      <w:marBottom w:val="0"/>
      <w:divBdr>
        <w:top w:val="none" w:sz="0" w:space="0" w:color="auto"/>
        <w:left w:val="none" w:sz="0" w:space="0" w:color="auto"/>
        <w:bottom w:val="none" w:sz="0" w:space="0" w:color="auto"/>
        <w:right w:val="none" w:sz="0" w:space="0" w:color="auto"/>
      </w:divBdr>
      <w:divsChild>
        <w:div w:id="1199467219">
          <w:marLeft w:val="0"/>
          <w:marRight w:val="0"/>
          <w:marTop w:val="0"/>
          <w:marBottom w:val="0"/>
          <w:divBdr>
            <w:top w:val="none" w:sz="0" w:space="0" w:color="auto"/>
            <w:left w:val="none" w:sz="0" w:space="0" w:color="auto"/>
            <w:bottom w:val="none" w:sz="0" w:space="0" w:color="auto"/>
            <w:right w:val="none" w:sz="0" w:space="0" w:color="auto"/>
          </w:divBdr>
        </w:div>
        <w:div w:id="1297100529">
          <w:marLeft w:val="0"/>
          <w:marRight w:val="0"/>
          <w:marTop w:val="0"/>
          <w:marBottom w:val="0"/>
          <w:divBdr>
            <w:top w:val="none" w:sz="0" w:space="0" w:color="auto"/>
            <w:left w:val="none" w:sz="0" w:space="0" w:color="auto"/>
            <w:bottom w:val="none" w:sz="0" w:space="0" w:color="auto"/>
            <w:right w:val="none" w:sz="0" w:space="0" w:color="auto"/>
          </w:divBdr>
        </w:div>
        <w:div w:id="1523667187">
          <w:marLeft w:val="0"/>
          <w:marRight w:val="0"/>
          <w:marTop w:val="0"/>
          <w:marBottom w:val="0"/>
          <w:divBdr>
            <w:top w:val="none" w:sz="0" w:space="0" w:color="auto"/>
            <w:left w:val="none" w:sz="0" w:space="0" w:color="auto"/>
            <w:bottom w:val="none" w:sz="0" w:space="0" w:color="auto"/>
            <w:right w:val="none" w:sz="0" w:space="0" w:color="auto"/>
          </w:divBdr>
        </w:div>
      </w:divsChild>
    </w:div>
    <w:div w:id="287511095">
      <w:bodyDiv w:val="1"/>
      <w:marLeft w:val="0"/>
      <w:marRight w:val="0"/>
      <w:marTop w:val="0"/>
      <w:marBottom w:val="0"/>
      <w:divBdr>
        <w:top w:val="none" w:sz="0" w:space="0" w:color="auto"/>
        <w:left w:val="none" w:sz="0" w:space="0" w:color="auto"/>
        <w:bottom w:val="none" w:sz="0" w:space="0" w:color="auto"/>
        <w:right w:val="none" w:sz="0" w:space="0" w:color="auto"/>
      </w:divBdr>
      <w:divsChild>
        <w:div w:id="1791629369">
          <w:marLeft w:val="0"/>
          <w:marRight w:val="0"/>
          <w:marTop w:val="0"/>
          <w:marBottom w:val="0"/>
          <w:divBdr>
            <w:top w:val="none" w:sz="0" w:space="0" w:color="auto"/>
            <w:left w:val="none" w:sz="0" w:space="0" w:color="auto"/>
            <w:bottom w:val="none" w:sz="0" w:space="0" w:color="auto"/>
            <w:right w:val="none" w:sz="0" w:space="0" w:color="auto"/>
          </w:divBdr>
        </w:div>
        <w:div w:id="1133792829">
          <w:marLeft w:val="0"/>
          <w:marRight w:val="0"/>
          <w:marTop w:val="0"/>
          <w:marBottom w:val="0"/>
          <w:divBdr>
            <w:top w:val="none" w:sz="0" w:space="0" w:color="auto"/>
            <w:left w:val="none" w:sz="0" w:space="0" w:color="auto"/>
            <w:bottom w:val="none" w:sz="0" w:space="0" w:color="auto"/>
            <w:right w:val="none" w:sz="0" w:space="0" w:color="auto"/>
          </w:divBdr>
        </w:div>
        <w:div w:id="127360711">
          <w:marLeft w:val="0"/>
          <w:marRight w:val="0"/>
          <w:marTop w:val="0"/>
          <w:marBottom w:val="0"/>
          <w:divBdr>
            <w:top w:val="none" w:sz="0" w:space="0" w:color="auto"/>
            <w:left w:val="none" w:sz="0" w:space="0" w:color="auto"/>
            <w:bottom w:val="none" w:sz="0" w:space="0" w:color="auto"/>
            <w:right w:val="none" w:sz="0" w:space="0" w:color="auto"/>
          </w:divBdr>
        </w:div>
        <w:div w:id="539821811">
          <w:marLeft w:val="0"/>
          <w:marRight w:val="0"/>
          <w:marTop w:val="0"/>
          <w:marBottom w:val="0"/>
          <w:divBdr>
            <w:top w:val="none" w:sz="0" w:space="0" w:color="auto"/>
            <w:left w:val="none" w:sz="0" w:space="0" w:color="auto"/>
            <w:bottom w:val="none" w:sz="0" w:space="0" w:color="auto"/>
            <w:right w:val="none" w:sz="0" w:space="0" w:color="auto"/>
          </w:divBdr>
        </w:div>
      </w:divsChild>
    </w:div>
    <w:div w:id="327636980">
      <w:bodyDiv w:val="1"/>
      <w:marLeft w:val="0"/>
      <w:marRight w:val="0"/>
      <w:marTop w:val="0"/>
      <w:marBottom w:val="0"/>
      <w:divBdr>
        <w:top w:val="none" w:sz="0" w:space="0" w:color="auto"/>
        <w:left w:val="none" w:sz="0" w:space="0" w:color="auto"/>
        <w:bottom w:val="none" w:sz="0" w:space="0" w:color="auto"/>
        <w:right w:val="none" w:sz="0" w:space="0" w:color="auto"/>
      </w:divBdr>
      <w:divsChild>
        <w:div w:id="1508472358">
          <w:marLeft w:val="0"/>
          <w:marRight w:val="0"/>
          <w:marTop w:val="0"/>
          <w:marBottom w:val="0"/>
          <w:divBdr>
            <w:top w:val="none" w:sz="0" w:space="0" w:color="auto"/>
            <w:left w:val="none" w:sz="0" w:space="0" w:color="auto"/>
            <w:bottom w:val="none" w:sz="0" w:space="0" w:color="auto"/>
            <w:right w:val="none" w:sz="0" w:space="0" w:color="auto"/>
          </w:divBdr>
        </w:div>
        <w:div w:id="948312346">
          <w:marLeft w:val="0"/>
          <w:marRight w:val="0"/>
          <w:marTop w:val="0"/>
          <w:marBottom w:val="0"/>
          <w:divBdr>
            <w:top w:val="none" w:sz="0" w:space="0" w:color="auto"/>
            <w:left w:val="none" w:sz="0" w:space="0" w:color="auto"/>
            <w:bottom w:val="none" w:sz="0" w:space="0" w:color="auto"/>
            <w:right w:val="none" w:sz="0" w:space="0" w:color="auto"/>
          </w:divBdr>
        </w:div>
      </w:divsChild>
    </w:div>
    <w:div w:id="354817667">
      <w:bodyDiv w:val="1"/>
      <w:marLeft w:val="0"/>
      <w:marRight w:val="0"/>
      <w:marTop w:val="0"/>
      <w:marBottom w:val="0"/>
      <w:divBdr>
        <w:top w:val="none" w:sz="0" w:space="0" w:color="auto"/>
        <w:left w:val="none" w:sz="0" w:space="0" w:color="auto"/>
        <w:bottom w:val="none" w:sz="0" w:space="0" w:color="auto"/>
        <w:right w:val="none" w:sz="0" w:space="0" w:color="auto"/>
      </w:divBdr>
      <w:divsChild>
        <w:div w:id="637490463">
          <w:marLeft w:val="0"/>
          <w:marRight w:val="0"/>
          <w:marTop w:val="0"/>
          <w:marBottom w:val="0"/>
          <w:divBdr>
            <w:top w:val="none" w:sz="0" w:space="0" w:color="auto"/>
            <w:left w:val="none" w:sz="0" w:space="0" w:color="auto"/>
            <w:bottom w:val="none" w:sz="0" w:space="0" w:color="auto"/>
            <w:right w:val="none" w:sz="0" w:space="0" w:color="auto"/>
          </w:divBdr>
        </w:div>
        <w:div w:id="363411289">
          <w:marLeft w:val="0"/>
          <w:marRight w:val="0"/>
          <w:marTop w:val="0"/>
          <w:marBottom w:val="0"/>
          <w:divBdr>
            <w:top w:val="none" w:sz="0" w:space="0" w:color="auto"/>
            <w:left w:val="none" w:sz="0" w:space="0" w:color="auto"/>
            <w:bottom w:val="none" w:sz="0" w:space="0" w:color="auto"/>
            <w:right w:val="none" w:sz="0" w:space="0" w:color="auto"/>
          </w:divBdr>
        </w:div>
        <w:div w:id="1471899425">
          <w:marLeft w:val="0"/>
          <w:marRight w:val="0"/>
          <w:marTop w:val="0"/>
          <w:marBottom w:val="0"/>
          <w:divBdr>
            <w:top w:val="none" w:sz="0" w:space="0" w:color="auto"/>
            <w:left w:val="none" w:sz="0" w:space="0" w:color="auto"/>
            <w:bottom w:val="none" w:sz="0" w:space="0" w:color="auto"/>
            <w:right w:val="none" w:sz="0" w:space="0" w:color="auto"/>
          </w:divBdr>
        </w:div>
      </w:divsChild>
    </w:div>
    <w:div w:id="442654345">
      <w:bodyDiv w:val="1"/>
      <w:marLeft w:val="0"/>
      <w:marRight w:val="0"/>
      <w:marTop w:val="0"/>
      <w:marBottom w:val="0"/>
      <w:divBdr>
        <w:top w:val="none" w:sz="0" w:space="0" w:color="auto"/>
        <w:left w:val="none" w:sz="0" w:space="0" w:color="auto"/>
        <w:bottom w:val="none" w:sz="0" w:space="0" w:color="auto"/>
        <w:right w:val="none" w:sz="0" w:space="0" w:color="auto"/>
      </w:divBdr>
      <w:divsChild>
        <w:div w:id="1928074925">
          <w:marLeft w:val="0"/>
          <w:marRight w:val="0"/>
          <w:marTop w:val="0"/>
          <w:marBottom w:val="0"/>
          <w:divBdr>
            <w:top w:val="none" w:sz="0" w:space="0" w:color="auto"/>
            <w:left w:val="none" w:sz="0" w:space="0" w:color="auto"/>
            <w:bottom w:val="none" w:sz="0" w:space="0" w:color="auto"/>
            <w:right w:val="none" w:sz="0" w:space="0" w:color="auto"/>
          </w:divBdr>
        </w:div>
        <w:div w:id="1770079638">
          <w:marLeft w:val="0"/>
          <w:marRight w:val="0"/>
          <w:marTop w:val="0"/>
          <w:marBottom w:val="0"/>
          <w:divBdr>
            <w:top w:val="none" w:sz="0" w:space="0" w:color="auto"/>
            <w:left w:val="none" w:sz="0" w:space="0" w:color="auto"/>
            <w:bottom w:val="none" w:sz="0" w:space="0" w:color="auto"/>
            <w:right w:val="none" w:sz="0" w:space="0" w:color="auto"/>
          </w:divBdr>
        </w:div>
      </w:divsChild>
    </w:div>
    <w:div w:id="596208087">
      <w:bodyDiv w:val="1"/>
      <w:marLeft w:val="0"/>
      <w:marRight w:val="0"/>
      <w:marTop w:val="0"/>
      <w:marBottom w:val="0"/>
      <w:divBdr>
        <w:top w:val="none" w:sz="0" w:space="0" w:color="auto"/>
        <w:left w:val="none" w:sz="0" w:space="0" w:color="auto"/>
        <w:bottom w:val="none" w:sz="0" w:space="0" w:color="auto"/>
        <w:right w:val="none" w:sz="0" w:space="0" w:color="auto"/>
      </w:divBdr>
    </w:div>
    <w:div w:id="670570559">
      <w:bodyDiv w:val="1"/>
      <w:marLeft w:val="0"/>
      <w:marRight w:val="0"/>
      <w:marTop w:val="0"/>
      <w:marBottom w:val="0"/>
      <w:divBdr>
        <w:top w:val="none" w:sz="0" w:space="0" w:color="auto"/>
        <w:left w:val="none" w:sz="0" w:space="0" w:color="auto"/>
        <w:bottom w:val="none" w:sz="0" w:space="0" w:color="auto"/>
        <w:right w:val="none" w:sz="0" w:space="0" w:color="auto"/>
      </w:divBdr>
      <w:divsChild>
        <w:div w:id="1718238734">
          <w:marLeft w:val="0"/>
          <w:marRight w:val="0"/>
          <w:marTop w:val="0"/>
          <w:marBottom w:val="0"/>
          <w:divBdr>
            <w:top w:val="none" w:sz="0" w:space="0" w:color="auto"/>
            <w:left w:val="none" w:sz="0" w:space="0" w:color="auto"/>
            <w:bottom w:val="none" w:sz="0" w:space="0" w:color="auto"/>
            <w:right w:val="none" w:sz="0" w:space="0" w:color="auto"/>
          </w:divBdr>
        </w:div>
        <w:div w:id="761879326">
          <w:marLeft w:val="0"/>
          <w:marRight w:val="0"/>
          <w:marTop w:val="0"/>
          <w:marBottom w:val="0"/>
          <w:divBdr>
            <w:top w:val="none" w:sz="0" w:space="0" w:color="auto"/>
            <w:left w:val="none" w:sz="0" w:space="0" w:color="auto"/>
            <w:bottom w:val="none" w:sz="0" w:space="0" w:color="auto"/>
            <w:right w:val="none" w:sz="0" w:space="0" w:color="auto"/>
          </w:divBdr>
        </w:div>
      </w:divsChild>
    </w:div>
    <w:div w:id="688214026">
      <w:bodyDiv w:val="1"/>
      <w:marLeft w:val="0"/>
      <w:marRight w:val="0"/>
      <w:marTop w:val="0"/>
      <w:marBottom w:val="0"/>
      <w:divBdr>
        <w:top w:val="none" w:sz="0" w:space="0" w:color="auto"/>
        <w:left w:val="none" w:sz="0" w:space="0" w:color="auto"/>
        <w:bottom w:val="none" w:sz="0" w:space="0" w:color="auto"/>
        <w:right w:val="none" w:sz="0" w:space="0" w:color="auto"/>
      </w:divBdr>
      <w:divsChild>
        <w:div w:id="1460218673">
          <w:marLeft w:val="0"/>
          <w:marRight w:val="0"/>
          <w:marTop w:val="0"/>
          <w:marBottom w:val="0"/>
          <w:divBdr>
            <w:top w:val="none" w:sz="0" w:space="0" w:color="auto"/>
            <w:left w:val="none" w:sz="0" w:space="0" w:color="auto"/>
            <w:bottom w:val="none" w:sz="0" w:space="0" w:color="auto"/>
            <w:right w:val="none" w:sz="0" w:space="0" w:color="auto"/>
          </w:divBdr>
        </w:div>
        <w:div w:id="208341436">
          <w:marLeft w:val="0"/>
          <w:marRight w:val="0"/>
          <w:marTop w:val="0"/>
          <w:marBottom w:val="0"/>
          <w:divBdr>
            <w:top w:val="none" w:sz="0" w:space="0" w:color="auto"/>
            <w:left w:val="none" w:sz="0" w:space="0" w:color="auto"/>
            <w:bottom w:val="none" w:sz="0" w:space="0" w:color="auto"/>
            <w:right w:val="none" w:sz="0" w:space="0" w:color="auto"/>
          </w:divBdr>
        </w:div>
        <w:div w:id="2052655679">
          <w:marLeft w:val="0"/>
          <w:marRight w:val="0"/>
          <w:marTop w:val="0"/>
          <w:marBottom w:val="0"/>
          <w:divBdr>
            <w:top w:val="none" w:sz="0" w:space="0" w:color="auto"/>
            <w:left w:val="none" w:sz="0" w:space="0" w:color="auto"/>
            <w:bottom w:val="none" w:sz="0" w:space="0" w:color="auto"/>
            <w:right w:val="none" w:sz="0" w:space="0" w:color="auto"/>
          </w:divBdr>
        </w:div>
        <w:div w:id="809982233">
          <w:marLeft w:val="0"/>
          <w:marRight w:val="0"/>
          <w:marTop w:val="0"/>
          <w:marBottom w:val="0"/>
          <w:divBdr>
            <w:top w:val="none" w:sz="0" w:space="0" w:color="auto"/>
            <w:left w:val="none" w:sz="0" w:space="0" w:color="auto"/>
            <w:bottom w:val="none" w:sz="0" w:space="0" w:color="auto"/>
            <w:right w:val="none" w:sz="0" w:space="0" w:color="auto"/>
          </w:divBdr>
        </w:div>
      </w:divsChild>
    </w:div>
    <w:div w:id="1031418629">
      <w:bodyDiv w:val="1"/>
      <w:marLeft w:val="0"/>
      <w:marRight w:val="0"/>
      <w:marTop w:val="0"/>
      <w:marBottom w:val="0"/>
      <w:divBdr>
        <w:top w:val="none" w:sz="0" w:space="0" w:color="auto"/>
        <w:left w:val="none" w:sz="0" w:space="0" w:color="auto"/>
        <w:bottom w:val="none" w:sz="0" w:space="0" w:color="auto"/>
        <w:right w:val="none" w:sz="0" w:space="0" w:color="auto"/>
      </w:divBdr>
      <w:divsChild>
        <w:div w:id="1092891652">
          <w:marLeft w:val="0"/>
          <w:marRight w:val="0"/>
          <w:marTop w:val="0"/>
          <w:marBottom w:val="0"/>
          <w:divBdr>
            <w:top w:val="none" w:sz="0" w:space="0" w:color="auto"/>
            <w:left w:val="none" w:sz="0" w:space="0" w:color="auto"/>
            <w:bottom w:val="none" w:sz="0" w:space="0" w:color="auto"/>
            <w:right w:val="none" w:sz="0" w:space="0" w:color="auto"/>
          </w:divBdr>
        </w:div>
        <w:div w:id="336538422">
          <w:marLeft w:val="0"/>
          <w:marRight w:val="0"/>
          <w:marTop w:val="0"/>
          <w:marBottom w:val="0"/>
          <w:divBdr>
            <w:top w:val="none" w:sz="0" w:space="0" w:color="auto"/>
            <w:left w:val="none" w:sz="0" w:space="0" w:color="auto"/>
            <w:bottom w:val="none" w:sz="0" w:space="0" w:color="auto"/>
            <w:right w:val="none" w:sz="0" w:space="0" w:color="auto"/>
          </w:divBdr>
        </w:div>
      </w:divsChild>
    </w:div>
    <w:div w:id="126753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F3A9E8D51AC34D88BEBDC6697AB1BA" ma:contentTypeVersion="15" ma:contentTypeDescription="Create a new document." ma:contentTypeScope="" ma:versionID="3f40f4d58680edde78558b4b40054ade">
  <xsd:schema xmlns:xsd="http://www.w3.org/2001/XMLSchema" xmlns:xs="http://www.w3.org/2001/XMLSchema" xmlns:p="http://schemas.microsoft.com/office/2006/metadata/properties" xmlns:ns2="563d7928-de39-40eb-aaef-3504eb7eef23" xmlns:ns3="a6522d93-ccde-437d-a793-b289ee708a2f" targetNamespace="http://schemas.microsoft.com/office/2006/metadata/properties" ma:root="true" ma:fieldsID="1bcd67b4f1738204f3ee03097d2407d4" ns2:_="" ns3:_="">
    <xsd:import namespace="563d7928-de39-40eb-aaef-3504eb7eef23"/>
    <xsd:import namespace="a6522d93-ccde-437d-a793-b289ee708a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7928-de39-40eb-aaef-3504eb7ee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090d37-0cf0-4191-99ae-e11c03e71b3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522d93-ccde-437d-a793-b289ee708a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8787e5-1a83-4099-8018-dcd51ec2f4c3}" ma:internalName="TaxCatchAll" ma:showField="CatchAllData" ma:web="a6522d93-ccde-437d-a793-b289ee708a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3d7928-de39-40eb-aaef-3504eb7eef23">
      <Terms xmlns="http://schemas.microsoft.com/office/infopath/2007/PartnerControls"/>
    </lcf76f155ced4ddcb4097134ff3c332f>
    <TaxCatchAll xmlns="a6522d93-ccde-437d-a793-b289ee708a2f" xsi:nil="true"/>
  </documentManagement>
</p:properties>
</file>

<file path=customXml/itemProps1.xml><?xml version="1.0" encoding="utf-8"?>
<ds:datastoreItem xmlns:ds="http://schemas.openxmlformats.org/officeDocument/2006/customXml" ds:itemID="{8CC27604-FE8B-4FDB-9D44-B06F4B2D5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7928-de39-40eb-aaef-3504eb7eef23"/>
    <ds:schemaRef ds:uri="a6522d93-ccde-437d-a793-b289ee708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3D4927-B381-4278-8881-89C86CBE0368}">
  <ds:schemaRefs>
    <ds:schemaRef ds:uri="http://schemas.microsoft.com/sharepoint/v3/contenttype/forms"/>
  </ds:schemaRefs>
</ds:datastoreItem>
</file>

<file path=customXml/itemProps3.xml><?xml version="1.0" encoding="utf-8"?>
<ds:datastoreItem xmlns:ds="http://schemas.openxmlformats.org/officeDocument/2006/customXml" ds:itemID="{2C1E998D-96EF-4A0A-B53A-07C2AB504375}">
  <ds:schemaRefs>
    <ds:schemaRef ds:uri="http://schemas.microsoft.com/office/2006/metadata/properties"/>
    <ds:schemaRef ds:uri="http://schemas.microsoft.com/office/infopath/2007/PartnerControls"/>
    <ds:schemaRef ds:uri="563d7928-de39-40eb-aaef-3504eb7eef23"/>
    <ds:schemaRef ds:uri="a6522d93-ccde-437d-a793-b289ee708a2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833</Words>
  <Characters>4754</Characters>
  <Application>Microsoft Office Word</Application>
  <DocSecurity>0</DocSecurity>
  <Lines>39</Lines>
  <Paragraphs>11</Paragraphs>
  <ScaleCrop>false</ScaleCrop>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Kardelen Temiz [kot3]</cp:lastModifiedBy>
  <cp:revision>2</cp:revision>
  <dcterms:created xsi:type="dcterms:W3CDTF">2025-01-01T11:55:00Z</dcterms:created>
  <dcterms:modified xsi:type="dcterms:W3CDTF">2025-01-01T11:55:00Z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0x01010050F3A9E8D51AC34D88BEBDC6697AB1BA</vt:lpwstr>
  </property>
  <property fmtid="{D5CDD505-2E9C-101B-9397-08002B2CF9AE}" pid="3" name="MSIP_Label_f2dfecbd-fc97-4e8a-a9cd-19ed496c406e_Enabled">
    <vt:lpwstr>true</vt:lpwstr>
  </property>
  <property fmtid="{D5CDD505-2E9C-101B-9397-08002B2CF9AE}" pid="4" name="MSIP_Label_f2dfecbd-fc97-4e8a-a9cd-19ed496c406e_SetDate">
    <vt:lpwstr>2024-09-26T10:45:43Z</vt:lpwstr>
  </property>
  <property fmtid="{D5CDD505-2E9C-101B-9397-08002B2CF9AE}" pid="5" name="MSIP_Label_f2dfecbd-fc97-4e8a-a9cd-19ed496c406e_Method">
    <vt:lpwstr>Standard</vt:lpwstr>
  </property>
  <property fmtid="{D5CDD505-2E9C-101B-9397-08002B2CF9AE}" pid="6" name="MSIP_Label_f2dfecbd-fc97-4e8a-a9cd-19ed496c406e_Name">
    <vt:lpwstr>defa4170-0d19-0005-0004-bc88714345d2</vt:lpwstr>
  </property>
  <property fmtid="{D5CDD505-2E9C-101B-9397-08002B2CF9AE}" pid="7" name="MSIP_Label_f2dfecbd-fc97-4e8a-a9cd-19ed496c406e_SiteId">
    <vt:lpwstr>d47b090e-3f5a-4ca0-84d0-9f89d269f175</vt:lpwstr>
  </property>
  <property fmtid="{D5CDD505-2E9C-101B-9397-08002B2CF9AE}" pid="8" name="MSIP_Label_f2dfecbd-fc97-4e8a-a9cd-19ed496c406e_ActionId">
    <vt:lpwstr>dbf5a8e4-8686-4c0b-a2a7-f9532e7cd4e2</vt:lpwstr>
  </property>
  <property fmtid="{D5CDD505-2E9C-101B-9397-08002B2CF9AE}" pid="9" name="MSIP_Label_f2dfecbd-fc97-4e8a-a9cd-19ed496c406e_ContentBits">
    <vt:lpwstr>0</vt:lpwstr>
  </property>
</Properties>
</file>