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68D3" w14:textId="7B790236" w:rsidR="002C4410" w:rsidRPr="002C4410" w:rsidRDefault="002C4410" w:rsidP="00962A27">
      <w:pPr>
        <w:spacing w:line="276" w:lineRule="auto"/>
        <w:rPr>
          <w:rFonts w:ascii="Aptos" w:hAnsi="Aptos"/>
          <w:b/>
          <w:bCs/>
          <w:lang w:val="en-GB"/>
        </w:rPr>
      </w:pPr>
      <w:r w:rsidRPr="002C4410">
        <w:rPr>
          <w:rFonts w:ascii="Aptos" w:hAnsi="Aptos"/>
          <w:b/>
          <w:bCs/>
          <w:lang w:val="en-GB"/>
        </w:rPr>
        <w:t>Introduction</w:t>
      </w:r>
    </w:p>
    <w:p w14:paraId="33CE93EC" w14:textId="6BC384C5" w:rsidR="00D847BC" w:rsidRDefault="00D847BC" w:rsidP="00962A27">
      <w:pPr>
        <w:spacing w:line="276" w:lineRule="auto"/>
        <w:rPr>
          <w:rFonts w:ascii="Aptos" w:hAnsi="Aptos"/>
          <w:lang w:val="en-GB"/>
        </w:rPr>
      </w:pPr>
      <w:r w:rsidRPr="00D847BC">
        <w:rPr>
          <w:rFonts w:ascii="Aptos" w:hAnsi="Aptos"/>
          <w:lang w:val="en-GB"/>
        </w:rPr>
        <w:t>This work addresses the sustainable intensification of production systems through the analysis of four systems that combine agriculture and livestock with varying levels of soil use intensification. We evaluate</w:t>
      </w:r>
      <w:r>
        <w:rPr>
          <w:rFonts w:ascii="Aptos" w:hAnsi="Aptos"/>
          <w:lang w:val="en-GB"/>
        </w:rPr>
        <w:t>d</w:t>
      </w:r>
      <w:r w:rsidRPr="00D847BC">
        <w:rPr>
          <w:rFonts w:ascii="Aptos" w:hAnsi="Aptos"/>
          <w:lang w:val="en-GB"/>
        </w:rPr>
        <w:t xml:space="preserve"> their economic outcomes, environmental impact</w:t>
      </w:r>
      <w:r>
        <w:rPr>
          <w:rFonts w:ascii="Aptos" w:hAnsi="Aptos"/>
          <w:lang w:val="en-GB"/>
        </w:rPr>
        <w:t xml:space="preserve"> (i.e., </w:t>
      </w:r>
      <w:r w:rsidRPr="00D847BC">
        <w:rPr>
          <w:rFonts w:ascii="Aptos" w:hAnsi="Aptos"/>
          <w:lang w:val="en-GB"/>
        </w:rPr>
        <w:t>emission profiles, contribution of each process, and partial carbon footprint),</w:t>
      </w:r>
      <w:r>
        <w:rPr>
          <w:rFonts w:ascii="Aptos" w:hAnsi="Aptos"/>
          <w:lang w:val="en-GB"/>
        </w:rPr>
        <w:t xml:space="preserve"> </w:t>
      </w:r>
      <w:r w:rsidRPr="00D847BC">
        <w:rPr>
          <w:rFonts w:ascii="Aptos" w:hAnsi="Aptos"/>
          <w:lang w:val="en-GB"/>
        </w:rPr>
        <w:t xml:space="preserve">and contributions to food security using data from a long-term experiment. </w:t>
      </w:r>
    </w:p>
    <w:p w14:paraId="5392062E" w14:textId="7755DB64" w:rsidR="002C4410" w:rsidRPr="00D847BC" w:rsidRDefault="002C4410" w:rsidP="00962A27">
      <w:pPr>
        <w:spacing w:line="276" w:lineRule="auto"/>
        <w:rPr>
          <w:rFonts w:ascii="Aptos" w:hAnsi="Aptos"/>
          <w:b/>
          <w:bCs/>
          <w:lang w:val="en-GB"/>
        </w:rPr>
      </w:pPr>
      <w:r w:rsidRPr="00D847BC">
        <w:rPr>
          <w:rFonts w:ascii="Aptos" w:hAnsi="Aptos"/>
          <w:b/>
          <w:bCs/>
          <w:lang w:val="en-GB"/>
        </w:rPr>
        <w:t>Material and Methods</w:t>
      </w:r>
    </w:p>
    <w:p w14:paraId="1575AD28" w14:textId="068CE4F8" w:rsidR="00D847BC" w:rsidRPr="00D847BC" w:rsidRDefault="002C4410" w:rsidP="00D8465D">
      <w:pPr>
        <w:spacing w:after="0" w:line="276" w:lineRule="auto"/>
        <w:rPr>
          <w:rFonts w:ascii="Aptos" w:hAnsi="Aptos"/>
          <w:lang w:val="en-GB"/>
        </w:rPr>
      </w:pPr>
      <w:r w:rsidRPr="002C4410">
        <w:rPr>
          <w:rFonts w:ascii="Aptos" w:hAnsi="Aptos"/>
          <w:lang w:val="en-GB"/>
        </w:rPr>
        <w:t xml:space="preserve">The study evaluated four crop-livestock systems in Uruguay, with </w:t>
      </w:r>
      <w:r w:rsidR="00D847BC" w:rsidRPr="002C4410">
        <w:rPr>
          <w:rFonts w:ascii="Aptos" w:hAnsi="Aptos"/>
          <w:lang w:val="en-GB"/>
        </w:rPr>
        <w:t>temporal and spatial combinations of land use</w:t>
      </w:r>
      <w:r w:rsidR="00D847BC">
        <w:rPr>
          <w:rFonts w:ascii="Aptos" w:hAnsi="Aptos"/>
          <w:lang w:val="en-GB"/>
        </w:rPr>
        <w:t xml:space="preserve"> (</w:t>
      </w:r>
      <w:r w:rsidRPr="002C4410">
        <w:rPr>
          <w:rFonts w:ascii="Aptos" w:hAnsi="Aptos"/>
          <w:lang w:val="en-GB"/>
        </w:rPr>
        <w:t>Table 1</w:t>
      </w:r>
      <w:r w:rsidR="00D847BC">
        <w:rPr>
          <w:rFonts w:ascii="Aptos" w:hAnsi="Aptos"/>
          <w:lang w:val="en-GB"/>
        </w:rPr>
        <w:t>). T</w:t>
      </w:r>
      <w:r w:rsidR="00D847BC" w:rsidRPr="00D847BC">
        <w:rPr>
          <w:rFonts w:ascii="Aptos" w:hAnsi="Aptos"/>
          <w:lang w:val="en-GB"/>
        </w:rPr>
        <w:t>he continuous cropping system (CC, 12 ha) involves reseeding two crops per year without rotating with pastures but includes an external 6 ha area of permanent pasture with tall fescue, birdsfoot trefoil, and white clover, reseeded every five years for continuous growth. The short rotation system (SR, 24 ha) alternates two years of crops, similar to the CC system, with two years of grass-legume pastures, including Yorkshire fog and Italian ryegrass with red clover. The long rotation system (LR, 36 ha) alternates two years of crops, as in the CC and SR systems, with four years of pastures composed of tall fescue, birdsfoot trefoil, and white clover. The forage rotation system (FR, 24 ha) is reseeded with tall fescue and does not include crop rotations. Each pasture-crop rotation (CC, SR, and LR) is divided into two areas: one for grain production, planted with oats, wheat, soybean, and sorghum; and one for grazing, where Italian ryegrass and oats are planted in winter, and sorghum and moha are grown in summer.</w:t>
      </w:r>
    </w:p>
    <w:p w14:paraId="0E55D6D4" w14:textId="5E80866F" w:rsidR="00D847BC" w:rsidRPr="002C4410" w:rsidRDefault="00D847BC" w:rsidP="00D8465D">
      <w:pPr>
        <w:spacing w:after="240" w:line="276" w:lineRule="auto"/>
        <w:rPr>
          <w:rFonts w:ascii="Aptos" w:hAnsi="Aptos"/>
          <w:lang w:val="en-GB"/>
        </w:rPr>
      </w:pPr>
      <w:r w:rsidRPr="00D847BC">
        <w:rPr>
          <w:rFonts w:ascii="Aptos" w:hAnsi="Aptos"/>
          <w:lang w:val="en-GB"/>
        </w:rPr>
        <w:t>In the CC, SR, and LR systems, animals are introduced to their paddocks from April to May and remain for one year (for rearing) or until reaching slaughter weight (for finishing). In the FR system, animals are introduced from November to December annually. In CC, the objective was to rear male calves for one year. In SR, the objective was to rear heifers, complemented by finishing culled cows during May and September. In LR, the objective was to rear male calves and finish steers over 18 months. FR begins at the end of spring (Nov-Dec) with yearling steers instead of weaned calves. The objective of the livestock strategy in FR was to produce a finished steer ready for slaughter in 12-15 months. British early-maturing beef cattle were used in the four systems (Hereford, Aberdeen Angus, and Hereford-Angus cross).</w:t>
      </w:r>
    </w:p>
    <w:p w14:paraId="4C721079" w14:textId="26952E8E" w:rsidR="00A62F50" w:rsidRDefault="00A62F50" w:rsidP="00962A27">
      <w:pPr>
        <w:spacing w:after="0" w:line="276" w:lineRule="auto"/>
        <w:contextualSpacing/>
        <w:jc w:val="both"/>
        <w:rPr>
          <w:rFonts w:ascii="Aptos" w:hAnsi="Aptos" w:cs="Times New Roman"/>
          <w:lang w:val="en-GB"/>
        </w:rPr>
      </w:pPr>
      <w:r w:rsidRPr="00420D38">
        <w:rPr>
          <w:rFonts w:ascii="Aptos" w:hAnsi="Aptos" w:cs="Times New Roman"/>
          <w:b/>
          <w:bCs/>
          <w:sz w:val="20"/>
          <w:szCs w:val="20"/>
          <w:lang w:val="en-GB"/>
        </w:rPr>
        <w:t>Table 1.</w:t>
      </w:r>
      <w:r w:rsidRPr="00420D38">
        <w:rPr>
          <w:rFonts w:ascii="Aptos" w:hAnsi="Aptos" w:cs="Times New Roman"/>
          <w:sz w:val="20"/>
          <w:szCs w:val="20"/>
          <w:lang w:val="en-GB"/>
        </w:rPr>
        <w:t xml:space="preserve"> Cropping and pasture sequences of the </w:t>
      </w:r>
      <w:r w:rsidR="00D847BC" w:rsidRPr="00420D38">
        <w:rPr>
          <w:rFonts w:ascii="Aptos" w:hAnsi="Aptos" w:cs="Times New Roman"/>
          <w:sz w:val="20"/>
          <w:szCs w:val="20"/>
          <w:lang w:val="en-GB"/>
        </w:rPr>
        <w:t>four</w:t>
      </w:r>
      <w:r w:rsidRPr="00420D38">
        <w:rPr>
          <w:rFonts w:ascii="Aptos" w:hAnsi="Aptos" w:cs="Times New Roman"/>
          <w:sz w:val="20"/>
          <w:szCs w:val="20"/>
          <w:lang w:val="en-GB"/>
        </w:rPr>
        <w:t xml:space="preserve"> pasture-crop rotations at the ‘Palo a Pique’ long term experiment</w:t>
      </w:r>
      <w:r w:rsidRPr="002C4410">
        <w:rPr>
          <w:rFonts w:ascii="Aptos" w:hAnsi="Aptos" w:cs="Times New Roman"/>
          <w:lang w:val="en-GB"/>
        </w:rPr>
        <w:t>.</w:t>
      </w:r>
    </w:p>
    <w:p w14:paraId="45A037DE" w14:textId="5AB24F5D" w:rsidR="00190CF1" w:rsidRPr="002C4410" w:rsidRDefault="00190CF1" w:rsidP="00962A27">
      <w:pPr>
        <w:spacing w:after="0" w:line="276" w:lineRule="auto"/>
        <w:contextualSpacing/>
        <w:jc w:val="both"/>
        <w:rPr>
          <w:rFonts w:ascii="Aptos" w:hAnsi="Aptos" w:cs="Times New Roman"/>
          <w:lang w:val="en-GB"/>
        </w:rPr>
      </w:pPr>
      <w:r w:rsidRPr="00190CF1">
        <w:rPr>
          <w:noProof/>
        </w:rPr>
        <w:drawing>
          <wp:inline distT="0" distB="0" distL="0" distR="0" wp14:anchorId="72B31704" wp14:editId="0FB5BC2E">
            <wp:extent cx="5648158" cy="1857375"/>
            <wp:effectExtent l="0" t="0" r="0" b="0"/>
            <wp:docPr id="13366176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
                      <a:extLst>
                        <a:ext uri="{28A0092B-C50C-407E-A947-70E740481C1C}">
                          <a14:useLocalDpi xmlns:a14="http://schemas.microsoft.com/office/drawing/2010/main" val="0"/>
                        </a:ext>
                      </a:extLst>
                    </a:blip>
                    <a:srcRect l="7313" t="5641" r="6271" b="6667"/>
                    <a:stretch/>
                  </pic:blipFill>
                  <pic:spPr bwMode="auto">
                    <a:xfrm>
                      <a:off x="0" y="0"/>
                      <a:ext cx="5651970" cy="1858629"/>
                    </a:xfrm>
                    <a:prstGeom prst="rect">
                      <a:avLst/>
                    </a:prstGeom>
                    <a:noFill/>
                    <a:ln>
                      <a:noFill/>
                    </a:ln>
                    <a:extLst>
                      <a:ext uri="{53640926-AAD7-44D8-BBD7-CCE9431645EC}">
                        <a14:shadowObscured xmlns:a14="http://schemas.microsoft.com/office/drawing/2010/main"/>
                      </a:ext>
                    </a:extLst>
                  </pic:spPr>
                </pic:pic>
              </a:graphicData>
            </a:graphic>
          </wp:inline>
        </w:drawing>
      </w:r>
    </w:p>
    <w:p w14:paraId="4EEED636" w14:textId="41D162B9" w:rsidR="00A62F50" w:rsidRPr="00420D38" w:rsidRDefault="00420D38" w:rsidP="00962A27">
      <w:pPr>
        <w:spacing w:line="276" w:lineRule="auto"/>
        <w:jc w:val="both"/>
        <w:rPr>
          <w:rFonts w:ascii="Aptos" w:hAnsi="Aptos" w:cs="Times New Roman"/>
          <w:sz w:val="16"/>
          <w:szCs w:val="16"/>
          <w:lang w:val="en-GB"/>
        </w:rPr>
      </w:pPr>
      <w:r>
        <w:rPr>
          <w:rFonts w:ascii="Aptos" w:hAnsi="Aptos" w:cs="Times New Roman"/>
          <w:sz w:val="16"/>
          <w:szCs w:val="16"/>
          <w:lang w:val="en-GB"/>
        </w:rPr>
        <w:t xml:space="preserve">Note: </w:t>
      </w:r>
      <w:r w:rsidR="00A62F50" w:rsidRPr="00420D38">
        <w:rPr>
          <w:rFonts w:ascii="Aptos" w:hAnsi="Aptos" w:cs="Times New Roman"/>
          <w:sz w:val="16"/>
          <w:szCs w:val="16"/>
          <w:lang w:val="en-GB"/>
        </w:rPr>
        <w:t>Yellow and green areas represent crop and pasture phases, respectively. P: pasture, followed by pasture age (i.e.: P2: second-year pasture). All pastures, including those following the grain/hay crop phase, were available for grazing.</w:t>
      </w:r>
    </w:p>
    <w:p w14:paraId="63B8A379" w14:textId="6BDE1FBA" w:rsidR="00420D38" w:rsidRPr="00420D38" w:rsidRDefault="00420D38" w:rsidP="00962A27">
      <w:pPr>
        <w:spacing w:line="276" w:lineRule="auto"/>
        <w:rPr>
          <w:rFonts w:ascii="Aptos" w:hAnsi="Aptos"/>
          <w:lang w:val="en-GB"/>
        </w:rPr>
      </w:pPr>
      <w:r w:rsidRPr="00420D38">
        <w:rPr>
          <w:rFonts w:ascii="Aptos" w:hAnsi="Aptos"/>
          <w:lang w:val="en-GB"/>
        </w:rPr>
        <w:lastRenderedPageBreak/>
        <w:t>Production data (grain and livestock) was obtained from Pereyra-Goday et al. (2022). Carbon footprints were calculated following Life Cycle Assessment (LCA) methodologies, as reported in Pereyra-Goday et al. (2024). Nitrogen use efficiency (NUE) was calculated as nitrogen in food outputs relative to total nitrogen inputs, as reported in Pereyra-Goday (202</w:t>
      </w:r>
      <w:r>
        <w:rPr>
          <w:rFonts w:ascii="Aptos" w:hAnsi="Aptos"/>
          <w:lang w:val="en-GB"/>
        </w:rPr>
        <w:t>4</w:t>
      </w:r>
      <w:r w:rsidRPr="00420D38">
        <w:rPr>
          <w:rFonts w:ascii="Aptos" w:hAnsi="Aptos"/>
          <w:lang w:val="en-GB"/>
        </w:rPr>
        <w:t xml:space="preserve">). Economic data was collected on input costs and revenues from grain and livestock sales based on the physical parameters </w:t>
      </w:r>
      <w:r w:rsidR="00FD5AF8">
        <w:rPr>
          <w:rFonts w:ascii="Aptos" w:hAnsi="Aptos"/>
          <w:lang w:val="en-GB"/>
        </w:rPr>
        <w:t>for tree cycles (2019-2022), as reported by</w:t>
      </w:r>
      <w:r w:rsidRPr="00420D38">
        <w:rPr>
          <w:rFonts w:ascii="Aptos" w:hAnsi="Aptos"/>
          <w:lang w:val="en-GB"/>
        </w:rPr>
        <w:t xml:space="preserve"> Pereyra-</w:t>
      </w:r>
      <w:proofErr w:type="spellStart"/>
      <w:r w:rsidRPr="00420D38">
        <w:rPr>
          <w:rFonts w:ascii="Aptos" w:hAnsi="Aptos"/>
          <w:lang w:val="en-GB"/>
        </w:rPr>
        <w:t>Goday</w:t>
      </w:r>
      <w:proofErr w:type="spellEnd"/>
      <w:r w:rsidRPr="00420D38">
        <w:rPr>
          <w:rFonts w:ascii="Aptos" w:hAnsi="Aptos"/>
          <w:lang w:val="en-GB"/>
        </w:rPr>
        <w:t xml:space="preserve"> et al. (2022)</w:t>
      </w:r>
      <w:r w:rsidR="00FD5AF8">
        <w:rPr>
          <w:rFonts w:ascii="Aptos" w:hAnsi="Aptos"/>
          <w:lang w:val="en-GB"/>
        </w:rPr>
        <w:t>.</w:t>
      </w:r>
      <w:r>
        <w:rPr>
          <w:rFonts w:ascii="Aptos" w:hAnsi="Aptos"/>
          <w:lang w:val="en-GB"/>
        </w:rPr>
        <w:t xml:space="preserve"> </w:t>
      </w:r>
      <w:r w:rsidRPr="00420D38">
        <w:rPr>
          <w:rFonts w:ascii="Aptos" w:hAnsi="Aptos"/>
          <w:lang w:val="en-GB"/>
        </w:rPr>
        <w:t>We evaluated the contribution to food security through the production of human-edible protein (HEP) and human-edible energy (HEE), using the methodology proposed by Mosnier et al. (2021).</w:t>
      </w:r>
      <w:r>
        <w:rPr>
          <w:rFonts w:ascii="Aptos" w:hAnsi="Aptos"/>
          <w:lang w:val="en-GB"/>
        </w:rPr>
        <w:t xml:space="preserve"> Lastly, s</w:t>
      </w:r>
      <w:r w:rsidRPr="00420D38">
        <w:rPr>
          <w:rFonts w:ascii="Aptos" w:hAnsi="Aptos"/>
          <w:lang w:val="en-GB"/>
        </w:rPr>
        <w:t>oil erosion was estimated using the Universal Soil Loss Equation (USLE-RUSLE) model (software Erosión 6.0, MGAP, Uruguay).</w:t>
      </w:r>
    </w:p>
    <w:p w14:paraId="2ADFAFE0" w14:textId="46952BA8" w:rsidR="00420D38" w:rsidRDefault="00420D38" w:rsidP="00962A27">
      <w:pPr>
        <w:spacing w:after="0" w:line="276" w:lineRule="auto"/>
        <w:rPr>
          <w:rFonts w:ascii="Aptos" w:hAnsi="Aptos"/>
          <w:b/>
          <w:bCs/>
          <w:lang w:val="en-GB"/>
        </w:rPr>
      </w:pPr>
      <w:r w:rsidRPr="00420D38">
        <w:rPr>
          <w:rFonts w:ascii="Aptos" w:hAnsi="Aptos"/>
          <w:b/>
          <w:bCs/>
          <w:lang w:val="en-GB"/>
        </w:rPr>
        <w:t>Results and Discussion</w:t>
      </w:r>
    </w:p>
    <w:p w14:paraId="10BBAAF2" w14:textId="1A1506C7" w:rsidR="00962A27" w:rsidRDefault="00962A27" w:rsidP="00962A27">
      <w:pPr>
        <w:spacing w:after="0" w:line="276" w:lineRule="auto"/>
        <w:rPr>
          <w:rFonts w:ascii="Aptos" w:hAnsi="Aptos"/>
          <w:lang w:val="en-GB"/>
        </w:rPr>
      </w:pPr>
      <w:r>
        <w:rPr>
          <w:rFonts w:ascii="Aptos" w:hAnsi="Aptos"/>
          <w:lang w:val="en-GB"/>
        </w:rPr>
        <w:t xml:space="preserve">A summary of the main sustainability indicators calculated are shown in </w:t>
      </w:r>
      <w:r w:rsidR="00997ED0">
        <w:rPr>
          <w:rFonts w:ascii="Aptos" w:hAnsi="Aptos"/>
          <w:lang w:val="en-GB"/>
        </w:rPr>
        <w:t>Table 2</w:t>
      </w:r>
      <w:r>
        <w:rPr>
          <w:rFonts w:ascii="Aptos" w:hAnsi="Aptos"/>
          <w:lang w:val="en-GB"/>
        </w:rPr>
        <w:t xml:space="preserve">. </w:t>
      </w:r>
      <w:r w:rsidR="007D3168" w:rsidRPr="007D3168">
        <w:rPr>
          <w:rFonts w:ascii="Aptos" w:hAnsi="Aptos"/>
          <w:lang w:val="en-GB"/>
        </w:rPr>
        <w:t>The grey cells indicate that no statistical analysis was permitted due to the lack of replicates</w:t>
      </w:r>
      <w:r w:rsidR="008A1475">
        <w:rPr>
          <w:rFonts w:ascii="Aptos" w:hAnsi="Aptos"/>
          <w:lang w:val="en-GB"/>
        </w:rPr>
        <w:t xml:space="preserve">, green </w:t>
      </w:r>
      <w:r w:rsidR="006403A0">
        <w:rPr>
          <w:rFonts w:ascii="Aptos" w:hAnsi="Aptos"/>
          <w:lang w:val="en-GB"/>
        </w:rPr>
        <w:t xml:space="preserve">cells </w:t>
      </w:r>
      <w:r w:rsidR="008A1475">
        <w:rPr>
          <w:rFonts w:ascii="Aptos" w:hAnsi="Aptos"/>
          <w:lang w:val="en-GB"/>
        </w:rPr>
        <w:t xml:space="preserve">mean high/desirable values, red </w:t>
      </w:r>
      <w:r w:rsidR="006403A0">
        <w:rPr>
          <w:rFonts w:ascii="Aptos" w:hAnsi="Aptos"/>
          <w:lang w:val="en-GB"/>
        </w:rPr>
        <w:t xml:space="preserve">cells </w:t>
      </w:r>
      <w:r w:rsidR="008A1475">
        <w:rPr>
          <w:rFonts w:ascii="Aptos" w:hAnsi="Aptos"/>
          <w:lang w:val="en-GB"/>
        </w:rPr>
        <w:t>mean low/non-desired values, a</w:t>
      </w:r>
      <w:r w:rsidR="006403A0">
        <w:rPr>
          <w:rFonts w:ascii="Aptos" w:hAnsi="Aptos"/>
          <w:lang w:val="en-GB"/>
        </w:rPr>
        <w:t>n</w:t>
      </w:r>
      <w:r w:rsidR="008A1475">
        <w:rPr>
          <w:rFonts w:ascii="Aptos" w:hAnsi="Aptos"/>
          <w:lang w:val="en-GB"/>
        </w:rPr>
        <w:t xml:space="preserve">d yellow </w:t>
      </w:r>
      <w:r w:rsidR="006403A0">
        <w:rPr>
          <w:rFonts w:ascii="Aptos" w:hAnsi="Aptos"/>
          <w:lang w:val="en-GB"/>
        </w:rPr>
        <w:t xml:space="preserve">cells </w:t>
      </w:r>
      <w:r w:rsidR="008A1475">
        <w:rPr>
          <w:rFonts w:ascii="Aptos" w:hAnsi="Aptos"/>
          <w:lang w:val="en-GB"/>
        </w:rPr>
        <w:t xml:space="preserve">mean intermediate values. </w:t>
      </w:r>
      <w:r>
        <w:rPr>
          <w:rFonts w:ascii="Aptos" w:hAnsi="Aptos"/>
          <w:lang w:val="en-GB"/>
        </w:rPr>
        <w:t>S</w:t>
      </w:r>
      <w:r w:rsidR="00420D38" w:rsidRPr="00420D38">
        <w:rPr>
          <w:rFonts w:ascii="Aptos" w:hAnsi="Aptos"/>
          <w:lang w:val="en-GB"/>
        </w:rPr>
        <w:t>ystems with integrated crop-livestock components, especially those with longer pasture phases (LR), provide greater environmental benefits by reducing soil erosion and carbon emissions. These systems also enhance NUE due to biological nitrogen fixation from legumes. However, the CC system, with its intensive cropping strategy, delivers higher short-term economic returns and food production but poses long-term sustainability risks due to higher soil losses and emissions. Pasture-based systems (FR and LR) offer valuable ecosystem services, including nutrient recycling, carbon sequestration, and biodiversity conservation. Although they yield lower human-edible protein and energy, they avoid direct competition with human food supply and contribute to a more sustainable agricultural model. The systems combining pasture and cropping (SR and LR) yielded the highest economic returns due to the diversification of income sources. The CC system showed high production costs but delivered higher returns in favourable years. Systems with a greater focus on pasture, such as FR, exhibited lower production variability but also lower overall productivity.</w:t>
      </w:r>
    </w:p>
    <w:p w14:paraId="40B1E87C" w14:textId="01EAE43D" w:rsidR="00997ED0" w:rsidRPr="00420D38" w:rsidRDefault="00997ED0" w:rsidP="00997ED0">
      <w:pPr>
        <w:pStyle w:val="NormalWeb"/>
        <w:spacing w:before="240" w:beforeAutospacing="0" w:after="0" w:afterAutospacing="0" w:line="276" w:lineRule="auto"/>
        <w:rPr>
          <w:rStyle w:val="Strong"/>
          <w:rFonts w:ascii="Aptos" w:eastAsiaTheme="majorEastAsia" w:hAnsi="Aptos" w:cstheme="majorBidi"/>
          <w:b w:val="0"/>
          <w:bCs w:val="0"/>
          <w:sz w:val="20"/>
          <w:szCs w:val="20"/>
          <w:lang w:eastAsia="en-US"/>
        </w:rPr>
      </w:pPr>
      <w:r>
        <w:rPr>
          <w:rStyle w:val="Strong"/>
          <w:rFonts w:ascii="Aptos" w:eastAsiaTheme="majorEastAsia" w:hAnsi="Aptos" w:cstheme="majorBidi"/>
          <w:sz w:val="20"/>
          <w:szCs w:val="20"/>
          <w:lang w:eastAsia="en-US"/>
        </w:rPr>
        <w:t>Table 2</w:t>
      </w:r>
      <w:r w:rsidRPr="00420D38">
        <w:rPr>
          <w:rStyle w:val="Strong"/>
          <w:rFonts w:ascii="Aptos" w:eastAsiaTheme="majorEastAsia" w:hAnsi="Aptos" w:cstheme="majorBidi"/>
          <w:sz w:val="20"/>
          <w:szCs w:val="20"/>
          <w:lang w:eastAsia="en-US"/>
        </w:rPr>
        <w:t xml:space="preserve">. </w:t>
      </w:r>
      <w:r w:rsidRPr="00420D38">
        <w:rPr>
          <w:rStyle w:val="Strong"/>
          <w:rFonts w:ascii="Aptos" w:eastAsiaTheme="majorEastAsia" w:hAnsi="Aptos" w:cstheme="majorBidi"/>
          <w:b w:val="0"/>
          <w:bCs w:val="0"/>
          <w:sz w:val="20"/>
          <w:szCs w:val="20"/>
          <w:lang w:eastAsia="en-US"/>
        </w:rPr>
        <w:t>Main indicators calculated for the</w:t>
      </w:r>
      <w:r>
        <w:rPr>
          <w:rStyle w:val="Strong"/>
          <w:rFonts w:ascii="Aptos" w:eastAsiaTheme="majorEastAsia" w:hAnsi="Aptos" w:cstheme="majorBidi"/>
          <w:b w:val="0"/>
          <w:bCs w:val="0"/>
          <w:sz w:val="20"/>
          <w:szCs w:val="20"/>
          <w:lang w:eastAsia="en-US"/>
        </w:rPr>
        <w:t xml:space="preserve"> four </w:t>
      </w:r>
      <w:r w:rsidRPr="00420D38">
        <w:rPr>
          <w:rStyle w:val="Strong"/>
          <w:rFonts w:ascii="Aptos" w:eastAsiaTheme="majorEastAsia" w:hAnsi="Aptos" w:cstheme="majorBidi"/>
          <w:b w:val="0"/>
          <w:bCs w:val="0"/>
          <w:sz w:val="20"/>
          <w:szCs w:val="20"/>
          <w:lang w:eastAsia="en-US"/>
        </w:rPr>
        <w:t>systems</w:t>
      </w:r>
      <w:r>
        <w:rPr>
          <w:rStyle w:val="Strong"/>
          <w:rFonts w:ascii="Aptos" w:eastAsiaTheme="majorEastAsia" w:hAnsi="Aptos" w:cstheme="majorBidi"/>
          <w:b w:val="0"/>
          <w:bCs w:val="0"/>
          <w:sz w:val="20"/>
          <w:szCs w:val="20"/>
          <w:lang w:eastAsia="en-US"/>
        </w:rPr>
        <w:t xml:space="preserve"> (“*” there was not harvest, “-“ does not apply)</w:t>
      </w:r>
      <w:r w:rsidRPr="00420D38">
        <w:rPr>
          <w:rStyle w:val="Strong"/>
          <w:rFonts w:ascii="Aptos" w:eastAsiaTheme="majorEastAsia" w:hAnsi="Aptos" w:cstheme="majorBidi"/>
          <w:b w:val="0"/>
          <w:bCs w:val="0"/>
          <w:sz w:val="20"/>
          <w:szCs w:val="20"/>
          <w:lang w:eastAsia="en-US"/>
        </w:rPr>
        <w:t>.</w:t>
      </w:r>
    </w:p>
    <w:p w14:paraId="11F683F6" w14:textId="2F491B37" w:rsidR="00D118FB" w:rsidRDefault="00D118FB" w:rsidP="00D118FB">
      <w:pPr>
        <w:pStyle w:val="NormalWeb"/>
        <w:spacing w:before="0" w:beforeAutospacing="0" w:after="0" w:afterAutospacing="0" w:line="276" w:lineRule="auto"/>
        <w:jc w:val="both"/>
        <w:rPr>
          <w:rStyle w:val="Strong"/>
          <w:rFonts w:ascii="Aptos" w:eastAsiaTheme="majorEastAsia" w:hAnsi="Aptos" w:cstheme="majorBidi"/>
          <w:b w:val="0"/>
          <w:bCs w:val="0"/>
          <w:sz w:val="22"/>
          <w:szCs w:val="22"/>
          <w:lang w:eastAsia="en-US"/>
        </w:rPr>
      </w:pPr>
      <w:r w:rsidRPr="00D118FB">
        <w:rPr>
          <w:rStyle w:val="Strong"/>
          <w:rFonts w:eastAsiaTheme="majorEastAsia"/>
          <w:b w:val="0"/>
          <w:bCs w:val="0"/>
          <w:noProof/>
        </w:rPr>
        <w:drawing>
          <wp:inline distT="0" distB="0" distL="0" distR="0" wp14:anchorId="707083E3" wp14:editId="073E8A6F">
            <wp:extent cx="5731510" cy="1809750"/>
            <wp:effectExtent l="0" t="0" r="2540" b="0"/>
            <wp:docPr id="1977460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b="3586"/>
                    <a:stretch/>
                  </pic:blipFill>
                  <pic:spPr bwMode="auto">
                    <a:xfrm>
                      <a:off x="0" y="0"/>
                      <a:ext cx="5731510" cy="1809750"/>
                    </a:xfrm>
                    <a:prstGeom prst="rect">
                      <a:avLst/>
                    </a:prstGeom>
                    <a:noFill/>
                    <a:ln>
                      <a:noFill/>
                    </a:ln>
                    <a:extLst>
                      <a:ext uri="{53640926-AAD7-44D8-BBD7-CCE9431645EC}">
                        <a14:shadowObscured xmlns:a14="http://schemas.microsoft.com/office/drawing/2010/main"/>
                      </a:ext>
                    </a:extLst>
                  </pic:spPr>
                </pic:pic>
              </a:graphicData>
            </a:graphic>
          </wp:inline>
        </w:drawing>
      </w:r>
    </w:p>
    <w:p w14:paraId="772D36DC" w14:textId="2AAEDEA1" w:rsidR="00D118FB" w:rsidRPr="00D118FB" w:rsidRDefault="00D118FB" w:rsidP="00D118FB">
      <w:pPr>
        <w:pStyle w:val="NormalWeb"/>
        <w:spacing w:before="0" w:beforeAutospacing="0" w:after="0" w:afterAutospacing="0" w:line="276" w:lineRule="auto"/>
        <w:jc w:val="both"/>
        <w:rPr>
          <w:rStyle w:val="Strong"/>
          <w:rFonts w:ascii="Aptos" w:eastAsiaTheme="majorEastAsia" w:hAnsi="Aptos" w:cstheme="majorBidi"/>
          <w:b w:val="0"/>
          <w:bCs w:val="0"/>
          <w:sz w:val="20"/>
          <w:szCs w:val="20"/>
          <w:lang w:eastAsia="en-US"/>
        </w:rPr>
      </w:pPr>
      <w:r w:rsidRPr="00D118FB">
        <w:rPr>
          <w:rStyle w:val="Strong"/>
          <w:rFonts w:ascii="Aptos" w:eastAsiaTheme="majorEastAsia" w:hAnsi="Aptos" w:cstheme="majorBidi"/>
          <w:b w:val="0"/>
          <w:bCs w:val="0"/>
          <w:sz w:val="20"/>
          <w:szCs w:val="20"/>
          <w:vertAlign w:val="superscript"/>
          <w:lang w:eastAsia="en-US"/>
        </w:rPr>
        <w:t>1</w:t>
      </w:r>
      <w:r w:rsidRPr="00D118FB">
        <w:rPr>
          <w:rStyle w:val="Strong"/>
          <w:rFonts w:ascii="Aptos" w:eastAsiaTheme="majorEastAsia" w:hAnsi="Aptos" w:cstheme="majorBidi"/>
          <w:b w:val="0"/>
          <w:bCs w:val="0"/>
          <w:sz w:val="20"/>
          <w:szCs w:val="20"/>
          <w:lang w:eastAsia="en-US"/>
        </w:rPr>
        <w:t xml:space="preserve">Pereyra-Goday et al (2022); </w:t>
      </w:r>
      <w:r w:rsidRPr="00D118FB">
        <w:rPr>
          <w:rStyle w:val="Strong"/>
          <w:rFonts w:ascii="Aptos" w:eastAsiaTheme="majorEastAsia" w:hAnsi="Aptos" w:cstheme="majorBidi"/>
          <w:b w:val="0"/>
          <w:bCs w:val="0"/>
          <w:sz w:val="20"/>
          <w:szCs w:val="20"/>
          <w:vertAlign w:val="superscript"/>
          <w:lang w:eastAsia="en-US"/>
        </w:rPr>
        <w:t>2</w:t>
      </w:r>
      <w:r w:rsidRPr="00D118FB">
        <w:rPr>
          <w:rStyle w:val="Strong"/>
          <w:rFonts w:ascii="Aptos" w:eastAsiaTheme="majorEastAsia" w:hAnsi="Aptos" w:cstheme="majorBidi"/>
          <w:b w:val="0"/>
          <w:bCs w:val="0"/>
          <w:sz w:val="20"/>
          <w:szCs w:val="20"/>
          <w:lang w:eastAsia="en-US"/>
        </w:rPr>
        <w:t xml:space="preserve">Pereyra-Goday et al (2024); </w:t>
      </w:r>
      <w:r w:rsidRPr="00D118FB">
        <w:rPr>
          <w:rStyle w:val="Strong"/>
          <w:rFonts w:ascii="Aptos" w:eastAsiaTheme="majorEastAsia" w:hAnsi="Aptos" w:cstheme="majorBidi"/>
          <w:b w:val="0"/>
          <w:bCs w:val="0"/>
          <w:sz w:val="20"/>
          <w:szCs w:val="20"/>
          <w:vertAlign w:val="superscript"/>
          <w:lang w:eastAsia="en-US"/>
        </w:rPr>
        <w:t>3</w:t>
      </w:r>
      <w:r w:rsidRPr="00D118FB">
        <w:rPr>
          <w:rStyle w:val="Strong"/>
          <w:rFonts w:ascii="Aptos" w:eastAsiaTheme="majorEastAsia" w:hAnsi="Aptos" w:cstheme="majorBidi"/>
          <w:b w:val="0"/>
          <w:bCs w:val="0"/>
          <w:sz w:val="20"/>
          <w:szCs w:val="20"/>
          <w:lang w:eastAsia="en-US"/>
        </w:rPr>
        <w:t>Pereyra-Goday et al (2025);</w:t>
      </w:r>
      <w:r w:rsidRPr="00D118FB">
        <w:rPr>
          <w:rStyle w:val="Strong"/>
          <w:rFonts w:ascii="Aptos" w:eastAsiaTheme="majorEastAsia" w:hAnsi="Aptos" w:cstheme="majorBidi"/>
          <w:b w:val="0"/>
          <w:bCs w:val="0"/>
          <w:sz w:val="20"/>
          <w:szCs w:val="20"/>
          <w:vertAlign w:val="superscript"/>
          <w:lang w:eastAsia="en-US"/>
        </w:rPr>
        <w:t>4</w:t>
      </w:r>
      <w:r w:rsidRPr="00D118FB">
        <w:rPr>
          <w:rStyle w:val="Strong"/>
          <w:rFonts w:ascii="Aptos" w:eastAsiaTheme="majorEastAsia" w:hAnsi="Aptos" w:cstheme="majorBidi"/>
          <w:b w:val="0"/>
          <w:bCs w:val="0"/>
          <w:sz w:val="20"/>
          <w:szCs w:val="20"/>
          <w:lang w:eastAsia="en-US"/>
        </w:rPr>
        <w:t>This study</w:t>
      </w:r>
    </w:p>
    <w:p w14:paraId="7856DC2C" w14:textId="21AF84DD" w:rsidR="008A1475" w:rsidRDefault="008A1475" w:rsidP="00997ED0">
      <w:pPr>
        <w:spacing w:before="240" w:after="0" w:line="276" w:lineRule="auto"/>
        <w:rPr>
          <w:rFonts w:ascii="Aptos" w:hAnsi="Aptos"/>
          <w:b/>
          <w:bCs/>
          <w:lang w:val="en-GB"/>
        </w:rPr>
      </w:pPr>
      <w:r w:rsidRPr="008A1475">
        <w:rPr>
          <w:rFonts w:ascii="Aptos" w:hAnsi="Aptos"/>
          <w:b/>
          <w:bCs/>
          <w:lang w:val="en-GB"/>
        </w:rPr>
        <w:t>Acknowledgement</w:t>
      </w:r>
    </w:p>
    <w:p w14:paraId="71AE4D40" w14:textId="30C9A1AA" w:rsidR="008A1475" w:rsidRDefault="00615768" w:rsidP="008A1475">
      <w:pPr>
        <w:spacing w:after="240" w:line="276" w:lineRule="auto"/>
        <w:rPr>
          <w:rFonts w:ascii="Aptos" w:hAnsi="Aptos"/>
          <w:lang w:val="en-GB"/>
        </w:rPr>
      </w:pPr>
      <w:r w:rsidRPr="00615768">
        <w:rPr>
          <w:rFonts w:ascii="Aptos" w:hAnsi="Aptos"/>
          <w:lang w:val="en-GB"/>
        </w:rPr>
        <w:t>INIA</w:t>
      </w:r>
      <w:r>
        <w:rPr>
          <w:rFonts w:ascii="Aptos" w:hAnsi="Aptos"/>
          <w:lang w:val="en-GB"/>
        </w:rPr>
        <w:t xml:space="preserve"> and </w:t>
      </w:r>
      <w:r w:rsidRPr="00615768">
        <w:rPr>
          <w:rFonts w:ascii="Aptos" w:hAnsi="Aptos"/>
          <w:lang w:val="en-GB"/>
        </w:rPr>
        <w:t xml:space="preserve">Rothamsted Research </w:t>
      </w:r>
      <w:r>
        <w:rPr>
          <w:rFonts w:ascii="Aptos" w:hAnsi="Aptos"/>
          <w:lang w:val="en-GB"/>
        </w:rPr>
        <w:t>are</w:t>
      </w:r>
      <w:r w:rsidRPr="00615768">
        <w:rPr>
          <w:rFonts w:ascii="Aptos" w:hAnsi="Aptos"/>
          <w:lang w:val="en-GB"/>
        </w:rPr>
        <w:t xml:space="preserve"> members of the Global Farm Platform initiative (www.globalfarmplatform.org) collaboratively working towards sustainable ruminant livestock production systems. This research was funded by </w:t>
      </w:r>
      <w:r w:rsidR="00D8465D">
        <w:rPr>
          <w:rFonts w:ascii="Aptos" w:hAnsi="Aptos"/>
          <w:lang w:val="en-GB"/>
        </w:rPr>
        <w:t xml:space="preserve">the </w:t>
      </w:r>
      <w:r w:rsidRPr="00615768">
        <w:rPr>
          <w:rFonts w:ascii="Aptos" w:hAnsi="Aptos"/>
          <w:lang w:val="en-GB"/>
        </w:rPr>
        <w:t>Long</w:t>
      </w:r>
      <w:r w:rsidR="00C93BF3">
        <w:rPr>
          <w:rFonts w:ascii="Aptos" w:hAnsi="Aptos"/>
          <w:lang w:val="en-GB"/>
        </w:rPr>
        <w:t>-</w:t>
      </w:r>
      <w:r w:rsidRPr="00615768">
        <w:rPr>
          <w:rFonts w:ascii="Aptos" w:hAnsi="Aptos"/>
          <w:lang w:val="en-GB"/>
        </w:rPr>
        <w:t xml:space="preserve">Term Experimental Platforms </w:t>
      </w:r>
      <w:r w:rsidRPr="00615768">
        <w:rPr>
          <w:rFonts w:ascii="Aptos" w:hAnsi="Aptos"/>
          <w:lang w:val="en-GB"/>
        </w:rPr>
        <w:lastRenderedPageBreak/>
        <w:t xml:space="preserve">project (INIA), </w:t>
      </w:r>
      <w:r>
        <w:rPr>
          <w:rFonts w:ascii="Aptos" w:hAnsi="Aptos"/>
          <w:lang w:val="en-GB"/>
        </w:rPr>
        <w:t xml:space="preserve">the </w:t>
      </w:r>
      <w:r w:rsidRPr="00615768">
        <w:rPr>
          <w:rFonts w:ascii="Aptos" w:hAnsi="Aptos"/>
          <w:lang w:val="en-GB"/>
        </w:rPr>
        <w:t>National Agency of Research and Innovation (ANII)</w:t>
      </w:r>
      <w:r>
        <w:rPr>
          <w:rFonts w:ascii="Aptos" w:hAnsi="Aptos"/>
          <w:lang w:val="en-GB"/>
        </w:rPr>
        <w:t>,</w:t>
      </w:r>
      <w:r w:rsidRPr="00615768">
        <w:rPr>
          <w:rFonts w:ascii="Aptos" w:hAnsi="Aptos"/>
          <w:lang w:val="en-GB"/>
        </w:rPr>
        <w:t xml:space="preserve"> </w:t>
      </w:r>
      <w:r>
        <w:rPr>
          <w:rFonts w:ascii="Aptos" w:hAnsi="Aptos"/>
          <w:lang w:val="en-GB"/>
        </w:rPr>
        <w:t xml:space="preserve">and </w:t>
      </w:r>
      <w:r w:rsidR="00D8465D">
        <w:rPr>
          <w:rFonts w:ascii="Aptos" w:hAnsi="Aptos"/>
          <w:lang w:val="en-GB"/>
        </w:rPr>
        <w:t xml:space="preserve">the </w:t>
      </w:r>
      <w:r w:rsidRPr="00615768">
        <w:rPr>
          <w:rFonts w:ascii="Aptos" w:hAnsi="Aptos"/>
          <w:lang w:val="en-GB"/>
        </w:rPr>
        <w:t>BBSRC through the institute strategic program Growing Health (BB/X010953/1)</w:t>
      </w:r>
      <w:r>
        <w:rPr>
          <w:rFonts w:ascii="Aptos" w:hAnsi="Aptos"/>
          <w:lang w:val="en-GB"/>
        </w:rPr>
        <w:t>.</w:t>
      </w:r>
    </w:p>
    <w:p w14:paraId="16369C99" w14:textId="4B43FD8C" w:rsidR="00615768" w:rsidRDefault="00615768" w:rsidP="00615768">
      <w:pPr>
        <w:spacing w:after="0" w:line="276" w:lineRule="auto"/>
        <w:rPr>
          <w:rFonts w:ascii="Aptos" w:hAnsi="Aptos"/>
          <w:b/>
          <w:bCs/>
          <w:lang w:val="en-GB"/>
        </w:rPr>
      </w:pPr>
      <w:r w:rsidRPr="00615768">
        <w:rPr>
          <w:rFonts w:ascii="Aptos" w:hAnsi="Aptos"/>
          <w:b/>
          <w:bCs/>
          <w:lang w:val="en-GB"/>
        </w:rPr>
        <w:t>References</w:t>
      </w:r>
    </w:p>
    <w:p w14:paraId="4CED9F27" w14:textId="77777777" w:rsidR="00D8465D" w:rsidRDefault="00D8465D" w:rsidP="00D8465D">
      <w:pPr>
        <w:pStyle w:val="ListParagraph"/>
        <w:numPr>
          <w:ilvl w:val="0"/>
          <w:numId w:val="3"/>
        </w:numPr>
        <w:spacing w:after="0" w:line="276" w:lineRule="auto"/>
        <w:ind w:left="284" w:hanging="284"/>
        <w:rPr>
          <w:rFonts w:ascii="Aptos" w:hAnsi="Aptos"/>
          <w:sz w:val="20"/>
          <w:szCs w:val="20"/>
          <w:lang w:val="en-GB"/>
        </w:rPr>
      </w:pPr>
      <w:r w:rsidRPr="00D8465D">
        <w:rPr>
          <w:rFonts w:ascii="Aptos" w:hAnsi="Aptos"/>
          <w:sz w:val="20"/>
          <w:szCs w:val="20"/>
          <w:lang w:val="en-GB"/>
        </w:rPr>
        <w:t xml:space="preserve">Mosnier, C., Jarousse, A., Madrange, P., Balouzat, J., Guillier, M., Pirlo, G., Mertens, A., ORiordan, E., Pahmeyer, C., Hennart, S., Legein, L., Crosson, P., Kearney, M., Dimon, P., Bertozzi, C., Reding, E., Iacurto, M., Breen, J., Carè, S. y Veysset, P. 2021. Agricultural Systems, 190, 103088. </w:t>
      </w:r>
    </w:p>
    <w:p w14:paraId="52FF67AB" w14:textId="77777777" w:rsidR="00D8465D" w:rsidRPr="00D8465D" w:rsidRDefault="00D8465D" w:rsidP="00D8465D">
      <w:pPr>
        <w:pStyle w:val="ListParagraph"/>
        <w:numPr>
          <w:ilvl w:val="0"/>
          <w:numId w:val="3"/>
        </w:numPr>
        <w:spacing w:after="0" w:line="276" w:lineRule="auto"/>
        <w:ind w:left="284" w:hanging="284"/>
        <w:rPr>
          <w:rFonts w:ascii="Aptos" w:hAnsi="Aptos"/>
          <w:sz w:val="20"/>
          <w:szCs w:val="20"/>
          <w:lang w:val="en-GB"/>
        </w:rPr>
      </w:pPr>
      <w:r w:rsidRPr="001C05D7">
        <w:rPr>
          <w:rFonts w:ascii="Aptos" w:hAnsi="Aptos"/>
          <w:sz w:val="20"/>
          <w:szCs w:val="20"/>
          <w:lang w:val="es-ES"/>
        </w:rPr>
        <w:t xml:space="preserve">Pereyra, F., Jebari, A., Takahashi, T., Rovira, P., Ayala, W., Lee, M. R. F., Rivero, M. J. and Mcauliffe, G. 2024. </w:t>
      </w:r>
      <w:r w:rsidRPr="00D8465D">
        <w:rPr>
          <w:rFonts w:ascii="Aptos" w:hAnsi="Aptos"/>
          <w:sz w:val="20"/>
          <w:szCs w:val="20"/>
          <w:lang w:val="en-GB"/>
        </w:rPr>
        <w:t>Agronomy for Sustainable Development - ASD. 44, p. 41.</w:t>
      </w:r>
    </w:p>
    <w:p w14:paraId="2B38F66C" w14:textId="77777777" w:rsidR="00D8465D" w:rsidRPr="00D8465D" w:rsidRDefault="00D8465D" w:rsidP="00D8465D">
      <w:pPr>
        <w:pStyle w:val="ListParagraph"/>
        <w:numPr>
          <w:ilvl w:val="0"/>
          <w:numId w:val="3"/>
        </w:numPr>
        <w:spacing w:after="0" w:line="276" w:lineRule="auto"/>
        <w:ind w:left="284" w:hanging="284"/>
        <w:rPr>
          <w:rFonts w:ascii="Aptos" w:hAnsi="Aptos"/>
          <w:sz w:val="20"/>
          <w:szCs w:val="20"/>
          <w:lang w:val="es-ES"/>
        </w:rPr>
      </w:pPr>
      <w:r w:rsidRPr="00D8465D">
        <w:rPr>
          <w:rFonts w:ascii="Aptos" w:hAnsi="Aptos"/>
          <w:sz w:val="20"/>
          <w:szCs w:val="20"/>
          <w:lang w:val="es-ES"/>
        </w:rPr>
        <w:t>Pereyra-Goday, F. 2024. Alternativas de intensificación sostenible de sistemas agrícola-ganaderos basadas en rotaciones y estrategias ganaderas contrastantes. PhD Tesis, Facultad de Agronomía (UdelaR). Pp. 133.</w:t>
      </w:r>
    </w:p>
    <w:p w14:paraId="435244E8" w14:textId="77777777" w:rsidR="00D8465D" w:rsidRPr="00D8465D" w:rsidRDefault="00D8465D" w:rsidP="00D8465D">
      <w:pPr>
        <w:pStyle w:val="ListParagraph"/>
        <w:numPr>
          <w:ilvl w:val="0"/>
          <w:numId w:val="3"/>
        </w:numPr>
        <w:spacing w:after="0" w:line="276" w:lineRule="auto"/>
        <w:ind w:left="284" w:hanging="284"/>
        <w:rPr>
          <w:rFonts w:ascii="Aptos" w:hAnsi="Aptos"/>
          <w:sz w:val="20"/>
          <w:szCs w:val="20"/>
          <w:lang w:val="en-GB"/>
        </w:rPr>
      </w:pPr>
      <w:r w:rsidRPr="00D8465D">
        <w:rPr>
          <w:rFonts w:ascii="Aptos" w:hAnsi="Aptos"/>
          <w:sz w:val="20"/>
          <w:szCs w:val="20"/>
          <w:lang w:val="en-GB"/>
        </w:rPr>
        <w:t>Pereyra-Goday, F., Rovira, P., Ayala, W. and Rivero, M. J. 2022. Agronomy. 12 (12), p. 3023.</w:t>
      </w:r>
    </w:p>
    <w:sectPr w:rsidR="00D8465D" w:rsidRPr="00D8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D6A"/>
    <w:multiLevelType w:val="hybridMultilevel"/>
    <w:tmpl w:val="A266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B6703F0"/>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4966812">
    <w:abstractNumId w:val="1"/>
  </w:num>
  <w:num w:numId="2" w16cid:durableId="1878733246">
    <w:abstractNumId w:val="2"/>
  </w:num>
  <w:num w:numId="3" w16cid:durableId="148565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50"/>
    <w:rsid w:val="00190CF1"/>
    <w:rsid w:val="001C05D7"/>
    <w:rsid w:val="002C4410"/>
    <w:rsid w:val="00347693"/>
    <w:rsid w:val="00420D38"/>
    <w:rsid w:val="004E0FA3"/>
    <w:rsid w:val="00615768"/>
    <w:rsid w:val="006403A0"/>
    <w:rsid w:val="00683DCB"/>
    <w:rsid w:val="007D3168"/>
    <w:rsid w:val="008279CC"/>
    <w:rsid w:val="008A1475"/>
    <w:rsid w:val="00962A27"/>
    <w:rsid w:val="00997ED0"/>
    <w:rsid w:val="00A62F50"/>
    <w:rsid w:val="00B200A8"/>
    <w:rsid w:val="00B56487"/>
    <w:rsid w:val="00C93BF3"/>
    <w:rsid w:val="00D118FB"/>
    <w:rsid w:val="00D8465D"/>
    <w:rsid w:val="00D847BC"/>
    <w:rsid w:val="00DB5990"/>
    <w:rsid w:val="00F75DFD"/>
    <w:rsid w:val="00FD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8D3E"/>
  <w15:chartTrackingRefBased/>
  <w15:docId w15:val="{6A0405F0-0C96-491B-9B43-19264222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50"/>
    <w:rPr>
      <w:kern w:val="0"/>
      <w:lang w:val="es-UY"/>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2F50"/>
    <w:rPr>
      <w:b/>
      <w:bCs/>
    </w:rPr>
  </w:style>
  <w:style w:type="paragraph" w:styleId="NormalWeb">
    <w:name w:val="Normal (Web)"/>
    <w:basedOn w:val="Normal"/>
    <w:uiPriority w:val="99"/>
    <w:unhideWhenUsed/>
    <w:rsid w:val="00A62F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
    <w:qFormat/>
    <w:rsid w:val="00615768"/>
    <w:pPr>
      <w:numPr>
        <w:numId w:val="1"/>
      </w:numPr>
      <w:spacing w:before="120" w:after="240" w:line="240" w:lineRule="auto"/>
      <w:ind w:left="1434" w:hanging="357"/>
      <w:contextualSpacing/>
    </w:pPr>
    <w:rPr>
      <w:rFonts w:ascii="Times New Roman" w:eastAsia="Cambria" w:hAnsi="Times New Roman" w:cs="Times New Roman"/>
      <w:sz w:val="24"/>
      <w:szCs w:val="24"/>
      <w:lang w:val="en-US"/>
    </w:rPr>
  </w:style>
  <w:style w:type="character" w:styleId="CommentReference">
    <w:name w:val="annotation reference"/>
    <w:basedOn w:val="DefaultParagraphFont"/>
    <w:uiPriority w:val="99"/>
    <w:semiHidden/>
    <w:unhideWhenUsed/>
    <w:rsid w:val="001C05D7"/>
    <w:rPr>
      <w:sz w:val="16"/>
      <w:szCs w:val="16"/>
    </w:rPr>
  </w:style>
  <w:style w:type="paragraph" w:styleId="CommentText">
    <w:name w:val="annotation text"/>
    <w:basedOn w:val="Normal"/>
    <w:link w:val="CommentTextChar"/>
    <w:uiPriority w:val="99"/>
    <w:unhideWhenUsed/>
    <w:rsid w:val="001C05D7"/>
    <w:pPr>
      <w:spacing w:line="240" w:lineRule="auto"/>
    </w:pPr>
    <w:rPr>
      <w:sz w:val="20"/>
      <w:szCs w:val="20"/>
    </w:rPr>
  </w:style>
  <w:style w:type="character" w:customStyle="1" w:styleId="CommentTextChar">
    <w:name w:val="Comment Text Char"/>
    <w:basedOn w:val="DefaultParagraphFont"/>
    <w:link w:val="CommentText"/>
    <w:uiPriority w:val="99"/>
    <w:rsid w:val="001C05D7"/>
    <w:rPr>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1C05D7"/>
    <w:rPr>
      <w:b/>
      <w:bCs/>
    </w:rPr>
  </w:style>
  <w:style w:type="character" w:customStyle="1" w:styleId="CommentSubjectChar">
    <w:name w:val="Comment Subject Char"/>
    <w:basedOn w:val="CommentTextChar"/>
    <w:link w:val="CommentSubject"/>
    <w:uiPriority w:val="99"/>
    <w:semiHidden/>
    <w:rsid w:val="001C05D7"/>
    <w:rPr>
      <w:b/>
      <w:bCs/>
      <w:kern w:val="0"/>
      <w:sz w:val="20"/>
      <w:szCs w:val="20"/>
      <w:lang w:val="es-U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1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Rivero-Viera</dc:creator>
  <cp:keywords/>
  <dc:description/>
  <cp:lastModifiedBy>Jordana Rivero</cp:lastModifiedBy>
  <cp:revision>3</cp:revision>
  <dcterms:created xsi:type="dcterms:W3CDTF">2025-01-16T16:28:00Z</dcterms:created>
  <dcterms:modified xsi:type="dcterms:W3CDTF">2025-01-16T16:30:00Z</dcterms:modified>
</cp:coreProperties>
</file>