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F0B13" w14:textId="5A82CB8F" w:rsidR="007A041D" w:rsidRPr="004A5C56" w:rsidRDefault="006A65BF" w:rsidP="007A041D">
      <w:pPr>
        <w:spacing w:after="0"/>
        <w:rPr>
          <w:sz w:val="24"/>
          <w:szCs w:val="24"/>
        </w:rPr>
      </w:pPr>
      <w:r w:rsidRPr="004A5C56">
        <w:rPr>
          <w:b/>
          <w:bCs/>
        </w:rPr>
        <w:t xml:space="preserve">Application </w:t>
      </w:r>
      <w:r w:rsidRPr="004A5C56">
        <w:rPr>
          <w:sz w:val="24"/>
          <w:szCs w:val="24"/>
        </w:rPr>
        <w:t xml:space="preserve">Feeding an elevated level of milk will result in a sustained growth advantage in the pre-wean period. Calcium peroxide supplementation at 2.25% of DM </w:t>
      </w:r>
      <w:r w:rsidR="00906713" w:rsidRPr="004A5C56">
        <w:rPr>
          <w:sz w:val="24"/>
          <w:szCs w:val="24"/>
        </w:rPr>
        <w:t xml:space="preserve">lowered </w:t>
      </w:r>
      <w:r w:rsidRPr="004A5C56">
        <w:rPr>
          <w:sz w:val="24"/>
          <w:szCs w:val="24"/>
        </w:rPr>
        <w:t xml:space="preserve">concentrate intake and live weight in </w:t>
      </w:r>
      <w:r w:rsidR="0010063C" w:rsidRPr="004A5C56">
        <w:rPr>
          <w:sz w:val="24"/>
          <w:szCs w:val="24"/>
        </w:rPr>
        <w:t>pre-</w:t>
      </w:r>
      <w:r w:rsidRPr="004A5C56">
        <w:rPr>
          <w:sz w:val="24"/>
          <w:szCs w:val="24"/>
        </w:rPr>
        <w:t xml:space="preserve"> and post-weaning periods.</w:t>
      </w:r>
      <w:r w:rsidR="0069013F" w:rsidRPr="004A5C56">
        <w:rPr>
          <w:sz w:val="24"/>
          <w:szCs w:val="24"/>
        </w:rPr>
        <w:t xml:space="preserve"> Elevated milk replacer allowance </w:t>
      </w:r>
      <w:r w:rsidR="006B3BEB" w:rsidRPr="004A5C56">
        <w:rPr>
          <w:sz w:val="24"/>
          <w:szCs w:val="24"/>
        </w:rPr>
        <w:t>increased calves' average daily gain in the pre-weaning period.</w:t>
      </w:r>
    </w:p>
    <w:p w14:paraId="07C9ECB3" w14:textId="77777777" w:rsidR="007B30E3" w:rsidRPr="004A5C56" w:rsidRDefault="007B30E3">
      <w:pPr>
        <w:rPr>
          <w:b/>
          <w:bCs/>
        </w:rPr>
      </w:pPr>
    </w:p>
    <w:p w14:paraId="1E9AECFC" w14:textId="093717C8" w:rsidR="007A041D" w:rsidRPr="00085F11" w:rsidRDefault="006A65BF" w:rsidP="007A041D">
      <w:pPr>
        <w:spacing w:after="0"/>
        <w:rPr>
          <w:sz w:val="24"/>
          <w:szCs w:val="24"/>
        </w:rPr>
      </w:pPr>
      <w:r w:rsidRPr="004A5C56">
        <w:rPr>
          <w:b/>
          <w:bCs/>
        </w:rPr>
        <w:t xml:space="preserve">Introduction </w:t>
      </w:r>
      <w:r w:rsidRPr="004A5C56">
        <w:rPr>
          <w:sz w:val="24"/>
          <w:szCs w:val="24"/>
        </w:rPr>
        <w:t xml:space="preserve">Feeding </w:t>
      </w:r>
      <w:r w:rsidR="00AE16E8" w:rsidRPr="004A5C56">
        <w:rPr>
          <w:sz w:val="24"/>
          <w:szCs w:val="24"/>
        </w:rPr>
        <w:t xml:space="preserve">calves </w:t>
      </w:r>
      <w:r w:rsidRPr="004A5C56">
        <w:rPr>
          <w:sz w:val="24"/>
          <w:szCs w:val="24"/>
        </w:rPr>
        <w:t xml:space="preserve">higher milk replacer (MR) levels in the pre-weaning period could improve growth in </w:t>
      </w:r>
      <w:r w:rsidR="00D1518C" w:rsidRPr="004A5C56">
        <w:rPr>
          <w:sz w:val="24"/>
          <w:szCs w:val="24"/>
        </w:rPr>
        <w:t>early life</w:t>
      </w:r>
      <w:r w:rsidRPr="004A5C56">
        <w:rPr>
          <w:sz w:val="24"/>
          <w:szCs w:val="24"/>
        </w:rPr>
        <w:t>. Elevated MR can boost long-term production performance</w:t>
      </w:r>
      <w:r w:rsidR="00AE16E8" w:rsidRPr="004A5C56">
        <w:rPr>
          <w:sz w:val="24"/>
          <w:szCs w:val="24"/>
        </w:rPr>
        <w:t xml:space="preserve"> regarding average daily gains and greater milk yield in the first lactation</w:t>
      </w:r>
      <w:r w:rsidRPr="004A5C56">
        <w:rPr>
          <w:sz w:val="24"/>
          <w:szCs w:val="24"/>
        </w:rPr>
        <w:t xml:space="preserve">. </w:t>
      </w:r>
      <w:r w:rsidR="00085F11">
        <w:rPr>
          <w:sz w:val="24"/>
          <w:szCs w:val="24"/>
        </w:rPr>
        <w:t>Reduction in m</w:t>
      </w:r>
      <w:r w:rsidRPr="004A5C56">
        <w:rPr>
          <w:sz w:val="24"/>
          <w:szCs w:val="24"/>
        </w:rPr>
        <w:t xml:space="preserve">ethane production </w:t>
      </w:r>
      <w:r w:rsidR="00085F11">
        <w:rPr>
          <w:sz w:val="24"/>
          <w:szCs w:val="24"/>
        </w:rPr>
        <w:t>of cattle can increase performance such as average daily gain (ADG) which could result in a lowered age at first calving</w:t>
      </w:r>
      <w:r w:rsidRPr="004A5C56">
        <w:rPr>
          <w:sz w:val="24"/>
          <w:szCs w:val="24"/>
        </w:rPr>
        <w:t xml:space="preserve">. Higher milk replacer intake and reduced methane emissions can increase calves' growth. A feed additive, calcium peroxide, has been proven to reduce methane emissions in adult cattle by 16-28% (Roskam et al., 2024). However, no research has been reported using calcium peroxide as a methane-suppressing additive for calves and its effects on performance. This study aims to assess the effects of milk replacer level and calcium peroxide supplementation during the first 12 weeks of life on methane production and calf development. Our hypotheses are </w:t>
      </w:r>
      <w:proofErr w:type="spellStart"/>
      <w:r w:rsidRPr="004A5C56">
        <w:rPr>
          <w:sz w:val="24"/>
          <w:szCs w:val="24"/>
        </w:rPr>
        <w:t>i</w:t>
      </w:r>
      <w:proofErr w:type="spellEnd"/>
      <w:r w:rsidRPr="004A5C56">
        <w:rPr>
          <w:sz w:val="24"/>
          <w:szCs w:val="24"/>
        </w:rPr>
        <w:t>) calves fed higher milk replacer levels will have higher body weights and lower concentrate dry matter intake from birth to week 12, and ii) calcium peroxide supplementation at 2.25% will reduce methane production (g CH4/day).</w:t>
      </w:r>
    </w:p>
    <w:p w14:paraId="167B5498" w14:textId="77777777" w:rsidR="007B30E3" w:rsidRPr="004A5C56" w:rsidRDefault="007B30E3">
      <w:pPr>
        <w:rPr>
          <w:b/>
          <w:bCs/>
        </w:rPr>
      </w:pPr>
    </w:p>
    <w:p w14:paraId="08375433" w14:textId="77777777" w:rsidR="007A041D" w:rsidRPr="004A5C56" w:rsidRDefault="006A65BF" w:rsidP="007A041D">
      <w:pPr>
        <w:spacing w:after="0"/>
        <w:rPr>
          <w:b/>
          <w:bCs/>
          <w:sz w:val="24"/>
          <w:szCs w:val="24"/>
          <w:u w:val="single"/>
        </w:rPr>
      </w:pPr>
      <w:r w:rsidRPr="004A5C56">
        <w:rPr>
          <w:b/>
          <w:bCs/>
        </w:rPr>
        <w:t xml:space="preserve">Materials and Methods </w:t>
      </w:r>
      <w:r w:rsidRPr="004A5C56">
        <w:rPr>
          <w:sz w:val="24"/>
          <w:szCs w:val="24"/>
        </w:rPr>
        <w:t>Holstein heifer calves (n = 53)</w:t>
      </w:r>
      <w:r w:rsidRPr="004A5C56">
        <w:rPr>
          <w:b/>
          <w:bCs/>
          <w:sz w:val="24"/>
          <w:szCs w:val="24"/>
        </w:rPr>
        <w:t xml:space="preserve"> </w:t>
      </w:r>
      <w:r w:rsidRPr="004A5C56">
        <w:rPr>
          <w:sz w:val="24"/>
          <w:szCs w:val="24"/>
        </w:rPr>
        <w:t>were allocated to treatment in a 2 MR feeding level (Conventional vs. Elevated) x 2 Concentrate type (Additive vs. Control) design and balanced for birth weight, dam parity and colostrum quality. Calves were individually housed from birth, and experimental diets were offered on day 4. MR was offered at conventional (4 L/day) or elevated (8 L/day) feeding levels until weaning at day 63. Ad libitum additive (2.25% calcium peroxide) and Control (2.25% limestone) were offered from day 4 to week 12. Concentrate and MR intake were measured daily, and calves had free access to drinking water and chopped straw. Live weight was recorded weekly from birth to week 18. Methane emissions were recorded using metabolic chambers at week 2 and 9. From week 12, all treatments ceased, and calves were moved from individual pens to group housing. Once in group housing, calves were fed ad libitum grass silage alongside a standard heifer developer concentrate (2kg/day) using a GreenFeed unit (C-Lock Inc., Rapid City, SD.), with this being used to record their methane emissions. Daily concentrate intake and weekly live weight were fitted to a repeated measures REML model (GenStat 21st ed., VSNI Ltd) where milk replacer level, concentrate treatment, day and their interactions were fitted as fixed effects and birth weight was included as a covariate. Daily live weight gain was fitted to a linear mixed model with fixed effects of milk level and concentrate treatment and birth weight as a covariate. Pen was a random effect in all models.</w:t>
      </w:r>
    </w:p>
    <w:p w14:paraId="31DE43A2" w14:textId="77777777" w:rsidR="007B30E3" w:rsidRPr="004A5C56" w:rsidRDefault="007B30E3">
      <w:pPr>
        <w:rPr>
          <w:b/>
          <w:bCs/>
        </w:rPr>
      </w:pPr>
    </w:p>
    <w:p w14:paraId="22E528F5" w14:textId="77777777" w:rsidR="007A041D" w:rsidRPr="004A5C56" w:rsidRDefault="006A65BF" w:rsidP="007A041D">
      <w:pPr>
        <w:spacing w:after="0"/>
        <w:rPr>
          <w:sz w:val="24"/>
          <w:szCs w:val="24"/>
        </w:rPr>
      </w:pPr>
      <w:r w:rsidRPr="004A5C56">
        <w:rPr>
          <w:b/>
          <w:bCs/>
        </w:rPr>
        <w:t xml:space="preserve">Results </w:t>
      </w:r>
      <w:r w:rsidRPr="004A5C56">
        <w:rPr>
          <w:sz w:val="24"/>
          <w:szCs w:val="24"/>
        </w:rPr>
        <w:t xml:space="preserve">As expected from day 4 – 83 calves fed the conventional MR level consumed more concentrate (Table 1; P = 0.021). Average daily concentrate intake in Control calves was higher than that of calves offered Additive concentrate – during the first 12 </w:t>
      </w:r>
      <w:r w:rsidRPr="004A5C56">
        <w:rPr>
          <w:sz w:val="24"/>
          <w:szCs w:val="24"/>
        </w:rPr>
        <w:lastRenderedPageBreak/>
        <w:t>weeks of life (Table 1; P &lt;0.001). In the pre-wean period (d4-63), calves offered conventional levels of MR consumed ~ 134 g DM/day more concentrate than those offered elevated levels of MR (P = 0.002). In the same period, calves fed control concentrate consumed ~109 g DM/day more than those offered the Additive concentrate (P = 0.008). The difference in intake between concentrate treatments continued in the post-wean period (d64-84), whereby Control calves consumed ~ 403 g DM/day more than Additive calves (P &lt;0.001).</w:t>
      </w:r>
    </w:p>
    <w:p w14:paraId="4C610F7A" w14:textId="77777777" w:rsidR="007A041D" w:rsidRPr="004A5C56" w:rsidRDefault="007A041D" w:rsidP="007A041D">
      <w:pPr>
        <w:spacing w:after="0"/>
        <w:rPr>
          <w:sz w:val="24"/>
          <w:szCs w:val="24"/>
        </w:rPr>
      </w:pPr>
    </w:p>
    <w:p w14:paraId="429B984E" w14:textId="77777777" w:rsidR="007A041D" w:rsidRPr="004A5C56" w:rsidRDefault="006A65BF" w:rsidP="007A041D">
      <w:pPr>
        <w:spacing w:after="0"/>
        <w:ind w:left="1440" w:hanging="1440"/>
        <w:rPr>
          <w:sz w:val="24"/>
          <w:szCs w:val="24"/>
        </w:rPr>
      </w:pPr>
      <w:r w:rsidRPr="004A5C56">
        <w:rPr>
          <w:b/>
          <w:bCs/>
          <w:sz w:val="24"/>
          <w:szCs w:val="24"/>
        </w:rPr>
        <w:t>Table 1.</w:t>
      </w:r>
      <w:r w:rsidRPr="004A5C56">
        <w:rPr>
          <w:sz w:val="24"/>
          <w:szCs w:val="24"/>
        </w:rPr>
        <w:t xml:space="preserve"> Daily concentrate intake (g DM/day) in the first 12 weeks of life</w:t>
      </w:r>
    </w:p>
    <w:p w14:paraId="662ED222" w14:textId="77777777" w:rsidR="007A041D" w:rsidRPr="004A5C56" w:rsidRDefault="007A041D" w:rsidP="007A041D">
      <w:pPr>
        <w:spacing w:after="0"/>
        <w:ind w:left="1440" w:hanging="1440"/>
        <w:rPr>
          <w:sz w:val="24"/>
          <w:szCs w:val="24"/>
        </w:rPr>
      </w:pPr>
    </w:p>
    <w:tbl>
      <w:tblPr>
        <w:tblStyle w:val="TableGrid"/>
        <w:tblW w:w="91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1276"/>
        <w:gridCol w:w="944"/>
        <w:gridCol w:w="48"/>
        <w:gridCol w:w="641"/>
        <w:gridCol w:w="210"/>
        <w:gridCol w:w="992"/>
        <w:gridCol w:w="545"/>
        <w:gridCol w:w="306"/>
        <w:gridCol w:w="383"/>
        <w:gridCol w:w="325"/>
        <w:gridCol w:w="709"/>
        <w:gridCol w:w="449"/>
        <w:gridCol w:w="402"/>
        <w:gridCol w:w="662"/>
        <w:gridCol w:w="108"/>
      </w:tblGrid>
      <w:tr w:rsidR="00CA0B44" w:rsidRPr="004A5C56" w14:paraId="4D82576C" w14:textId="77777777" w:rsidTr="00793FEE">
        <w:trPr>
          <w:gridAfter w:val="1"/>
          <w:wAfter w:w="108" w:type="dxa"/>
        </w:trPr>
        <w:tc>
          <w:tcPr>
            <w:tcW w:w="1139" w:type="dxa"/>
            <w:tcBorders>
              <w:top w:val="single" w:sz="4" w:space="0" w:color="auto"/>
            </w:tcBorders>
          </w:tcPr>
          <w:p w14:paraId="2D404E79" w14:textId="77777777" w:rsidR="007A041D" w:rsidRPr="004A5C56" w:rsidRDefault="007A041D" w:rsidP="00793FEE">
            <w:pPr>
              <w:rPr>
                <w:sz w:val="18"/>
                <w:szCs w:val="18"/>
              </w:rPr>
            </w:pPr>
          </w:p>
        </w:tc>
        <w:tc>
          <w:tcPr>
            <w:tcW w:w="2220" w:type="dxa"/>
            <w:gridSpan w:val="2"/>
            <w:tcBorders>
              <w:top w:val="single" w:sz="4" w:space="0" w:color="auto"/>
              <w:bottom w:val="single" w:sz="4" w:space="0" w:color="auto"/>
            </w:tcBorders>
          </w:tcPr>
          <w:p w14:paraId="170F55EC" w14:textId="77777777" w:rsidR="007A041D" w:rsidRPr="004A5C56" w:rsidRDefault="006A65BF" w:rsidP="00793FEE">
            <w:pPr>
              <w:jc w:val="center"/>
              <w:rPr>
                <w:sz w:val="18"/>
                <w:szCs w:val="18"/>
              </w:rPr>
            </w:pPr>
            <w:r w:rsidRPr="004A5C56">
              <w:rPr>
                <w:sz w:val="18"/>
                <w:szCs w:val="18"/>
              </w:rPr>
              <w:t>MR Treatment</w:t>
            </w:r>
          </w:p>
        </w:tc>
        <w:tc>
          <w:tcPr>
            <w:tcW w:w="689" w:type="dxa"/>
            <w:gridSpan w:val="2"/>
            <w:tcBorders>
              <w:top w:val="single" w:sz="4" w:space="0" w:color="auto"/>
            </w:tcBorders>
          </w:tcPr>
          <w:p w14:paraId="425FE9AB" w14:textId="77777777" w:rsidR="007A041D" w:rsidRPr="004A5C56" w:rsidRDefault="007A041D" w:rsidP="00793FEE">
            <w:pPr>
              <w:jc w:val="center"/>
              <w:rPr>
                <w:sz w:val="18"/>
                <w:szCs w:val="18"/>
              </w:rPr>
            </w:pPr>
          </w:p>
        </w:tc>
        <w:tc>
          <w:tcPr>
            <w:tcW w:w="1747" w:type="dxa"/>
            <w:gridSpan w:val="3"/>
            <w:tcBorders>
              <w:top w:val="single" w:sz="4" w:space="0" w:color="auto"/>
              <w:bottom w:val="single" w:sz="4" w:space="0" w:color="auto"/>
            </w:tcBorders>
          </w:tcPr>
          <w:p w14:paraId="74942207" w14:textId="77777777" w:rsidR="007A041D" w:rsidRPr="004A5C56" w:rsidRDefault="006A65BF" w:rsidP="00793FEE">
            <w:pPr>
              <w:jc w:val="center"/>
              <w:rPr>
                <w:sz w:val="18"/>
                <w:szCs w:val="18"/>
              </w:rPr>
            </w:pPr>
            <w:r w:rsidRPr="004A5C56">
              <w:rPr>
                <w:sz w:val="18"/>
                <w:szCs w:val="18"/>
              </w:rPr>
              <w:t>Concentrate Treatment</w:t>
            </w:r>
          </w:p>
        </w:tc>
        <w:tc>
          <w:tcPr>
            <w:tcW w:w="689" w:type="dxa"/>
            <w:gridSpan w:val="2"/>
            <w:tcBorders>
              <w:top w:val="single" w:sz="4" w:space="0" w:color="auto"/>
            </w:tcBorders>
          </w:tcPr>
          <w:p w14:paraId="71EA6FBC" w14:textId="77777777" w:rsidR="007A041D" w:rsidRPr="004A5C56" w:rsidRDefault="007A041D" w:rsidP="00793FEE">
            <w:pPr>
              <w:jc w:val="center"/>
              <w:rPr>
                <w:sz w:val="18"/>
                <w:szCs w:val="18"/>
              </w:rPr>
            </w:pPr>
          </w:p>
        </w:tc>
        <w:tc>
          <w:tcPr>
            <w:tcW w:w="1483" w:type="dxa"/>
            <w:gridSpan w:val="3"/>
            <w:tcBorders>
              <w:top w:val="single" w:sz="4" w:space="0" w:color="auto"/>
              <w:bottom w:val="single" w:sz="4" w:space="0" w:color="auto"/>
            </w:tcBorders>
          </w:tcPr>
          <w:p w14:paraId="49CD6F9D" w14:textId="77777777" w:rsidR="007A041D" w:rsidRPr="004A5C56" w:rsidRDefault="006A65BF" w:rsidP="00793FEE">
            <w:pPr>
              <w:jc w:val="center"/>
              <w:rPr>
                <w:sz w:val="18"/>
                <w:szCs w:val="18"/>
              </w:rPr>
            </w:pPr>
            <w:r w:rsidRPr="004A5C56">
              <w:rPr>
                <w:sz w:val="18"/>
                <w:szCs w:val="18"/>
              </w:rPr>
              <w:t>P-Value</w:t>
            </w:r>
          </w:p>
        </w:tc>
        <w:tc>
          <w:tcPr>
            <w:tcW w:w="1064" w:type="dxa"/>
            <w:gridSpan w:val="2"/>
            <w:tcBorders>
              <w:top w:val="single" w:sz="4" w:space="0" w:color="auto"/>
            </w:tcBorders>
          </w:tcPr>
          <w:p w14:paraId="693FBEA9" w14:textId="77777777" w:rsidR="007A041D" w:rsidRPr="004A5C56" w:rsidRDefault="007A041D" w:rsidP="00793FEE">
            <w:pPr>
              <w:jc w:val="center"/>
              <w:rPr>
                <w:sz w:val="18"/>
                <w:szCs w:val="18"/>
              </w:rPr>
            </w:pPr>
          </w:p>
        </w:tc>
      </w:tr>
      <w:tr w:rsidR="00CA0B44" w:rsidRPr="004A5C56" w14:paraId="400D69C9" w14:textId="77777777" w:rsidTr="00793FEE">
        <w:tc>
          <w:tcPr>
            <w:tcW w:w="1139" w:type="dxa"/>
            <w:tcBorders>
              <w:bottom w:val="single" w:sz="4" w:space="0" w:color="auto"/>
            </w:tcBorders>
          </w:tcPr>
          <w:p w14:paraId="1C60B802" w14:textId="77777777" w:rsidR="007A041D" w:rsidRPr="004A5C56" w:rsidRDefault="007A041D" w:rsidP="00793FEE">
            <w:pPr>
              <w:rPr>
                <w:sz w:val="18"/>
                <w:szCs w:val="18"/>
              </w:rPr>
            </w:pPr>
          </w:p>
        </w:tc>
        <w:tc>
          <w:tcPr>
            <w:tcW w:w="1276" w:type="dxa"/>
            <w:tcBorders>
              <w:top w:val="single" w:sz="4" w:space="0" w:color="auto"/>
              <w:bottom w:val="single" w:sz="4" w:space="0" w:color="auto"/>
            </w:tcBorders>
          </w:tcPr>
          <w:p w14:paraId="457FDC2C" w14:textId="77777777" w:rsidR="007A041D" w:rsidRPr="004A5C56" w:rsidRDefault="006A65BF" w:rsidP="00793FEE">
            <w:pPr>
              <w:jc w:val="center"/>
              <w:rPr>
                <w:sz w:val="18"/>
                <w:szCs w:val="18"/>
              </w:rPr>
            </w:pPr>
            <w:r w:rsidRPr="004A5C56">
              <w:rPr>
                <w:sz w:val="18"/>
                <w:szCs w:val="18"/>
              </w:rPr>
              <w:t>Conventional</w:t>
            </w:r>
          </w:p>
        </w:tc>
        <w:tc>
          <w:tcPr>
            <w:tcW w:w="992" w:type="dxa"/>
            <w:gridSpan w:val="2"/>
            <w:tcBorders>
              <w:top w:val="single" w:sz="4" w:space="0" w:color="auto"/>
              <w:bottom w:val="single" w:sz="4" w:space="0" w:color="auto"/>
            </w:tcBorders>
          </w:tcPr>
          <w:p w14:paraId="552E6DB5" w14:textId="77777777" w:rsidR="007A041D" w:rsidRPr="004A5C56" w:rsidRDefault="006A65BF" w:rsidP="00793FEE">
            <w:pPr>
              <w:jc w:val="center"/>
              <w:rPr>
                <w:sz w:val="18"/>
                <w:szCs w:val="18"/>
              </w:rPr>
            </w:pPr>
            <w:r w:rsidRPr="004A5C56">
              <w:rPr>
                <w:sz w:val="18"/>
                <w:szCs w:val="18"/>
              </w:rPr>
              <w:t>Elevated</w:t>
            </w:r>
          </w:p>
        </w:tc>
        <w:tc>
          <w:tcPr>
            <w:tcW w:w="851" w:type="dxa"/>
            <w:gridSpan w:val="2"/>
            <w:tcBorders>
              <w:bottom w:val="single" w:sz="4" w:space="0" w:color="auto"/>
            </w:tcBorders>
          </w:tcPr>
          <w:p w14:paraId="71339DE8" w14:textId="77777777" w:rsidR="007A041D" w:rsidRPr="004A5C56" w:rsidRDefault="006A65BF" w:rsidP="00793FEE">
            <w:pPr>
              <w:jc w:val="center"/>
              <w:rPr>
                <w:sz w:val="18"/>
                <w:szCs w:val="18"/>
              </w:rPr>
            </w:pPr>
            <w:r w:rsidRPr="004A5C56">
              <w:rPr>
                <w:sz w:val="18"/>
                <w:szCs w:val="18"/>
              </w:rPr>
              <w:t>SED</w:t>
            </w:r>
          </w:p>
        </w:tc>
        <w:tc>
          <w:tcPr>
            <w:tcW w:w="992" w:type="dxa"/>
            <w:tcBorders>
              <w:top w:val="single" w:sz="4" w:space="0" w:color="auto"/>
              <w:bottom w:val="single" w:sz="4" w:space="0" w:color="auto"/>
            </w:tcBorders>
          </w:tcPr>
          <w:p w14:paraId="643DAF5C" w14:textId="77777777" w:rsidR="007A041D" w:rsidRPr="004A5C56" w:rsidRDefault="006A65BF" w:rsidP="00793FEE">
            <w:pPr>
              <w:jc w:val="center"/>
              <w:rPr>
                <w:sz w:val="18"/>
                <w:szCs w:val="18"/>
              </w:rPr>
            </w:pPr>
            <w:r w:rsidRPr="004A5C56">
              <w:rPr>
                <w:sz w:val="18"/>
                <w:szCs w:val="18"/>
              </w:rPr>
              <w:t>Additive</w:t>
            </w:r>
          </w:p>
        </w:tc>
        <w:tc>
          <w:tcPr>
            <w:tcW w:w="851" w:type="dxa"/>
            <w:gridSpan w:val="2"/>
            <w:tcBorders>
              <w:top w:val="single" w:sz="4" w:space="0" w:color="auto"/>
              <w:bottom w:val="single" w:sz="4" w:space="0" w:color="auto"/>
            </w:tcBorders>
          </w:tcPr>
          <w:p w14:paraId="2D7D53C9" w14:textId="77777777" w:rsidR="007A041D" w:rsidRPr="004A5C56" w:rsidRDefault="006A65BF" w:rsidP="00793FEE">
            <w:pPr>
              <w:jc w:val="center"/>
              <w:rPr>
                <w:sz w:val="18"/>
                <w:szCs w:val="18"/>
              </w:rPr>
            </w:pPr>
            <w:r w:rsidRPr="004A5C56">
              <w:rPr>
                <w:sz w:val="18"/>
                <w:szCs w:val="18"/>
              </w:rPr>
              <w:t>Control</w:t>
            </w:r>
          </w:p>
        </w:tc>
        <w:tc>
          <w:tcPr>
            <w:tcW w:w="708" w:type="dxa"/>
            <w:gridSpan w:val="2"/>
            <w:tcBorders>
              <w:bottom w:val="single" w:sz="4" w:space="0" w:color="auto"/>
            </w:tcBorders>
          </w:tcPr>
          <w:p w14:paraId="3C04070F" w14:textId="77777777" w:rsidR="007A041D" w:rsidRPr="004A5C56" w:rsidRDefault="006A65BF" w:rsidP="00793FEE">
            <w:pPr>
              <w:jc w:val="center"/>
              <w:rPr>
                <w:sz w:val="18"/>
                <w:szCs w:val="18"/>
              </w:rPr>
            </w:pPr>
            <w:r w:rsidRPr="004A5C56">
              <w:rPr>
                <w:sz w:val="18"/>
                <w:szCs w:val="18"/>
              </w:rPr>
              <w:t>SED</w:t>
            </w:r>
          </w:p>
        </w:tc>
        <w:tc>
          <w:tcPr>
            <w:tcW w:w="709" w:type="dxa"/>
            <w:tcBorders>
              <w:top w:val="single" w:sz="4" w:space="0" w:color="auto"/>
              <w:bottom w:val="single" w:sz="4" w:space="0" w:color="auto"/>
            </w:tcBorders>
          </w:tcPr>
          <w:p w14:paraId="018F9768" w14:textId="77777777" w:rsidR="007A041D" w:rsidRPr="004A5C56" w:rsidRDefault="006A65BF" w:rsidP="00793FEE">
            <w:pPr>
              <w:jc w:val="center"/>
              <w:rPr>
                <w:sz w:val="18"/>
                <w:szCs w:val="18"/>
              </w:rPr>
            </w:pPr>
            <w:r w:rsidRPr="004A5C56">
              <w:rPr>
                <w:sz w:val="18"/>
                <w:szCs w:val="18"/>
              </w:rPr>
              <w:t>MR</w:t>
            </w:r>
          </w:p>
        </w:tc>
        <w:tc>
          <w:tcPr>
            <w:tcW w:w="851" w:type="dxa"/>
            <w:gridSpan w:val="2"/>
            <w:tcBorders>
              <w:top w:val="single" w:sz="4" w:space="0" w:color="auto"/>
              <w:bottom w:val="single" w:sz="4" w:space="0" w:color="auto"/>
            </w:tcBorders>
          </w:tcPr>
          <w:p w14:paraId="7CB012CC" w14:textId="77777777" w:rsidR="007A041D" w:rsidRPr="004A5C56" w:rsidRDefault="006A65BF" w:rsidP="00793FEE">
            <w:pPr>
              <w:jc w:val="center"/>
              <w:rPr>
                <w:sz w:val="18"/>
                <w:szCs w:val="18"/>
              </w:rPr>
            </w:pPr>
            <w:r w:rsidRPr="004A5C56">
              <w:rPr>
                <w:sz w:val="18"/>
                <w:szCs w:val="18"/>
              </w:rPr>
              <w:t>Conc</w:t>
            </w:r>
          </w:p>
        </w:tc>
        <w:tc>
          <w:tcPr>
            <w:tcW w:w="770" w:type="dxa"/>
            <w:gridSpan w:val="2"/>
            <w:tcBorders>
              <w:bottom w:val="single" w:sz="4" w:space="0" w:color="auto"/>
            </w:tcBorders>
          </w:tcPr>
          <w:p w14:paraId="09CE07C9" w14:textId="77777777" w:rsidR="007A041D" w:rsidRPr="004A5C56" w:rsidRDefault="006A65BF" w:rsidP="00793FEE">
            <w:pPr>
              <w:jc w:val="center"/>
              <w:rPr>
                <w:sz w:val="18"/>
                <w:szCs w:val="18"/>
              </w:rPr>
            </w:pPr>
            <w:r w:rsidRPr="004A5C56">
              <w:rPr>
                <w:sz w:val="18"/>
                <w:szCs w:val="18"/>
              </w:rPr>
              <w:t xml:space="preserve">MR </w:t>
            </w:r>
            <w:proofErr w:type="spellStart"/>
            <w:r w:rsidRPr="004A5C56">
              <w:rPr>
                <w:sz w:val="18"/>
                <w:szCs w:val="18"/>
              </w:rPr>
              <w:t>xConc</w:t>
            </w:r>
            <w:proofErr w:type="spellEnd"/>
          </w:p>
        </w:tc>
      </w:tr>
      <w:tr w:rsidR="00CA0B44" w:rsidRPr="004A5C56" w14:paraId="03C6AB7C" w14:textId="77777777" w:rsidTr="00793FEE">
        <w:tc>
          <w:tcPr>
            <w:tcW w:w="1139" w:type="dxa"/>
          </w:tcPr>
          <w:p w14:paraId="5DA00D99" w14:textId="77777777" w:rsidR="007A041D" w:rsidRPr="004A5C56" w:rsidRDefault="006A65BF" w:rsidP="00793FEE">
            <w:pPr>
              <w:rPr>
                <w:sz w:val="18"/>
                <w:szCs w:val="18"/>
              </w:rPr>
            </w:pPr>
            <w:r w:rsidRPr="004A5C56">
              <w:rPr>
                <w:sz w:val="18"/>
                <w:szCs w:val="18"/>
              </w:rPr>
              <w:t>Day 4 – 83 (</w:t>
            </w:r>
            <w:proofErr w:type="spellStart"/>
            <w:r w:rsidRPr="004A5C56">
              <w:rPr>
                <w:sz w:val="18"/>
                <w:szCs w:val="18"/>
              </w:rPr>
              <w:t>gDM</w:t>
            </w:r>
            <w:proofErr w:type="spellEnd"/>
            <w:r w:rsidRPr="004A5C56">
              <w:rPr>
                <w:sz w:val="18"/>
                <w:szCs w:val="18"/>
              </w:rPr>
              <w:t>/day)</w:t>
            </w:r>
          </w:p>
        </w:tc>
        <w:tc>
          <w:tcPr>
            <w:tcW w:w="1276" w:type="dxa"/>
          </w:tcPr>
          <w:p w14:paraId="60368EA8" w14:textId="77777777" w:rsidR="007A041D" w:rsidRPr="004A5C56" w:rsidRDefault="006A65BF" w:rsidP="00793FEE">
            <w:pPr>
              <w:jc w:val="center"/>
              <w:rPr>
                <w:sz w:val="18"/>
                <w:szCs w:val="18"/>
              </w:rPr>
            </w:pPr>
            <w:r w:rsidRPr="004A5C56">
              <w:rPr>
                <w:sz w:val="18"/>
                <w:szCs w:val="18"/>
              </w:rPr>
              <w:t>888.2</w:t>
            </w:r>
          </w:p>
        </w:tc>
        <w:tc>
          <w:tcPr>
            <w:tcW w:w="992" w:type="dxa"/>
            <w:gridSpan w:val="2"/>
          </w:tcPr>
          <w:p w14:paraId="280BA856" w14:textId="77777777" w:rsidR="007A041D" w:rsidRPr="004A5C56" w:rsidRDefault="006A65BF" w:rsidP="00793FEE">
            <w:pPr>
              <w:jc w:val="center"/>
              <w:rPr>
                <w:sz w:val="18"/>
                <w:szCs w:val="18"/>
              </w:rPr>
            </w:pPr>
            <w:r w:rsidRPr="004A5C56">
              <w:rPr>
                <w:sz w:val="18"/>
                <w:szCs w:val="18"/>
              </w:rPr>
              <w:t>766.4</w:t>
            </w:r>
          </w:p>
        </w:tc>
        <w:tc>
          <w:tcPr>
            <w:tcW w:w="851" w:type="dxa"/>
            <w:gridSpan w:val="2"/>
          </w:tcPr>
          <w:p w14:paraId="6245B4E5" w14:textId="77777777" w:rsidR="007A041D" w:rsidRPr="004A5C56" w:rsidRDefault="006A65BF" w:rsidP="00793FEE">
            <w:pPr>
              <w:jc w:val="center"/>
              <w:rPr>
                <w:sz w:val="18"/>
                <w:szCs w:val="18"/>
              </w:rPr>
            </w:pPr>
            <w:r w:rsidRPr="004A5C56">
              <w:rPr>
                <w:sz w:val="18"/>
                <w:szCs w:val="18"/>
              </w:rPr>
              <w:t>49.20</w:t>
            </w:r>
          </w:p>
        </w:tc>
        <w:tc>
          <w:tcPr>
            <w:tcW w:w="992" w:type="dxa"/>
          </w:tcPr>
          <w:p w14:paraId="2739A43D" w14:textId="77777777" w:rsidR="007A041D" w:rsidRPr="004A5C56" w:rsidRDefault="006A65BF" w:rsidP="00793FEE">
            <w:pPr>
              <w:jc w:val="center"/>
              <w:rPr>
                <w:sz w:val="18"/>
                <w:szCs w:val="18"/>
              </w:rPr>
            </w:pPr>
            <w:r w:rsidRPr="004A5C56">
              <w:rPr>
                <w:sz w:val="18"/>
                <w:szCs w:val="18"/>
              </w:rPr>
              <w:t>736.2</w:t>
            </w:r>
          </w:p>
        </w:tc>
        <w:tc>
          <w:tcPr>
            <w:tcW w:w="851" w:type="dxa"/>
            <w:gridSpan w:val="2"/>
          </w:tcPr>
          <w:p w14:paraId="695E72FA" w14:textId="77777777" w:rsidR="007A041D" w:rsidRPr="004A5C56" w:rsidRDefault="006A65BF" w:rsidP="00793FEE">
            <w:pPr>
              <w:jc w:val="center"/>
              <w:rPr>
                <w:sz w:val="18"/>
                <w:szCs w:val="18"/>
              </w:rPr>
            </w:pPr>
            <w:r w:rsidRPr="004A5C56">
              <w:rPr>
                <w:sz w:val="18"/>
                <w:szCs w:val="18"/>
              </w:rPr>
              <w:t>918.3</w:t>
            </w:r>
          </w:p>
        </w:tc>
        <w:tc>
          <w:tcPr>
            <w:tcW w:w="708" w:type="dxa"/>
            <w:gridSpan w:val="2"/>
          </w:tcPr>
          <w:p w14:paraId="676DD136" w14:textId="77777777" w:rsidR="007A041D" w:rsidRPr="004A5C56" w:rsidRDefault="006A65BF" w:rsidP="00793FEE">
            <w:pPr>
              <w:jc w:val="center"/>
              <w:rPr>
                <w:sz w:val="18"/>
                <w:szCs w:val="18"/>
              </w:rPr>
            </w:pPr>
            <w:r w:rsidRPr="004A5C56">
              <w:rPr>
                <w:sz w:val="18"/>
                <w:szCs w:val="18"/>
              </w:rPr>
              <w:t>48.54</w:t>
            </w:r>
          </w:p>
        </w:tc>
        <w:tc>
          <w:tcPr>
            <w:tcW w:w="709" w:type="dxa"/>
          </w:tcPr>
          <w:p w14:paraId="7AFFF023" w14:textId="77777777" w:rsidR="007A041D" w:rsidRPr="004A5C56" w:rsidRDefault="006A65BF" w:rsidP="00793FEE">
            <w:pPr>
              <w:jc w:val="center"/>
              <w:rPr>
                <w:sz w:val="18"/>
                <w:szCs w:val="18"/>
              </w:rPr>
            </w:pPr>
            <w:r w:rsidRPr="004A5C56">
              <w:rPr>
                <w:sz w:val="18"/>
                <w:szCs w:val="18"/>
              </w:rPr>
              <w:t>0.021</w:t>
            </w:r>
          </w:p>
        </w:tc>
        <w:tc>
          <w:tcPr>
            <w:tcW w:w="851" w:type="dxa"/>
            <w:gridSpan w:val="2"/>
          </w:tcPr>
          <w:p w14:paraId="47AC61A8" w14:textId="77777777" w:rsidR="007A041D" w:rsidRPr="004A5C56" w:rsidRDefault="006A65BF" w:rsidP="00793FEE">
            <w:pPr>
              <w:jc w:val="center"/>
              <w:rPr>
                <w:sz w:val="18"/>
                <w:szCs w:val="18"/>
              </w:rPr>
            </w:pPr>
            <w:r w:rsidRPr="004A5C56">
              <w:rPr>
                <w:sz w:val="18"/>
                <w:szCs w:val="18"/>
              </w:rPr>
              <w:t>&lt;0.001</w:t>
            </w:r>
          </w:p>
        </w:tc>
        <w:tc>
          <w:tcPr>
            <w:tcW w:w="770" w:type="dxa"/>
            <w:gridSpan w:val="2"/>
          </w:tcPr>
          <w:p w14:paraId="3B2B3616" w14:textId="77777777" w:rsidR="007A041D" w:rsidRPr="004A5C56" w:rsidRDefault="006A65BF" w:rsidP="00793FEE">
            <w:pPr>
              <w:jc w:val="center"/>
              <w:rPr>
                <w:sz w:val="18"/>
                <w:szCs w:val="18"/>
              </w:rPr>
            </w:pPr>
            <w:r w:rsidRPr="004A5C56">
              <w:rPr>
                <w:sz w:val="18"/>
                <w:szCs w:val="18"/>
              </w:rPr>
              <w:t>0.928</w:t>
            </w:r>
          </w:p>
        </w:tc>
      </w:tr>
      <w:tr w:rsidR="00CA0B44" w:rsidRPr="004A5C56" w14:paraId="6C263FA1" w14:textId="77777777" w:rsidTr="00793FEE">
        <w:tc>
          <w:tcPr>
            <w:tcW w:w="1139" w:type="dxa"/>
          </w:tcPr>
          <w:p w14:paraId="77AD5E14" w14:textId="77777777" w:rsidR="007A041D" w:rsidRPr="004A5C56" w:rsidRDefault="006A65BF" w:rsidP="00793FEE">
            <w:pPr>
              <w:rPr>
                <w:sz w:val="18"/>
                <w:szCs w:val="18"/>
              </w:rPr>
            </w:pPr>
            <w:r w:rsidRPr="004A5C56">
              <w:rPr>
                <w:sz w:val="18"/>
                <w:szCs w:val="18"/>
              </w:rPr>
              <w:t xml:space="preserve">Day 4– 63 </w:t>
            </w:r>
          </w:p>
          <w:p w14:paraId="50FF21A5" w14:textId="77777777" w:rsidR="007A041D" w:rsidRPr="004A5C56" w:rsidRDefault="006A65BF" w:rsidP="00793FEE">
            <w:pPr>
              <w:rPr>
                <w:sz w:val="18"/>
                <w:szCs w:val="18"/>
              </w:rPr>
            </w:pPr>
            <w:r w:rsidRPr="004A5C56">
              <w:rPr>
                <w:sz w:val="18"/>
                <w:szCs w:val="18"/>
              </w:rPr>
              <w:t>(</w:t>
            </w:r>
            <w:proofErr w:type="spellStart"/>
            <w:r w:rsidRPr="004A5C56">
              <w:rPr>
                <w:sz w:val="18"/>
                <w:szCs w:val="18"/>
              </w:rPr>
              <w:t>gDM</w:t>
            </w:r>
            <w:proofErr w:type="spellEnd"/>
            <w:r w:rsidRPr="004A5C56">
              <w:rPr>
                <w:sz w:val="18"/>
                <w:szCs w:val="18"/>
              </w:rPr>
              <w:t>/day)</w:t>
            </w:r>
          </w:p>
        </w:tc>
        <w:tc>
          <w:tcPr>
            <w:tcW w:w="1276" w:type="dxa"/>
          </w:tcPr>
          <w:p w14:paraId="66BAA4DC" w14:textId="77777777" w:rsidR="007A041D" w:rsidRPr="004A5C56" w:rsidRDefault="006A65BF" w:rsidP="00793FEE">
            <w:pPr>
              <w:jc w:val="center"/>
              <w:rPr>
                <w:sz w:val="18"/>
                <w:szCs w:val="18"/>
              </w:rPr>
            </w:pPr>
            <w:r w:rsidRPr="004A5C56">
              <w:rPr>
                <w:sz w:val="18"/>
                <w:szCs w:val="18"/>
              </w:rPr>
              <w:t>430.8</w:t>
            </w:r>
          </w:p>
        </w:tc>
        <w:tc>
          <w:tcPr>
            <w:tcW w:w="992" w:type="dxa"/>
            <w:gridSpan w:val="2"/>
          </w:tcPr>
          <w:p w14:paraId="215377AC" w14:textId="77777777" w:rsidR="007A041D" w:rsidRPr="004A5C56" w:rsidRDefault="006A65BF" w:rsidP="00793FEE">
            <w:pPr>
              <w:jc w:val="center"/>
              <w:rPr>
                <w:sz w:val="18"/>
                <w:szCs w:val="18"/>
              </w:rPr>
            </w:pPr>
            <w:r w:rsidRPr="004A5C56">
              <w:rPr>
                <w:sz w:val="18"/>
                <w:szCs w:val="18"/>
              </w:rPr>
              <w:t>296.7</w:t>
            </w:r>
          </w:p>
        </w:tc>
        <w:tc>
          <w:tcPr>
            <w:tcW w:w="851" w:type="dxa"/>
            <w:gridSpan w:val="2"/>
          </w:tcPr>
          <w:p w14:paraId="1A22BC9B" w14:textId="77777777" w:rsidR="007A041D" w:rsidRPr="004A5C56" w:rsidRDefault="006A65BF" w:rsidP="00793FEE">
            <w:pPr>
              <w:jc w:val="center"/>
              <w:rPr>
                <w:sz w:val="18"/>
                <w:szCs w:val="18"/>
              </w:rPr>
            </w:pPr>
            <w:r w:rsidRPr="004A5C56">
              <w:rPr>
                <w:sz w:val="18"/>
                <w:szCs w:val="18"/>
              </w:rPr>
              <w:t>40.41</w:t>
            </w:r>
          </w:p>
        </w:tc>
        <w:tc>
          <w:tcPr>
            <w:tcW w:w="992" w:type="dxa"/>
          </w:tcPr>
          <w:p w14:paraId="41AA45D9" w14:textId="77777777" w:rsidR="007A041D" w:rsidRPr="004A5C56" w:rsidRDefault="006A65BF" w:rsidP="00793FEE">
            <w:pPr>
              <w:jc w:val="center"/>
              <w:rPr>
                <w:sz w:val="18"/>
                <w:szCs w:val="18"/>
              </w:rPr>
            </w:pPr>
            <w:r w:rsidRPr="004A5C56">
              <w:rPr>
                <w:sz w:val="18"/>
                <w:szCs w:val="18"/>
              </w:rPr>
              <w:t>309.5</w:t>
            </w:r>
          </w:p>
        </w:tc>
        <w:tc>
          <w:tcPr>
            <w:tcW w:w="851" w:type="dxa"/>
            <w:gridSpan w:val="2"/>
          </w:tcPr>
          <w:p w14:paraId="3C4670DF" w14:textId="77777777" w:rsidR="007A041D" w:rsidRPr="004A5C56" w:rsidRDefault="006A65BF" w:rsidP="00793FEE">
            <w:pPr>
              <w:jc w:val="center"/>
              <w:rPr>
                <w:sz w:val="18"/>
                <w:szCs w:val="18"/>
              </w:rPr>
            </w:pPr>
            <w:r w:rsidRPr="004A5C56">
              <w:rPr>
                <w:sz w:val="18"/>
                <w:szCs w:val="18"/>
              </w:rPr>
              <w:t>418.1</w:t>
            </w:r>
          </w:p>
        </w:tc>
        <w:tc>
          <w:tcPr>
            <w:tcW w:w="708" w:type="dxa"/>
            <w:gridSpan w:val="2"/>
          </w:tcPr>
          <w:p w14:paraId="7564E916" w14:textId="77777777" w:rsidR="007A041D" w:rsidRPr="004A5C56" w:rsidRDefault="006A65BF" w:rsidP="00793FEE">
            <w:pPr>
              <w:jc w:val="center"/>
              <w:rPr>
                <w:sz w:val="18"/>
                <w:szCs w:val="18"/>
              </w:rPr>
            </w:pPr>
            <w:r w:rsidRPr="004A5C56">
              <w:rPr>
                <w:sz w:val="18"/>
                <w:szCs w:val="18"/>
              </w:rPr>
              <w:t>39.86</w:t>
            </w:r>
          </w:p>
        </w:tc>
        <w:tc>
          <w:tcPr>
            <w:tcW w:w="709" w:type="dxa"/>
          </w:tcPr>
          <w:p w14:paraId="3B4ED52C" w14:textId="77777777" w:rsidR="007A041D" w:rsidRPr="004A5C56" w:rsidRDefault="006A65BF" w:rsidP="00793FEE">
            <w:pPr>
              <w:jc w:val="center"/>
              <w:rPr>
                <w:sz w:val="18"/>
                <w:szCs w:val="18"/>
              </w:rPr>
            </w:pPr>
            <w:r w:rsidRPr="004A5C56">
              <w:rPr>
                <w:sz w:val="18"/>
                <w:szCs w:val="18"/>
              </w:rPr>
              <w:t>0.002</w:t>
            </w:r>
          </w:p>
        </w:tc>
        <w:tc>
          <w:tcPr>
            <w:tcW w:w="851" w:type="dxa"/>
            <w:gridSpan w:val="2"/>
          </w:tcPr>
          <w:p w14:paraId="5A54CD47" w14:textId="77777777" w:rsidR="007A041D" w:rsidRPr="004A5C56" w:rsidRDefault="006A65BF" w:rsidP="00793FEE">
            <w:pPr>
              <w:jc w:val="center"/>
              <w:rPr>
                <w:sz w:val="18"/>
                <w:szCs w:val="18"/>
              </w:rPr>
            </w:pPr>
            <w:r w:rsidRPr="004A5C56">
              <w:rPr>
                <w:sz w:val="18"/>
                <w:szCs w:val="18"/>
              </w:rPr>
              <w:t>0.008</w:t>
            </w:r>
          </w:p>
        </w:tc>
        <w:tc>
          <w:tcPr>
            <w:tcW w:w="770" w:type="dxa"/>
            <w:gridSpan w:val="2"/>
          </w:tcPr>
          <w:p w14:paraId="025403E6" w14:textId="77777777" w:rsidR="007A041D" w:rsidRPr="004A5C56" w:rsidRDefault="006A65BF" w:rsidP="00793FEE">
            <w:pPr>
              <w:jc w:val="center"/>
              <w:rPr>
                <w:sz w:val="18"/>
                <w:szCs w:val="18"/>
              </w:rPr>
            </w:pPr>
            <w:r w:rsidRPr="004A5C56">
              <w:rPr>
                <w:sz w:val="18"/>
                <w:szCs w:val="18"/>
              </w:rPr>
              <w:t>0.578</w:t>
            </w:r>
          </w:p>
        </w:tc>
      </w:tr>
      <w:tr w:rsidR="00CA0B44" w:rsidRPr="004A5C56" w14:paraId="5D9323B3" w14:textId="77777777" w:rsidTr="00793FEE">
        <w:tc>
          <w:tcPr>
            <w:tcW w:w="1139" w:type="dxa"/>
            <w:tcBorders>
              <w:bottom w:val="single" w:sz="4" w:space="0" w:color="auto"/>
            </w:tcBorders>
          </w:tcPr>
          <w:p w14:paraId="126402B9" w14:textId="77777777" w:rsidR="007A041D" w:rsidRPr="004A5C56" w:rsidRDefault="006A65BF" w:rsidP="00793FEE">
            <w:pPr>
              <w:rPr>
                <w:sz w:val="18"/>
                <w:szCs w:val="18"/>
              </w:rPr>
            </w:pPr>
            <w:r w:rsidRPr="004A5C56">
              <w:rPr>
                <w:sz w:val="18"/>
                <w:szCs w:val="18"/>
              </w:rPr>
              <w:t>Day 64-84</w:t>
            </w:r>
          </w:p>
          <w:p w14:paraId="21C927BC" w14:textId="77777777" w:rsidR="007A041D" w:rsidRPr="004A5C56" w:rsidRDefault="006A65BF" w:rsidP="00793FEE">
            <w:pPr>
              <w:rPr>
                <w:sz w:val="18"/>
                <w:szCs w:val="18"/>
              </w:rPr>
            </w:pPr>
            <w:r w:rsidRPr="004A5C56">
              <w:rPr>
                <w:sz w:val="18"/>
                <w:szCs w:val="18"/>
              </w:rPr>
              <w:t>(</w:t>
            </w:r>
            <w:proofErr w:type="spellStart"/>
            <w:r w:rsidRPr="004A5C56">
              <w:rPr>
                <w:sz w:val="18"/>
                <w:szCs w:val="18"/>
              </w:rPr>
              <w:t>gDM</w:t>
            </w:r>
            <w:proofErr w:type="spellEnd"/>
            <w:r w:rsidRPr="004A5C56">
              <w:rPr>
                <w:sz w:val="18"/>
                <w:szCs w:val="18"/>
              </w:rPr>
              <w:t>/day)</w:t>
            </w:r>
          </w:p>
        </w:tc>
        <w:tc>
          <w:tcPr>
            <w:tcW w:w="1276" w:type="dxa"/>
            <w:tcBorders>
              <w:bottom w:val="single" w:sz="4" w:space="0" w:color="auto"/>
            </w:tcBorders>
          </w:tcPr>
          <w:p w14:paraId="3D061770" w14:textId="77777777" w:rsidR="007A041D" w:rsidRPr="004A5C56" w:rsidRDefault="006A65BF" w:rsidP="00793FEE">
            <w:pPr>
              <w:jc w:val="center"/>
              <w:rPr>
                <w:sz w:val="18"/>
                <w:szCs w:val="18"/>
              </w:rPr>
            </w:pPr>
            <w:r w:rsidRPr="004A5C56">
              <w:rPr>
                <w:sz w:val="18"/>
                <w:szCs w:val="18"/>
              </w:rPr>
              <w:t>2260</w:t>
            </w:r>
          </w:p>
        </w:tc>
        <w:tc>
          <w:tcPr>
            <w:tcW w:w="992" w:type="dxa"/>
            <w:gridSpan w:val="2"/>
            <w:tcBorders>
              <w:bottom w:val="single" w:sz="4" w:space="0" w:color="auto"/>
            </w:tcBorders>
          </w:tcPr>
          <w:p w14:paraId="2DBDE9BF" w14:textId="77777777" w:rsidR="007A041D" w:rsidRPr="004A5C56" w:rsidRDefault="006A65BF" w:rsidP="00793FEE">
            <w:pPr>
              <w:jc w:val="center"/>
              <w:rPr>
                <w:sz w:val="18"/>
                <w:szCs w:val="18"/>
              </w:rPr>
            </w:pPr>
            <w:r w:rsidRPr="004A5C56">
              <w:rPr>
                <w:sz w:val="18"/>
                <w:szCs w:val="18"/>
              </w:rPr>
              <w:t>2175</w:t>
            </w:r>
          </w:p>
        </w:tc>
        <w:tc>
          <w:tcPr>
            <w:tcW w:w="851" w:type="dxa"/>
            <w:gridSpan w:val="2"/>
            <w:tcBorders>
              <w:bottom w:val="single" w:sz="4" w:space="0" w:color="auto"/>
            </w:tcBorders>
          </w:tcPr>
          <w:p w14:paraId="69BD17DB" w14:textId="77777777" w:rsidR="007A041D" w:rsidRPr="004A5C56" w:rsidRDefault="006A65BF" w:rsidP="00793FEE">
            <w:pPr>
              <w:jc w:val="center"/>
              <w:rPr>
                <w:sz w:val="18"/>
                <w:szCs w:val="18"/>
              </w:rPr>
            </w:pPr>
            <w:r w:rsidRPr="004A5C56">
              <w:rPr>
                <w:sz w:val="18"/>
                <w:szCs w:val="18"/>
              </w:rPr>
              <w:t>59.45</w:t>
            </w:r>
          </w:p>
        </w:tc>
        <w:tc>
          <w:tcPr>
            <w:tcW w:w="992" w:type="dxa"/>
            <w:tcBorders>
              <w:bottom w:val="single" w:sz="4" w:space="0" w:color="auto"/>
            </w:tcBorders>
          </w:tcPr>
          <w:p w14:paraId="164913BD" w14:textId="77777777" w:rsidR="007A041D" w:rsidRPr="004A5C56" w:rsidRDefault="006A65BF" w:rsidP="00793FEE">
            <w:pPr>
              <w:jc w:val="center"/>
              <w:rPr>
                <w:sz w:val="18"/>
                <w:szCs w:val="18"/>
              </w:rPr>
            </w:pPr>
            <w:r w:rsidRPr="004A5C56">
              <w:rPr>
                <w:sz w:val="18"/>
                <w:szCs w:val="18"/>
              </w:rPr>
              <w:t>2016</w:t>
            </w:r>
          </w:p>
        </w:tc>
        <w:tc>
          <w:tcPr>
            <w:tcW w:w="851" w:type="dxa"/>
            <w:gridSpan w:val="2"/>
            <w:tcBorders>
              <w:bottom w:val="single" w:sz="4" w:space="0" w:color="auto"/>
            </w:tcBorders>
          </w:tcPr>
          <w:p w14:paraId="0C86F1B6" w14:textId="77777777" w:rsidR="007A041D" w:rsidRPr="004A5C56" w:rsidRDefault="006A65BF" w:rsidP="00793FEE">
            <w:pPr>
              <w:jc w:val="center"/>
              <w:rPr>
                <w:sz w:val="18"/>
                <w:szCs w:val="18"/>
              </w:rPr>
            </w:pPr>
            <w:r w:rsidRPr="004A5C56">
              <w:rPr>
                <w:sz w:val="18"/>
                <w:szCs w:val="18"/>
              </w:rPr>
              <w:t>2419</w:t>
            </w:r>
          </w:p>
        </w:tc>
        <w:tc>
          <w:tcPr>
            <w:tcW w:w="708" w:type="dxa"/>
            <w:gridSpan w:val="2"/>
            <w:tcBorders>
              <w:bottom w:val="single" w:sz="4" w:space="0" w:color="auto"/>
            </w:tcBorders>
          </w:tcPr>
          <w:p w14:paraId="2FF38180" w14:textId="77777777" w:rsidR="007A041D" w:rsidRPr="004A5C56" w:rsidRDefault="006A65BF" w:rsidP="00793FEE">
            <w:pPr>
              <w:jc w:val="center"/>
              <w:rPr>
                <w:sz w:val="18"/>
                <w:szCs w:val="18"/>
              </w:rPr>
            </w:pPr>
            <w:r w:rsidRPr="004A5C56">
              <w:rPr>
                <w:sz w:val="18"/>
                <w:szCs w:val="18"/>
              </w:rPr>
              <w:t>58.69</w:t>
            </w:r>
          </w:p>
        </w:tc>
        <w:tc>
          <w:tcPr>
            <w:tcW w:w="709" w:type="dxa"/>
            <w:tcBorders>
              <w:bottom w:val="single" w:sz="4" w:space="0" w:color="auto"/>
            </w:tcBorders>
          </w:tcPr>
          <w:p w14:paraId="2BBBCFB0" w14:textId="77777777" w:rsidR="007A041D" w:rsidRPr="004A5C56" w:rsidRDefault="006A65BF" w:rsidP="00793FEE">
            <w:pPr>
              <w:jc w:val="center"/>
              <w:rPr>
                <w:sz w:val="18"/>
                <w:szCs w:val="18"/>
              </w:rPr>
            </w:pPr>
            <w:r w:rsidRPr="004A5C56">
              <w:rPr>
                <w:sz w:val="18"/>
                <w:szCs w:val="18"/>
              </w:rPr>
              <w:t>0.233</w:t>
            </w:r>
          </w:p>
        </w:tc>
        <w:tc>
          <w:tcPr>
            <w:tcW w:w="851" w:type="dxa"/>
            <w:gridSpan w:val="2"/>
            <w:tcBorders>
              <w:bottom w:val="single" w:sz="4" w:space="0" w:color="auto"/>
            </w:tcBorders>
          </w:tcPr>
          <w:p w14:paraId="5F1B51A7" w14:textId="77777777" w:rsidR="007A041D" w:rsidRPr="004A5C56" w:rsidRDefault="006A65BF" w:rsidP="00793FEE">
            <w:pPr>
              <w:jc w:val="center"/>
              <w:rPr>
                <w:sz w:val="18"/>
                <w:szCs w:val="18"/>
              </w:rPr>
            </w:pPr>
            <w:r w:rsidRPr="004A5C56">
              <w:rPr>
                <w:sz w:val="18"/>
                <w:szCs w:val="18"/>
              </w:rPr>
              <w:t>&lt;0.001</w:t>
            </w:r>
          </w:p>
        </w:tc>
        <w:tc>
          <w:tcPr>
            <w:tcW w:w="770" w:type="dxa"/>
            <w:gridSpan w:val="2"/>
            <w:tcBorders>
              <w:bottom w:val="single" w:sz="4" w:space="0" w:color="auto"/>
            </w:tcBorders>
          </w:tcPr>
          <w:p w14:paraId="36184EC8" w14:textId="77777777" w:rsidR="007A041D" w:rsidRPr="004A5C56" w:rsidRDefault="006A65BF" w:rsidP="00793FEE">
            <w:pPr>
              <w:jc w:val="center"/>
              <w:rPr>
                <w:sz w:val="18"/>
                <w:szCs w:val="18"/>
              </w:rPr>
            </w:pPr>
            <w:r w:rsidRPr="004A5C56">
              <w:rPr>
                <w:sz w:val="18"/>
                <w:szCs w:val="18"/>
              </w:rPr>
              <w:t>0.420</w:t>
            </w:r>
          </w:p>
        </w:tc>
      </w:tr>
    </w:tbl>
    <w:p w14:paraId="70CD6A15" w14:textId="77777777" w:rsidR="007A041D" w:rsidRPr="004A5C56" w:rsidRDefault="007A041D" w:rsidP="007A041D">
      <w:pPr>
        <w:spacing w:after="0"/>
        <w:rPr>
          <w:sz w:val="24"/>
          <w:szCs w:val="24"/>
        </w:rPr>
      </w:pPr>
    </w:p>
    <w:p w14:paraId="12E1DCEC" w14:textId="5839C48D" w:rsidR="00443D4D" w:rsidRDefault="006A65BF" w:rsidP="007A041D">
      <w:pPr>
        <w:rPr>
          <w:b/>
          <w:bCs/>
          <w:sz w:val="24"/>
          <w:szCs w:val="24"/>
        </w:rPr>
      </w:pPr>
      <w:r w:rsidRPr="004A5C56">
        <w:rPr>
          <w:sz w:val="24"/>
          <w:szCs w:val="24"/>
        </w:rPr>
        <w:t>In line with expectations, elevated levels of MR resulted in improved growth from week 1 to week 18 (P = 0.016). Within the first 18 weeks of life, calves fed the control concentrate had increased live weights (P = 0.036; Figure 1).</w:t>
      </w:r>
      <w:r w:rsidRPr="004A5C56">
        <w:rPr>
          <w:rStyle w:val="CommentReference"/>
          <w:sz w:val="24"/>
          <w:szCs w:val="24"/>
        </w:rPr>
        <w:t xml:space="preserve"> Between birth and weaning (day 63), calves fed control concentrate had a 70 g/day</w:t>
      </w:r>
      <w:r w:rsidRPr="004A5C56">
        <w:rPr>
          <w:sz w:val="24"/>
          <w:szCs w:val="24"/>
        </w:rPr>
        <w:t xml:space="preserve"> increased gain (additive ADG = 0.54kg/day vs. Control ADG = 0.61kg/day; P = 0.026). Within the post-weaning period (days 63 – 84), calves fed the control concentrate had a 140 g/day increased ADG over calves fed the additive concentrate (additive ADG = 0.91kg/day vs Control ADG = 1.05kg/day; P = 0.031). Analysis of the methane emissions of these calves is currently underway.</w:t>
      </w:r>
      <w:r w:rsidR="00E76A82">
        <w:rPr>
          <w:noProof/>
        </w:rPr>
        <w:drawing>
          <wp:inline distT="0" distB="0" distL="0" distR="0" wp14:anchorId="4368E87B" wp14:editId="0942CFB6">
            <wp:extent cx="5895975" cy="2909570"/>
            <wp:effectExtent l="0" t="0" r="0" b="5080"/>
            <wp:docPr id="1236647943" name="Chart 1">
              <a:extLst xmlns:a="http://schemas.openxmlformats.org/drawingml/2006/main">
                <a:ext uri="{FF2B5EF4-FFF2-40B4-BE49-F238E27FC236}">
                  <a16:creationId xmlns:a16="http://schemas.microsoft.com/office/drawing/2014/main" id="{83DFABBA-2697-8016-1D76-8192C811CA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F07FA3" w14:textId="3B8256C3" w:rsidR="007A041D" w:rsidRPr="004A5C56" w:rsidRDefault="006A65BF" w:rsidP="007A041D">
      <w:pPr>
        <w:rPr>
          <w:sz w:val="24"/>
          <w:szCs w:val="24"/>
        </w:rPr>
      </w:pPr>
      <w:r w:rsidRPr="004A5C56">
        <w:rPr>
          <w:b/>
          <w:bCs/>
          <w:sz w:val="24"/>
          <w:szCs w:val="24"/>
        </w:rPr>
        <w:t>Fig</w:t>
      </w:r>
      <w:r w:rsidR="00D1518C" w:rsidRPr="004A5C56">
        <w:rPr>
          <w:b/>
          <w:bCs/>
          <w:sz w:val="24"/>
          <w:szCs w:val="24"/>
        </w:rPr>
        <w:t>ure</w:t>
      </w:r>
      <w:r w:rsidRPr="004A5C56">
        <w:rPr>
          <w:b/>
          <w:bCs/>
          <w:sz w:val="24"/>
          <w:szCs w:val="24"/>
        </w:rPr>
        <w:t xml:space="preserve"> 1. </w:t>
      </w:r>
      <w:r w:rsidRPr="004A5C56">
        <w:rPr>
          <w:sz w:val="24"/>
          <w:szCs w:val="24"/>
        </w:rPr>
        <w:t xml:space="preserve">Live weight (kg) of calves fed </w:t>
      </w:r>
      <w:r w:rsidR="00E76A82">
        <w:rPr>
          <w:sz w:val="24"/>
          <w:szCs w:val="24"/>
        </w:rPr>
        <w:t>each treatment (Tx)</w:t>
      </w:r>
      <w:r w:rsidRPr="004A5C56">
        <w:rPr>
          <w:sz w:val="24"/>
          <w:szCs w:val="24"/>
        </w:rPr>
        <w:t xml:space="preserve"> from day 7 to day 126</w:t>
      </w:r>
      <w:r w:rsidR="00E76A82">
        <w:rPr>
          <w:sz w:val="24"/>
          <w:szCs w:val="24"/>
        </w:rPr>
        <w:t xml:space="preserve">. </w:t>
      </w:r>
      <w:r w:rsidR="001E633D">
        <w:rPr>
          <w:sz w:val="24"/>
          <w:szCs w:val="24"/>
        </w:rPr>
        <w:t xml:space="preserve">The treatments are as follows </w:t>
      </w:r>
      <w:r w:rsidR="00E76A82">
        <w:rPr>
          <w:sz w:val="24"/>
          <w:szCs w:val="24"/>
        </w:rPr>
        <w:t xml:space="preserve">Tx 1 = Conventional MR, Control concentrate; Tx 2 = Elevated </w:t>
      </w:r>
      <w:r w:rsidR="00E76A82">
        <w:rPr>
          <w:sz w:val="24"/>
          <w:szCs w:val="24"/>
        </w:rPr>
        <w:lastRenderedPageBreak/>
        <w:t>MR</w:t>
      </w:r>
      <w:r w:rsidR="00D56E79">
        <w:rPr>
          <w:sz w:val="24"/>
          <w:szCs w:val="24"/>
        </w:rPr>
        <w:t>, Control concentrate; Tx3 = Conventional MR, Additive concentrate; Tx4 = Elevated MR, Additive concentrate.</w:t>
      </w:r>
    </w:p>
    <w:p w14:paraId="2A5D6675" w14:textId="77777777" w:rsidR="007A041D" w:rsidRPr="004A5C56" w:rsidRDefault="007A041D" w:rsidP="007A041D">
      <w:pPr>
        <w:rPr>
          <w:b/>
          <w:bCs/>
        </w:rPr>
      </w:pPr>
    </w:p>
    <w:p w14:paraId="75E792A0" w14:textId="232C3718" w:rsidR="004A5C56" w:rsidRPr="004A5C56" w:rsidRDefault="006A65BF" w:rsidP="007A041D">
      <w:proofErr w:type="gramStart"/>
      <w:r w:rsidRPr="004A5C56">
        <w:rPr>
          <w:b/>
          <w:bCs/>
        </w:rPr>
        <w:t xml:space="preserve">Conclusions </w:t>
      </w:r>
      <w:r w:rsidR="004A5C56" w:rsidRPr="004A5C56">
        <w:rPr>
          <w:b/>
          <w:bCs/>
        </w:rPr>
        <w:t xml:space="preserve"> </w:t>
      </w:r>
      <w:r w:rsidR="004A5C56" w:rsidRPr="004A5C56">
        <w:rPr>
          <w:sz w:val="24"/>
          <w:szCs w:val="24"/>
        </w:rPr>
        <w:t>The</w:t>
      </w:r>
      <w:proofErr w:type="gramEnd"/>
      <w:r w:rsidR="004A5C56" w:rsidRPr="004A5C56">
        <w:rPr>
          <w:sz w:val="24"/>
          <w:szCs w:val="24"/>
        </w:rPr>
        <w:t xml:space="preserve"> study shows that feeding calves elevated levels of MR during the pre-weaning period enhances growth as evidenced by increased average daily gains. The supplementation of calcium peroxide at 2.25% DM reduced concentrate intake</w:t>
      </w:r>
      <w:r w:rsidR="00482886">
        <w:rPr>
          <w:sz w:val="24"/>
          <w:szCs w:val="24"/>
        </w:rPr>
        <w:t xml:space="preserve"> in the first 12 weeks of life</w:t>
      </w:r>
      <w:r w:rsidR="004A5C56" w:rsidRPr="004A5C56">
        <w:rPr>
          <w:sz w:val="24"/>
          <w:szCs w:val="24"/>
        </w:rPr>
        <w:t xml:space="preserve"> and live weight</w:t>
      </w:r>
      <w:r w:rsidR="00011B82">
        <w:rPr>
          <w:sz w:val="24"/>
          <w:szCs w:val="24"/>
        </w:rPr>
        <w:t xml:space="preserve"> from day 7 to </w:t>
      </w:r>
      <w:r w:rsidR="00D97B79">
        <w:rPr>
          <w:sz w:val="24"/>
          <w:szCs w:val="24"/>
        </w:rPr>
        <w:t>day 84</w:t>
      </w:r>
      <w:r w:rsidR="007D07E3">
        <w:rPr>
          <w:sz w:val="24"/>
          <w:szCs w:val="24"/>
        </w:rPr>
        <w:t xml:space="preserve">. Liveweight was not significantly different </w:t>
      </w:r>
      <w:r w:rsidR="00F22C5F">
        <w:rPr>
          <w:sz w:val="24"/>
          <w:szCs w:val="24"/>
        </w:rPr>
        <w:t>between additive and control treatments from week 12 to week 18</w:t>
      </w:r>
      <w:r w:rsidR="004A5C56" w:rsidRPr="004A5C56">
        <w:rPr>
          <w:sz w:val="24"/>
          <w:szCs w:val="24"/>
        </w:rPr>
        <w:t xml:space="preserve">. </w:t>
      </w:r>
      <w:r w:rsidR="00DE530A">
        <w:rPr>
          <w:sz w:val="24"/>
          <w:szCs w:val="24"/>
        </w:rPr>
        <w:t>More examinations are needed on completion of methane emissions analysis to investigate the effectiveness of calcium peroxide at suppressing methane, specifically in the post treatment period.</w:t>
      </w:r>
    </w:p>
    <w:p w14:paraId="7664594E" w14:textId="77777777" w:rsidR="007A041D" w:rsidRPr="004A5C56" w:rsidRDefault="007A041D" w:rsidP="007A041D">
      <w:pPr>
        <w:rPr>
          <w:b/>
          <w:bCs/>
        </w:rPr>
      </w:pPr>
    </w:p>
    <w:p w14:paraId="02C2F62F" w14:textId="77777777" w:rsidR="007A041D" w:rsidRPr="004A5C56" w:rsidRDefault="006A65BF" w:rsidP="007A041D">
      <w:pPr>
        <w:spacing w:after="0"/>
        <w:rPr>
          <w:sz w:val="24"/>
          <w:szCs w:val="24"/>
        </w:rPr>
      </w:pPr>
      <w:r w:rsidRPr="004A5C56">
        <w:rPr>
          <w:b/>
          <w:bCs/>
          <w:sz w:val="24"/>
          <w:szCs w:val="24"/>
        </w:rPr>
        <w:t xml:space="preserve">Acknowledgements: </w:t>
      </w:r>
      <w:r w:rsidRPr="004A5C56">
        <w:rPr>
          <w:sz w:val="24"/>
          <w:szCs w:val="24"/>
        </w:rPr>
        <w:t xml:space="preserve">Funding for this project was provided by the Department of Agriculture, Environment and Rural Affairs (DAERA) with collaboration from </w:t>
      </w:r>
      <w:proofErr w:type="spellStart"/>
      <w:r w:rsidRPr="004A5C56">
        <w:rPr>
          <w:sz w:val="24"/>
          <w:szCs w:val="24"/>
        </w:rPr>
        <w:t>Glasport</w:t>
      </w:r>
      <w:proofErr w:type="spellEnd"/>
      <w:r w:rsidRPr="004A5C56">
        <w:rPr>
          <w:sz w:val="24"/>
          <w:szCs w:val="24"/>
        </w:rPr>
        <w:t xml:space="preserve"> Bio.</w:t>
      </w:r>
    </w:p>
    <w:p w14:paraId="41A3C7EB" w14:textId="77777777" w:rsidR="007B30E3" w:rsidRPr="004A5C56" w:rsidRDefault="007B30E3">
      <w:pPr>
        <w:rPr>
          <w:b/>
          <w:bCs/>
        </w:rPr>
      </w:pPr>
    </w:p>
    <w:p w14:paraId="2FB8CE3C" w14:textId="6341D366" w:rsidR="00ED10D0" w:rsidRPr="00085F11" w:rsidRDefault="006A65BF">
      <w:pPr>
        <w:rPr>
          <w:sz w:val="24"/>
          <w:szCs w:val="24"/>
        </w:rPr>
      </w:pPr>
      <w:r w:rsidRPr="004A5C56">
        <w:rPr>
          <w:b/>
          <w:bCs/>
        </w:rPr>
        <w:t>References</w:t>
      </w:r>
      <w:r w:rsidR="007A041D" w:rsidRPr="004A5C56">
        <w:rPr>
          <w:b/>
          <w:bCs/>
        </w:rPr>
        <w:t xml:space="preserve"> </w:t>
      </w:r>
      <w:r w:rsidR="007A041D" w:rsidRPr="004A5C56">
        <w:rPr>
          <w:sz w:val="24"/>
          <w:szCs w:val="24"/>
        </w:rPr>
        <w:t xml:space="preserve">Roskam, E., Kenny, D.A., Kelly, A.K., O’Flaherty, V. </w:t>
      </w:r>
      <w:r w:rsidR="00AC43E6" w:rsidRPr="004A5C56">
        <w:rPr>
          <w:sz w:val="24"/>
          <w:szCs w:val="24"/>
        </w:rPr>
        <w:t>&amp;</w:t>
      </w:r>
      <w:r w:rsidR="007A041D" w:rsidRPr="004A5C56">
        <w:rPr>
          <w:sz w:val="24"/>
          <w:szCs w:val="24"/>
        </w:rPr>
        <w:t xml:space="preserve"> Waters, S.M. (2024). </w:t>
      </w:r>
      <w:r w:rsidR="008D71F7" w:rsidRPr="004A5C56">
        <w:rPr>
          <w:sz w:val="24"/>
          <w:szCs w:val="24"/>
        </w:rPr>
        <w:t>a</w:t>
      </w:r>
      <w:r w:rsidR="007A041D" w:rsidRPr="004A5C56">
        <w:rPr>
          <w:sz w:val="24"/>
          <w:szCs w:val="24"/>
        </w:rPr>
        <w:t>nimal</w:t>
      </w:r>
      <w:r w:rsidR="007A041D" w:rsidRPr="004A5C56">
        <w:rPr>
          <w:i/>
          <w:iCs/>
          <w:sz w:val="24"/>
          <w:szCs w:val="24"/>
        </w:rPr>
        <w:t>,</w:t>
      </w:r>
      <w:r w:rsidR="007A041D" w:rsidRPr="004A5C56">
        <w:rPr>
          <w:sz w:val="24"/>
          <w:szCs w:val="24"/>
        </w:rPr>
        <w:t>18(11)</w:t>
      </w:r>
      <w:r w:rsidR="007A041D" w:rsidRPr="004A5C56">
        <w:rPr>
          <w:b/>
          <w:bCs/>
          <w:sz w:val="24"/>
          <w:szCs w:val="24"/>
        </w:rPr>
        <w:t>,</w:t>
      </w:r>
      <w:r w:rsidR="007A041D" w:rsidRPr="004A5C56">
        <w:rPr>
          <w:sz w:val="24"/>
          <w:szCs w:val="24"/>
        </w:rPr>
        <w:t xml:space="preserve"> 101340.</w:t>
      </w:r>
    </w:p>
    <w:p w14:paraId="3862D74F" w14:textId="77777777" w:rsidR="001E633D" w:rsidRPr="007B30E3" w:rsidRDefault="001E633D">
      <w:pPr>
        <w:rPr>
          <w:b/>
          <w:bCs/>
          <w:lang w:val="en-US"/>
        </w:rPr>
      </w:pPr>
    </w:p>
    <w:sectPr w:rsidR="001E633D" w:rsidRP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46F"/>
    <w:multiLevelType w:val="hybridMultilevel"/>
    <w:tmpl w:val="687E42B0"/>
    <w:lvl w:ilvl="0" w:tplc="89DAD3FE">
      <w:start w:val="1"/>
      <w:numFmt w:val="bullet"/>
      <w:lvlText w:val=""/>
      <w:lvlJc w:val="left"/>
      <w:pPr>
        <w:ind w:left="720" w:hanging="360"/>
      </w:pPr>
      <w:rPr>
        <w:rFonts w:ascii="Symbol" w:hAnsi="Symbol" w:hint="default"/>
      </w:rPr>
    </w:lvl>
    <w:lvl w:ilvl="1" w:tplc="6CE29EAC" w:tentative="1">
      <w:start w:val="1"/>
      <w:numFmt w:val="bullet"/>
      <w:lvlText w:val="o"/>
      <w:lvlJc w:val="left"/>
      <w:pPr>
        <w:ind w:left="1440" w:hanging="360"/>
      </w:pPr>
      <w:rPr>
        <w:rFonts w:ascii="Courier New" w:hAnsi="Courier New" w:cs="Courier New" w:hint="default"/>
      </w:rPr>
    </w:lvl>
    <w:lvl w:ilvl="2" w:tplc="92C4EC8E" w:tentative="1">
      <w:start w:val="1"/>
      <w:numFmt w:val="bullet"/>
      <w:lvlText w:val=""/>
      <w:lvlJc w:val="left"/>
      <w:pPr>
        <w:ind w:left="2160" w:hanging="360"/>
      </w:pPr>
      <w:rPr>
        <w:rFonts w:ascii="Wingdings" w:hAnsi="Wingdings" w:hint="default"/>
      </w:rPr>
    </w:lvl>
    <w:lvl w:ilvl="3" w:tplc="92D20C18" w:tentative="1">
      <w:start w:val="1"/>
      <w:numFmt w:val="bullet"/>
      <w:lvlText w:val=""/>
      <w:lvlJc w:val="left"/>
      <w:pPr>
        <w:ind w:left="2880" w:hanging="360"/>
      </w:pPr>
      <w:rPr>
        <w:rFonts w:ascii="Symbol" w:hAnsi="Symbol" w:hint="default"/>
      </w:rPr>
    </w:lvl>
    <w:lvl w:ilvl="4" w:tplc="32765242" w:tentative="1">
      <w:start w:val="1"/>
      <w:numFmt w:val="bullet"/>
      <w:lvlText w:val="o"/>
      <w:lvlJc w:val="left"/>
      <w:pPr>
        <w:ind w:left="3600" w:hanging="360"/>
      </w:pPr>
      <w:rPr>
        <w:rFonts w:ascii="Courier New" w:hAnsi="Courier New" w:cs="Courier New" w:hint="default"/>
      </w:rPr>
    </w:lvl>
    <w:lvl w:ilvl="5" w:tplc="06A8AB02" w:tentative="1">
      <w:start w:val="1"/>
      <w:numFmt w:val="bullet"/>
      <w:lvlText w:val=""/>
      <w:lvlJc w:val="left"/>
      <w:pPr>
        <w:ind w:left="4320" w:hanging="360"/>
      </w:pPr>
      <w:rPr>
        <w:rFonts w:ascii="Wingdings" w:hAnsi="Wingdings" w:hint="default"/>
      </w:rPr>
    </w:lvl>
    <w:lvl w:ilvl="6" w:tplc="E6E6C6B4" w:tentative="1">
      <w:start w:val="1"/>
      <w:numFmt w:val="bullet"/>
      <w:lvlText w:val=""/>
      <w:lvlJc w:val="left"/>
      <w:pPr>
        <w:ind w:left="5040" w:hanging="360"/>
      </w:pPr>
      <w:rPr>
        <w:rFonts w:ascii="Symbol" w:hAnsi="Symbol" w:hint="default"/>
      </w:rPr>
    </w:lvl>
    <w:lvl w:ilvl="7" w:tplc="6476A2A0" w:tentative="1">
      <w:start w:val="1"/>
      <w:numFmt w:val="bullet"/>
      <w:lvlText w:val="o"/>
      <w:lvlJc w:val="left"/>
      <w:pPr>
        <w:ind w:left="5760" w:hanging="360"/>
      </w:pPr>
      <w:rPr>
        <w:rFonts w:ascii="Courier New" w:hAnsi="Courier New" w:cs="Courier New" w:hint="default"/>
      </w:rPr>
    </w:lvl>
    <w:lvl w:ilvl="8" w:tplc="472E32FC"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11B82"/>
    <w:rsid w:val="00085F11"/>
    <w:rsid w:val="0010063C"/>
    <w:rsid w:val="00103B93"/>
    <w:rsid w:val="00125C7F"/>
    <w:rsid w:val="00137A7E"/>
    <w:rsid w:val="001E633D"/>
    <w:rsid w:val="002007C5"/>
    <w:rsid w:val="00383DCD"/>
    <w:rsid w:val="00397193"/>
    <w:rsid w:val="003A67CE"/>
    <w:rsid w:val="00443D4D"/>
    <w:rsid w:val="00482886"/>
    <w:rsid w:val="004A5C56"/>
    <w:rsid w:val="005B6886"/>
    <w:rsid w:val="005C74F2"/>
    <w:rsid w:val="00625B14"/>
    <w:rsid w:val="0069013F"/>
    <w:rsid w:val="006A65BF"/>
    <w:rsid w:val="006B3BEB"/>
    <w:rsid w:val="00777E91"/>
    <w:rsid w:val="00793FEE"/>
    <w:rsid w:val="007A041D"/>
    <w:rsid w:val="007B30E3"/>
    <w:rsid w:val="007D07E3"/>
    <w:rsid w:val="0082722A"/>
    <w:rsid w:val="00886F19"/>
    <w:rsid w:val="008D71F7"/>
    <w:rsid w:val="00906713"/>
    <w:rsid w:val="009249A2"/>
    <w:rsid w:val="00933E8C"/>
    <w:rsid w:val="00A70132"/>
    <w:rsid w:val="00AC43E6"/>
    <w:rsid w:val="00AE16E8"/>
    <w:rsid w:val="00B52E4E"/>
    <w:rsid w:val="00BC00F9"/>
    <w:rsid w:val="00C226D1"/>
    <w:rsid w:val="00C53AE2"/>
    <w:rsid w:val="00C95030"/>
    <w:rsid w:val="00CA0B44"/>
    <w:rsid w:val="00CA5B4F"/>
    <w:rsid w:val="00CC2EA1"/>
    <w:rsid w:val="00D1518C"/>
    <w:rsid w:val="00D3532E"/>
    <w:rsid w:val="00D56E79"/>
    <w:rsid w:val="00D97B79"/>
    <w:rsid w:val="00DD21B5"/>
    <w:rsid w:val="00DE530A"/>
    <w:rsid w:val="00E27EE6"/>
    <w:rsid w:val="00E42C9F"/>
    <w:rsid w:val="00E455B2"/>
    <w:rsid w:val="00E76A82"/>
    <w:rsid w:val="00E76B6A"/>
    <w:rsid w:val="00ED10D0"/>
    <w:rsid w:val="00F22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character" w:styleId="CommentReference">
    <w:name w:val="annotation reference"/>
    <w:basedOn w:val="DefaultParagraphFont"/>
    <w:uiPriority w:val="99"/>
    <w:semiHidden/>
    <w:unhideWhenUsed/>
    <w:rsid w:val="007A041D"/>
    <w:rPr>
      <w:sz w:val="16"/>
      <w:szCs w:val="16"/>
    </w:rPr>
  </w:style>
  <w:style w:type="table" w:styleId="TableGrid">
    <w:name w:val="Table Grid"/>
    <w:basedOn w:val="TableNormal"/>
    <w:uiPriority w:val="39"/>
    <w:rsid w:val="007A0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1518C"/>
    <w:pPr>
      <w:spacing w:line="240" w:lineRule="auto"/>
    </w:pPr>
    <w:rPr>
      <w:sz w:val="20"/>
      <w:szCs w:val="20"/>
    </w:rPr>
  </w:style>
  <w:style w:type="character" w:customStyle="1" w:styleId="CommentTextChar">
    <w:name w:val="Comment Text Char"/>
    <w:basedOn w:val="DefaultParagraphFont"/>
    <w:link w:val="CommentText"/>
    <w:uiPriority w:val="99"/>
    <w:rsid w:val="00D1518C"/>
    <w:rPr>
      <w:sz w:val="20"/>
      <w:szCs w:val="20"/>
    </w:rPr>
  </w:style>
  <w:style w:type="paragraph" w:styleId="CommentSubject">
    <w:name w:val="annotation subject"/>
    <w:basedOn w:val="CommentText"/>
    <w:next w:val="CommentText"/>
    <w:link w:val="CommentSubjectChar"/>
    <w:uiPriority w:val="99"/>
    <w:semiHidden/>
    <w:unhideWhenUsed/>
    <w:rsid w:val="00D1518C"/>
    <w:rPr>
      <w:b/>
      <w:bCs/>
    </w:rPr>
  </w:style>
  <w:style w:type="character" w:customStyle="1" w:styleId="CommentSubjectChar">
    <w:name w:val="Comment Subject Char"/>
    <w:basedOn w:val="CommentTextChar"/>
    <w:link w:val="CommentSubject"/>
    <w:uiPriority w:val="99"/>
    <w:semiHidden/>
    <w:rsid w:val="00D1518C"/>
    <w:rPr>
      <w:b/>
      <w:bCs/>
      <w:sz w:val="20"/>
      <w:szCs w:val="20"/>
    </w:rPr>
  </w:style>
  <w:style w:type="paragraph" w:styleId="Revision">
    <w:name w:val="Revision"/>
    <w:hidden/>
    <w:uiPriority w:val="99"/>
    <w:semiHidden/>
    <w:rsid w:val="009249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331348928718336E-2"/>
          <c:y val="3.3182503770739065E-2"/>
          <c:w val="0.91782343039107184"/>
          <c:h val="0.848571869692759"/>
        </c:manualLayout>
      </c:layout>
      <c:lineChart>
        <c:grouping val="standard"/>
        <c:varyColors val="0"/>
        <c:ser>
          <c:idx val="0"/>
          <c:order val="0"/>
          <c:tx>
            <c:strRef>
              <c:f>Sheet1!$B$1</c:f>
              <c:strCache>
                <c:ptCount val="1"/>
                <c:pt idx="0">
                  <c:v>Tx 1</c:v>
                </c:pt>
              </c:strCache>
            </c:strRef>
          </c:tx>
          <c:spPr>
            <a:ln w="38100" cap="rnd">
              <a:solidFill>
                <a:schemeClr val="accent2"/>
              </a:solidFill>
              <a:prstDash val="sysDash"/>
              <a:round/>
            </a:ln>
            <a:effectLst/>
          </c:spPr>
          <c:marker>
            <c:symbol val="none"/>
          </c:marker>
          <c:cat>
            <c:numRef>
              <c:f>Sheet1!$A$2:$A$19</c:f>
              <c:numCache>
                <c:formatCode>General</c:formatCode>
                <c:ptCount val="18"/>
                <c:pt idx="0">
                  <c:v>7</c:v>
                </c:pt>
                <c:pt idx="1">
                  <c:v>14</c:v>
                </c:pt>
                <c:pt idx="2">
                  <c:v>21</c:v>
                </c:pt>
                <c:pt idx="3">
                  <c:v>28</c:v>
                </c:pt>
                <c:pt idx="4">
                  <c:v>35</c:v>
                </c:pt>
                <c:pt idx="5">
                  <c:v>42</c:v>
                </c:pt>
                <c:pt idx="6">
                  <c:v>49</c:v>
                </c:pt>
                <c:pt idx="7">
                  <c:v>56</c:v>
                </c:pt>
                <c:pt idx="8">
                  <c:v>63</c:v>
                </c:pt>
                <c:pt idx="9">
                  <c:v>70</c:v>
                </c:pt>
                <c:pt idx="10">
                  <c:v>77</c:v>
                </c:pt>
                <c:pt idx="11">
                  <c:v>84</c:v>
                </c:pt>
                <c:pt idx="12">
                  <c:v>91</c:v>
                </c:pt>
                <c:pt idx="13">
                  <c:v>98</c:v>
                </c:pt>
                <c:pt idx="14">
                  <c:v>105</c:v>
                </c:pt>
                <c:pt idx="15">
                  <c:v>112</c:v>
                </c:pt>
                <c:pt idx="16">
                  <c:v>119</c:v>
                </c:pt>
                <c:pt idx="17">
                  <c:v>126</c:v>
                </c:pt>
              </c:numCache>
            </c:numRef>
          </c:cat>
          <c:val>
            <c:numRef>
              <c:f>Sheet1!$B$2:$B$19</c:f>
              <c:numCache>
                <c:formatCode>General</c:formatCode>
                <c:ptCount val="18"/>
                <c:pt idx="0">
                  <c:v>41.29</c:v>
                </c:pt>
                <c:pt idx="1">
                  <c:v>41.97</c:v>
                </c:pt>
                <c:pt idx="2">
                  <c:v>44.27</c:v>
                </c:pt>
                <c:pt idx="3">
                  <c:v>48.05</c:v>
                </c:pt>
                <c:pt idx="4">
                  <c:v>52.66</c:v>
                </c:pt>
                <c:pt idx="5">
                  <c:v>57.43</c:v>
                </c:pt>
                <c:pt idx="6">
                  <c:v>63.09</c:v>
                </c:pt>
                <c:pt idx="7">
                  <c:v>68.75</c:v>
                </c:pt>
                <c:pt idx="8">
                  <c:v>73.98</c:v>
                </c:pt>
                <c:pt idx="9">
                  <c:v>80.81</c:v>
                </c:pt>
                <c:pt idx="10">
                  <c:v>88.91</c:v>
                </c:pt>
                <c:pt idx="11">
                  <c:v>95.72</c:v>
                </c:pt>
                <c:pt idx="12">
                  <c:v>97.48</c:v>
                </c:pt>
                <c:pt idx="13">
                  <c:v>102.51</c:v>
                </c:pt>
                <c:pt idx="14">
                  <c:v>105.66</c:v>
                </c:pt>
                <c:pt idx="15">
                  <c:v>106.23</c:v>
                </c:pt>
                <c:pt idx="16">
                  <c:v>112.73</c:v>
                </c:pt>
                <c:pt idx="17">
                  <c:v>116.59</c:v>
                </c:pt>
              </c:numCache>
            </c:numRef>
          </c:val>
          <c:smooth val="0"/>
          <c:extLst>
            <c:ext xmlns:c16="http://schemas.microsoft.com/office/drawing/2014/chart" uri="{C3380CC4-5D6E-409C-BE32-E72D297353CC}">
              <c16:uniqueId val="{00000000-4A8A-47DB-9019-4EE2849DF589}"/>
            </c:ext>
          </c:extLst>
        </c:ser>
        <c:ser>
          <c:idx val="1"/>
          <c:order val="1"/>
          <c:tx>
            <c:strRef>
              <c:f>Sheet1!$C$1</c:f>
              <c:strCache>
                <c:ptCount val="1"/>
                <c:pt idx="0">
                  <c:v>Tx 2</c:v>
                </c:pt>
              </c:strCache>
            </c:strRef>
          </c:tx>
          <c:spPr>
            <a:ln w="38100" cap="rnd">
              <a:solidFill>
                <a:schemeClr val="tx1"/>
              </a:solidFill>
              <a:prstDash val="sysDash"/>
              <a:round/>
            </a:ln>
            <a:effectLst/>
          </c:spPr>
          <c:marker>
            <c:symbol val="none"/>
          </c:marker>
          <c:cat>
            <c:numRef>
              <c:f>Sheet1!$A$2:$A$19</c:f>
              <c:numCache>
                <c:formatCode>General</c:formatCode>
                <c:ptCount val="18"/>
                <c:pt idx="0">
                  <c:v>7</c:v>
                </c:pt>
                <c:pt idx="1">
                  <c:v>14</c:v>
                </c:pt>
                <c:pt idx="2">
                  <c:v>21</c:v>
                </c:pt>
                <c:pt idx="3">
                  <c:v>28</c:v>
                </c:pt>
                <c:pt idx="4">
                  <c:v>35</c:v>
                </c:pt>
                <c:pt idx="5">
                  <c:v>42</c:v>
                </c:pt>
                <c:pt idx="6">
                  <c:v>49</c:v>
                </c:pt>
                <c:pt idx="7">
                  <c:v>56</c:v>
                </c:pt>
                <c:pt idx="8">
                  <c:v>63</c:v>
                </c:pt>
                <c:pt idx="9">
                  <c:v>70</c:v>
                </c:pt>
                <c:pt idx="10">
                  <c:v>77</c:v>
                </c:pt>
                <c:pt idx="11">
                  <c:v>84</c:v>
                </c:pt>
                <c:pt idx="12">
                  <c:v>91</c:v>
                </c:pt>
                <c:pt idx="13">
                  <c:v>98</c:v>
                </c:pt>
                <c:pt idx="14">
                  <c:v>105</c:v>
                </c:pt>
                <c:pt idx="15">
                  <c:v>112</c:v>
                </c:pt>
                <c:pt idx="16">
                  <c:v>119</c:v>
                </c:pt>
                <c:pt idx="17">
                  <c:v>126</c:v>
                </c:pt>
              </c:numCache>
            </c:numRef>
          </c:cat>
          <c:val>
            <c:numRef>
              <c:f>Sheet1!$C$2:$C$19</c:f>
              <c:numCache>
                <c:formatCode>General</c:formatCode>
                <c:ptCount val="18"/>
                <c:pt idx="0">
                  <c:v>41.78</c:v>
                </c:pt>
                <c:pt idx="1">
                  <c:v>44.23</c:v>
                </c:pt>
                <c:pt idx="2">
                  <c:v>47.69</c:v>
                </c:pt>
                <c:pt idx="3">
                  <c:v>52.22</c:v>
                </c:pt>
                <c:pt idx="4">
                  <c:v>57</c:v>
                </c:pt>
                <c:pt idx="5">
                  <c:v>61.33</c:v>
                </c:pt>
                <c:pt idx="6">
                  <c:v>66.650000000000006</c:v>
                </c:pt>
                <c:pt idx="7">
                  <c:v>71.12</c:v>
                </c:pt>
                <c:pt idx="8">
                  <c:v>77.739999999999995</c:v>
                </c:pt>
                <c:pt idx="9">
                  <c:v>83.11</c:v>
                </c:pt>
                <c:pt idx="10">
                  <c:v>91.33</c:v>
                </c:pt>
                <c:pt idx="11">
                  <c:v>99.79</c:v>
                </c:pt>
                <c:pt idx="12">
                  <c:v>100.52</c:v>
                </c:pt>
                <c:pt idx="13">
                  <c:v>105.59</c:v>
                </c:pt>
                <c:pt idx="14">
                  <c:v>109.9</c:v>
                </c:pt>
                <c:pt idx="15">
                  <c:v>113.82</c:v>
                </c:pt>
                <c:pt idx="16">
                  <c:v>119.13</c:v>
                </c:pt>
                <c:pt idx="17">
                  <c:v>125.59</c:v>
                </c:pt>
              </c:numCache>
            </c:numRef>
          </c:val>
          <c:smooth val="0"/>
          <c:extLst>
            <c:ext xmlns:c16="http://schemas.microsoft.com/office/drawing/2014/chart" uri="{C3380CC4-5D6E-409C-BE32-E72D297353CC}">
              <c16:uniqueId val="{00000001-4A8A-47DB-9019-4EE2849DF589}"/>
            </c:ext>
          </c:extLst>
        </c:ser>
        <c:ser>
          <c:idx val="2"/>
          <c:order val="2"/>
          <c:tx>
            <c:strRef>
              <c:f>Sheet1!$D$1</c:f>
              <c:strCache>
                <c:ptCount val="1"/>
                <c:pt idx="0">
                  <c:v>Tx 3</c:v>
                </c:pt>
              </c:strCache>
            </c:strRef>
          </c:tx>
          <c:spPr>
            <a:ln w="38100" cap="rnd">
              <a:solidFill>
                <a:schemeClr val="accent3"/>
              </a:solidFill>
              <a:round/>
            </a:ln>
            <a:effectLst/>
          </c:spPr>
          <c:marker>
            <c:symbol val="none"/>
          </c:marker>
          <c:cat>
            <c:numRef>
              <c:f>Sheet1!$A$2:$A$19</c:f>
              <c:numCache>
                <c:formatCode>General</c:formatCode>
                <c:ptCount val="18"/>
                <c:pt idx="0">
                  <c:v>7</c:v>
                </c:pt>
                <c:pt idx="1">
                  <c:v>14</c:v>
                </c:pt>
                <c:pt idx="2">
                  <c:v>21</c:v>
                </c:pt>
                <c:pt idx="3">
                  <c:v>28</c:v>
                </c:pt>
                <c:pt idx="4">
                  <c:v>35</c:v>
                </c:pt>
                <c:pt idx="5">
                  <c:v>42</c:v>
                </c:pt>
                <c:pt idx="6">
                  <c:v>49</c:v>
                </c:pt>
                <c:pt idx="7">
                  <c:v>56</c:v>
                </c:pt>
                <c:pt idx="8">
                  <c:v>63</c:v>
                </c:pt>
                <c:pt idx="9">
                  <c:v>70</c:v>
                </c:pt>
                <c:pt idx="10">
                  <c:v>77</c:v>
                </c:pt>
                <c:pt idx="11">
                  <c:v>84</c:v>
                </c:pt>
                <c:pt idx="12">
                  <c:v>91</c:v>
                </c:pt>
                <c:pt idx="13">
                  <c:v>98</c:v>
                </c:pt>
                <c:pt idx="14">
                  <c:v>105</c:v>
                </c:pt>
                <c:pt idx="15">
                  <c:v>112</c:v>
                </c:pt>
                <c:pt idx="16">
                  <c:v>119</c:v>
                </c:pt>
                <c:pt idx="17">
                  <c:v>126</c:v>
                </c:pt>
              </c:numCache>
            </c:numRef>
          </c:cat>
          <c:val>
            <c:numRef>
              <c:f>Sheet1!$D$2:$D$19</c:f>
              <c:numCache>
                <c:formatCode>General</c:formatCode>
                <c:ptCount val="18"/>
                <c:pt idx="0">
                  <c:v>41.05</c:v>
                </c:pt>
                <c:pt idx="1">
                  <c:v>42.82</c:v>
                </c:pt>
                <c:pt idx="2">
                  <c:v>44.58</c:v>
                </c:pt>
                <c:pt idx="3">
                  <c:v>47.49</c:v>
                </c:pt>
                <c:pt idx="4">
                  <c:v>50.93</c:v>
                </c:pt>
                <c:pt idx="5">
                  <c:v>54.65</c:v>
                </c:pt>
                <c:pt idx="6">
                  <c:v>61.02</c:v>
                </c:pt>
                <c:pt idx="7">
                  <c:v>65.91</c:v>
                </c:pt>
                <c:pt idx="8">
                  <c:v>70.209999999999994</c:v>
                </c:pt>
                <c:pt idx="9">
                  <c:v>76.510000000000005</c:v>
                </c:pt>
                <c:pt idx="10">
                  <c:v>83.47</c:v>
                </c:pt>
                <c:pt idx="11">
                  <c:v>89.8</c:v>
                </c:pt>
                <c:pt idx="12">
                  <c:v>90.84</c:v>
                </c:pt>
                <c:pt idx="13">
                  <c:v>94.46</c:v>
                </c:pt>
                <c:pt idx="14">
                  <c:v>100.43</c:v>
                </c:pt>
                <c:pt idx="15">
                  <c:v>104.54</c:v>
                </c:pt>
                <c:pt idx="16">
                  <c:v>109.82</c:v>
                </c:pt>
                <c:pt idx="17">
                  <c:v>113.18</c:v>
                </c:pt>
              </c:numCache>
            </c:numRef>
          </c:val>
          <c:smooth val="0"/>
          <c:extLst>
            <c:ext xmlns:c16="http://schemas.microsoft.com/office/drawing/2014/chart" uri="{C3380CC4-5D6E-409C-BE32-E72D297353CC}">
              <c16:uniqueId val="{00000002-4A8A-47DB-9019-4EE2849DF589}"/>
            </c:ext>
          </c:extLst>
        </c:ser>
        <c:ser>
          <c:idx val="3"/>
          <c:order val="3"/>
          <c:tx>
            <c:strRef>
              <c:f>Sheet1!$E$1</c:f>
              <c:strCache>
                <c:ptCount val="1"/>
                <c:pt idx="0">
                  <c:v>Tx 4</c:v>
                </c:pt>
              </c:strCache>
            </c:strRef>
          </c:tx>
          <c:spPr>
            <a:ln w="38100" cap="rnd">
              <a:solidFill>
                <a:schemeClr val="accent4"/>
              </a:solidFill>
              <a:round/>
            </a:ln>
            <a:effectLst/>
          </c:spPr>
          <c:marker>
            <c:symbol val="none"/>
          </c:marker>
          <c:cat>
            <c:numRef>
              <c:f>Sheet1!$A$2:$A$19</c:f>
              <c:numCache>
                <c:formatCode>General</c:formatCode>
                <c:ptCount val="18"/>
                <c:pt idx="0">
                  <c:v>7</c:v>
                </c:pt>
                <c:pt idx="1">
                  <c:v>14</c:v>
                </c:pt>
                <c:pt idx="2">
                  <c:v>21</c:v>
                </c:pt>
                <c:pt idx="3">
                  <c:v>28</c:v>
                </c:pt>
                <c:pt idx="4">
                  <c:v>35</c:v>
                </c:pt>
                <c:pt idx="5">
                  <c:v>42</c:v>
                </c:pt>
                <c:pt idx="6">
                  <c:v>49</c:v>
                </c:pt>
                <c:pt idx="7">
                  <c:v>56</c:v>
                </c:pt>
                <c:pt idx="8">
                  <c:v>63</c:v>
                </c:pt>
                <c:pt idx="9">
                  <c:v>70</c:v>
                </c:pt>
                <c:pt idx="10">
                  <c:v>77</c:v>
                </c:pt>
                <c:pt idx="11">
                  <c:v>84</c:v>
                </c:pt>
                <c:pt idx="12">
                  <c:v>91</c:v>
                </c:pt>
                <c:pt idx="13">
                  <c:v>98</c:v>
                </c:pt>
                <c:pt idx="14">
                  <c:v>105</c:v>
                </c:pt>
                <c:pt idx="15">
                  <c:v>112</c:v>
                </c:pt>
                <c:pt idx="16">
                  <c:v>119</c:v>
                </c:pt>
                <c:pt idx="17">
                  <c:v>126</c:v>
                </c:pt>
              </c:numCache>
            </c:numRef>
          </c:cat>
          <c:val>
            <c:numRef>
              <c:f>Sheet1!$E$2:$E$19</c:f>
              <c:numCache>
                <c:formatCode>General</c:formatCode>
                <c:ptCount val="18"/>
                <c:pt idx="0">
                  <c:v>40.770000000000003</c:v>
                </c:pt>
                <c:pt idx="1">
                  <c:v>44.12</c:v>
                </c:pt>
                <c:pt idx="2">
                  <c:v>49.25</c:v>
                </c:pt>
                <c:pt idx="3">
                  <c:v>52.55</c:v>
                </c:pt>
                <c:pt idx="4">
                  <c:v>57.61</c:v>
                </c:pt>
                <c:pt idx="5">
                  <c:v>61.78</c:v>
                </c:pt>
                <c:pt idx="6">
                  <c:v>64.739999999999995</c:v>
                </c:pt>
                <c:pt idx="7">
                  <c:v>69.69</c:v>
                </c:pt>
                <c:pt idx="8">
                  <c:v>73.260000000000005</c:v>
                </c:pt>
                <c:pt idx="9">
                  <c:v>77.78</c:v>
                </c:pt>
                <c:pt idx="10">
                  <c:v>86.24</c:v>
                </c:pt>
                <c:pt idx="11">
                  <c:v>92.5</c:v>
                </c:pt>
                <c:pt idx="12">
                  <c:v>94.46</c:v>
                </c:pt>
                <c:pt idx="13">
                  <c:v>99.71</c:v>
                </c:pt>
                <c:pt idx="14">
                  <c:v>104.38</c:v>
                </c:pt>
                <c:pt idx="15">
                  <c:v>108.71</c:v>
                </c:pt>
                <c:pt idx="16">
                  <c:v>112.46</c:v>
                </c:pt>
                <c:pt idx="17">
                  <c:v>117.55</c:v>
                </c:pt>
              </c:numCache>
            </c:numRef>
          </c:val>
          <c:smooth val="0"/>
          <c:extLst>
            <c:ext xmlns:c16="http://schemas.microsoft.com/office/drawing/2014/chart" uri="{C3380CC4-5D6E-409C-BE32-E72D297353CC}">
              <c16:uniqueId val="{00000003-4A8A-47DB-9019-4EE2849DF589}"/>
            </c:ext>
          </c:extLst>
        </c:ser>
        <c:dLbls>
          <c:showLegendKey val="0"/>
          <c:showVal val="0"/>
          <c:showCatName val="0"/>
          <c:showSerName val="0"/>
          <c:showPercent val="0"/>
          <c:showBubbleSize val="0"/>
        </c:dLbls>
        <c:smooth val="0"/>
        <c:axId val="988146816"/>
        <c:axId val="988147176"/>
      </c:lineChart>
      <c:catAx>
        <c:axId val="988146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E">
                    <a:solidFill>
                      <a:schemeClr val="tx1"/>
                    </a:solidFill>
                  </a:rPr>
                  <a:t>Calf Age (day)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88147176"/>
        <c:crosses val="autoZero"/>
        <c:auto val="1"/>
        <c:lblAlgn val="ctr"/>
        <c:lblOffset val="100"/>
        <c:noMultiLvlLbl val="0"/>
      </c:catAx>
      <c:valAx>
        <c:axId val="988147176"/>
        <c:scaling>
          <c:orientation val="minMax"/>
          <c:max val="130"/>
          <c:min val="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E">
                    <a:solidFill>
                      <a:schemeClr val="tx1"/>
                    </a:solidFill>
                  </a:rPr>
                  <a:t>Liveweight (day)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8146816"/>
        <c:crosses val="autoZero"/>
        <c:crossBetween val="between"/>
      </c:valAx>
      <c:spPr>
        <a:noFill/>
        <a:ln>
          <a:noFill/>
        </a:ln>
        <a:effectLst/>
      </c:spPr>
    </c:plotArea>
    <c:legend>
      <c:legendPos val="b"/>
      <c:layout>
        <c:manualLayout>
          <c:xMode val="edge"/>
          <c:yMode val="edge"/>
          <c:x val="0.75577898481591266"/>
          <c:y val="0.26872733771656976"/>
          <c:w val="0.11048894765290594"/>
          <c:h val="0.403846510136459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effectLst>
                <a:outerShdw blurRad="50800" dist="50800" dir="5400000" sx="2000" sy="2000" algn="ctr" rotWithShape="0">
                  <a:srgbClr val="000000">
                    <a:alpha val="43137"/>
                  </a:srgbClr>
                </a:outerShdw>
              </a:effectLst>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0.50425</cdr:x>
      <cdr:y>0.06113</cdr:y>
    </cdr:from>
    <cdr:to>
      <cdr:x>0.50805</cdr:x>
      <cdr:y>0.88024</cdr:y>
    </cdr:to>
    <cdr:cxnSp macro="">
      <cdr:nvCxnSpPr>
        <cdr:cNvPr id="2" name="Straight Connector 1">
          <a:extLst xmlns:a="http://schemas.openxmlformats.org/drawingml/2006/main">
            <a:ext uri="{FF2B5EF4-FFF2-40B4-BE49-F238E27FC236}">
              <a16:creationId xmlns:a16="http://schemas.microsoft.com/office/drawing/2014/main" id="{B0D44EA8-7E81-D549-C117-A82F8DD67E2A}"/>
            </a:ext>
          </a:extLst>
        </cdr:cNvPr>
        <cdr:cNvCxnSpPr/>
      </cdr:nvCxnSpPr>
      <cdr:spPr>
        <a:xfrm xmlns:a="http://schemas.openxmlformats.org/drawingml/2006/main" flipV="1">
          <a:off x="4178591" y="257175"/>
          <a:ext cx="31459" cy="3445894"/>
        </a:xfrm>
        <a:prstGeom xmlns:a="http://schemas.openxmlformats.org/drawingml/2006/main" prst="line">
          <a:avLst/>
        </a:prstGeom>
        <a:ln xmlns:a="http://schemas.openxmlformats.org/drawingml/2006/main">
          <a:solidFill>
            <a:schemeClr val="bg2">
              <a:lumMod val="75000"/>
            </a:schemeClr>
          </a:solidFill>
          <a:prstDash val="sysDash"/>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0.65555</cdr:x>
      <cdr:y>0.05208</cdr:y>
    </cdr:from>
    <cdr:to>
      <cdr:x>0.65632</cdr:x>
      <cdr:y>0.88479</cdr:y>
    </cdr:to>
    <cdr:cxnSp macro="">
      <cdr:nvCxnSpPr>
        <cdr:cNvPr id="8" name="Straight Connector 7">
          <a:extLst xmlns:a="http://schemas.openxmlformats.org/drawingml/2006/main">
            <a:ext uri="{FF2B5EF4-FFF2-40B4-BE49-F238E27FC236}">
              <a16:creationId xmlns:a16="http://schemas.microsoft.com/office/drawing/2014/main" id="{66E3196C-7B8A-0321-CD4E-F95E63FADE81}"/>
            </a:ext>
          </a:extLst>
        </cdr:cNvPr>
        <cdr:cNvCxnSpPr/>
      </cdr:nvCxnSpPr>
      <cdr:spPr>
        <a:xfrm xmlns:a="http://schemas.openxmlformats.org/drawingml/2006/main" flipV="1">
          <a:off x="5432409" y="219075"/>
          <a:ext cx="6366" cy="3503123"/>
        </a:xfrm>
        <a:prstGeom xmlns:a="http://schemas.openxmlformats.org/drawingml/2006/main" prst="line">
          <a:avLst/>
        </a:prstGeom>
        <a:ln xmlns:a="http://schemas.openxmlformats.org/drawingml/2006/main">
          <a:solidFill>
            <a:schemeClr val="bg2">
              <a:lumMod val="75000"/>
            </a:schemeClr>
          </a:solidFill>
          <a:prstDash val="sysDot"/>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0.76478</cdr:x>
      <cdr:y>0.67698</cdr:y>
    </cdr:from>
    <cdr:to>
      <cdr:x>0.81191</cdr:x>
      <cdr:y>0.67698</cdr:y>
    </cdr:to>
    <cdr:cxnSp macro="">
      <cdr:nvCxnSpPr>
        <cdr:cNvPr id="11" name="Straight Connector 10">
          <a:extLst xmlns:a="http://schemas.openxmlformats.org/drawingml/2006/main">
            <a:ext uri="{FF2B5EF4-FFF2-40B4-BE49-F238E27FC236}">
              <a16:creationId xmlns:a16="http://schemas.microsoft.com/office/drawing/2014/main" id="{3D4916BE-D1F4-412E-4DC0-659B29E2BBF1}"/>
            </a:ext>
          </a:extLst>
        </cdr:cNvPr>
        <cdr:cNvCxnSpPr/>
      </cdr:nvCxnSpPr>
      <cdr:spPr>
        <a:xfrm xmlns:a="http://schemas.openxmlformats.org/drawingml/2006/main">
          <a:off x="4509116" y="1969721"/>
          <a:ext cx="277878" cy="0"/>
        </a:xfrm>
        <a:prstGeom xmlns:a="http://schemas.openxmlformats.org/drawingml/2006/main" prst="line">
          <a:avLst/>
        </a:prstGeom>
        <a:ln xmlns:a="http://schemas.openxmlformats.org/drawingml/2006/main">
          <a:solidFill>
            <a:schemeClr val="bg2">
              <a:lumMod val="75000"/>
            </a:schemeClr>
          </a:solidFill>
          <a:prstDash val="sysDash"/>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0.80591</cdr:x>
      <cdr:y>0.64428</cdr:y>
    </cdr:from>
    <cdr:to>
      <cdr:x>1</cdr:x>
      <cdr:y>0.73003</cdr:y>
    </cdr:to>
    <cdr:sp macro="" textlink="">
      <cdr:nvSpPr>
        <cdr:cNvPr id="15" name="TextBox 14">
          <a:extLst xmlns:a="http://schemas.openxmlformats.org/drawingml/2006/main">
            <a:ext uri="{FF2B5EF4-FFF2-40B4-BE49-F238E27FC236}">
              <a16:creationId xmlns:a16="http://schemas.microsoft.com/office/drawing/2014/main" id="{D98A6AE0-9DC8-D842-2FD6-C55E3FAE0EA4}"/>
            </a:ext>
          </a:extLst>
        </cdr:cNvPr>
        <cdr:cNvSpPr txBox="1"/>
      </cdr:nvSpPr>
      <cdr:spPr>
        <a:xfrm xmlns:a="http://schemas.openxmlformats.org/drawingml/2006/main">
          <a:off x="4751606" y="1874567"/>
          <a:ext cx="1144369" cy="2495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US" sz="900">
              <a:effectLst/>
              <a:latin typeface="+mn-lt"/>
              <a:ea typeface="+mn-ea"/>
              <a:cs typeface="+mn-cs"/>
            </a:rPr>
            <a:t>Calves weaned</a:t>
          </a:r>
          <a:endParaRPr lang="en-IE" sz="900">
            <a:effectLst/>
          </a:endParaRPr>
        </a:p>
        <a:p xmlns:a="http://schemas.openxmlformats.org/drawingml/2006/main">
          <a:endParaRPr lang="en-IE" sz="1100" kern="1200"/>
        </a:p>
      </cdr:txBody>
    </cdr:sp>
  </cdr:relSizeAnchor>
  <cdr:relSizeAnchor xmlns:cdr="http://schemas.openxmlformats.org/drawingml/2006/chartDrawing">
    <cdr:from>
      <cdr:x>0.7627</cdr:x>
      <cdr:y>0.74111</cdr:y>
    </cdr:from>
    <cdr:to>
      <cdr:x>0.81323</cdr:x>
      <cdr:y>0.74111</cdr:y>
    </cdr:to>
    <cdr:cxnSp macro="">
      <cdr:nvCxnSpPr>
        <cdr:cNvPr id="16" name="Straight Connector 15">
          <a:extLst xmlns:a="http://schemas.openxmlformats.org/drawingml/2006/main">
            <a:ext uri="{FF2B5EF4-FFF2-40B4-BE49-F238E27FC236}">
              <a16:creationId xmlns:a16="http://schemas.microsoft.com/office/drawing/2014/main" id="{991FF1E7-3C1F-6F4A-E8BD-2504581F7EF0}"/>
            </a:ext>
          </a:extLst>
        </cdr:cNvPr>
        <cdr:cNvCxnSpPr/>
      </cdr:nvCxnSpPr>
      <cdr:spPr>
        <a:xfrm xmlns:a="http://schemas.openxmlformats.org/drawingml/2006/main">
          <a:off x="4496877" y="2156307"/>
          <a:ext cx="297924" cy="0"/>
        </a:xfrm>
        <a:prstGeom xmlns:a="http://schemas.openxmlformats.org/drawingml/2006/main" prst="line">
          <a:avLst/>
        </a:prstGeom>
        <a:ln xmlns:a="http://schemas.openxmlformats.org/drawingml/2006/main">
          <a:solidFill>
            <a:schemeClr val="bg2">
              <a:lumMod val="75000"/>
            </a:schemeClr>
          </a:solidFill>
          <a:prstDash val="sysDot"/>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0.80245</cdr:x>
      <cdr:y>0.70288</cdr:y>
    </cdr:from>
    <cdr:to>
      <cdr:x>1</cdr:x>
      <cdr:y>0.95919</cdr:y>
    </cdr:to>
    <cdr:sp macro="" textlink="">
      <cdr:nvSpPr>
        <cdr:cNvPr id="21" name="TextBox 20">
          <a:extLst xmlns:a="http://schemas.openxmlformats.org/drawingml/2006/main">
            <a:ext uri="{FF2B5EF4-FFF2-40B4-BE49-F238E27FC236}">
              <a16:creationId xmlns:a16="http://schemas.microsoft.com/office/drawing/2014/main" id="{F277212F-EA73-399B-A85D-7856CBE41069}"/>
            </a:ext>
          </a:extLst>
        </cdr:cNvPr>
        <cdr:cNvSpPr txBox="1"/>
      </cdr:nvSpPr>
      <cdr:spPr>
        <a:xfrm xmlns:a="http://schemas.openxmlformats.org/drawingml/2006/main">
          <a:off x="4731198" y="2045081"/>
          <a:ext cx="1164777" cy="7457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US" sz="900">
              <a:effectLst/>
              <a:latin typeface="+mn-lt"/>
              <a:ea typeface="+mn-ea"/>
              <a:cs typeface="+mn-cs"/>
            </a:rPr>
            <a:t>Calves moved from individual to group housing</a:t>
          </a:r>
          <a:endParaRPr lang="en-IE" sz="900">
            <a:effectLst/>
          </a:endParaRPr>
        </a:p>
        <a:p xmlns:a="http://schemas.openxmlformats.org/drawingml/2006/main">
          <a:endParaRPr lang="en-IE" sz="1100" kern="12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FCA78B111814C9A8F105ABC8C9DE1" ma:contentTypeVersion="16" ma:contentTypeDescription="Create a new document." ma:contentTypeScope="" ma:versionID="9025fa796ef9f802788e18f02bb9e823">
  <xsd:schema xmlns:xsd="http://www.w3.org/2001/XMLSchema" xmlns:xs="http://www.w3.org/2001/XMLSchema" xmlns:p="http://schemas.microsoft.com/office/2006/metadata/properties" xmlns:ns3="44b3348d-be9b-409d-a0f2-7088a6cd2313" xmlns:ns4="ddafc650-0467-4e5b-a606-377e29295411" targetNamespace="http://schemas.microsoft.com/office/2006/metadata/properties" ma:root="true" ma:fieldsID="c3c307fbdf345cdf3559a53c6ce58ec1" ns3:_="" ns4:_="">
    <xsd:import namespace="44b3348d-be9b-409d-a0f2-7088a6cd2313"/>
    <xsd:import namespace="ddafc650-0467-4e5b-a606-377e292954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3348d-be9b-409d-a0f2-7088a6cd23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afc650-0467-4e5b-a606-377e292954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dafc650-0467-4e5b-a606-377e292954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CA9CE-A8D0-4819-B2A9-0C540498B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3348d-be9b-409d-a0f2-7088a6cd2313"/>
    <ds:schemaRef ds:uri="ddafc650-0467-4e5b-a606-377e29295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ddafc650-0467-4e5b-a606-377e29295411"/>
  </ds:schemaRefs>
</ds:datastoreItem>
</file>

<file path=customXml/itemProps3.xml><?xml version="1.0" encoding="utf-8"?>
<ds:datastoreItem xmlns:ds="http://schemas.openxmlformats.org/officeDocument/2006/customXml" ds:itemID="{443D4927-B381-4278-8881-89C86CBE0368}">
  <ds:schemaRefs>
    <ds:schemaRef ds:uri="http://schemas.microsoft.com/sharepoint/v3/contenttype/forms"/>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Normal.dotm</Template>
  <TotalTime>81</TotalTime>
  <Pages>3</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Neil</dc:creator>
  <cp:lastModifiedBy>Sinéad O'Callaghan</cp:lastModifiedBy>
  <cp:revision>4</cp:revision>
  <dcterms:created xsi:type="dcterms:W3CDTF">2025-01-16T12:04:00Z</dcterms:created>
  <dcterms:modified xsi:type="dcterms:W3CDTF">2025-01-17T11:41:00Z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0x01010083CFCA78B111814C9A8F105ABC8C9DE1</vt:lpwstr>
  </property>
</Properties>
</file>