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F9E1" w14:textId="13B170F2" w:rsidR="001244BD" w:rsidRDefault="006129AB" w:rsidP="00E80F85">
      <w:pPr>
        <w:pStyle w:val="Heading1"/>
      </w:pPr>
      <w:r w:rsidRPr="00E80F85">
        <w:t>Title</w:t>
      </w:r>
    </w:p>
    <w:p w14:paraId="4EB8CCE5" w14:textId="1254851C" w:rsidR="004846E7" w:rsidRPr="004846E7" w:rsidRDefault="002C4100" w:rsidP="004846E7">
      <w:r>
        <w:t xml:space="preserve">Sex effects on porcine </w:t>
      </w:r>
      <w:r w:rsidR="00A80B05">
        <w:t xml:space="preserve">microbiota </w:t>
      </w:r>
      <w:r>
        <w:t xml:space="preserve">impact on alternative </w:t>
      </w:r>
      <w:r w:rsidR="004846E7">
        <w:t xml:space="preserve">treatments </w:t>
      </w:r>
      <w:r>
        <w:t xml:space="preserve">for </w:t>
      </w:r>
      <w:r w:rsidR="004846E7">
        <w:t>post weaning diarrhoea</w:t>
      </w:r>
      <w:r w:rsidR="002118DA">
        <w:t>.</w:t>
      </w:r>
    </w:p>
    <w:p w14:paraId="0923768C" w14:textId="77777777" w:rsidR="0019524C" w:rsidRDefault="0019524C" w:rsidP="00911A52">
      <w:pPr>
        <w:spacing w:after="0"/>
        <w:rPr>
          <w:rFonts w:eastAsia="Times New Roman" w:cs="Arial"/>
          <w:caps/>
          <w:szCs w:val="20"/>
        </w:rPr>
      </w:pPr>
    </w:p>
    <w:p w14:paraId="46C436AC" w14:textId="2458A757" w:rsidR="006129AB" w:rsidRDefault="006129AB" w:rsidP="00E80F85">
      <w:pPr>
        <w:pStyle w:val="Heading1"/>
      </w:pPr>
      <w:r w:rsidRPr="00415E20">
        <w:t>Application</w:t>
      </w:r>
    </w:p>
    <w:p w14:paraId="1A3B381C" w14:textId="7A6BD053" w:rsidR="00362F02" w:rsidRPr="00362F02" w:rsidRDefault="00B5684E" w:rsidP="00362F02">
      <w:bookmarkStart w:id="0" w:name="_Hlk151108834"/>
      <w:r>
        <w:t xml:space="preserve">Differential </w:t>
      </w:r>
      <w:r w:rsidR="00A80B05">
        <w:t>microbiota</w:t>
      </w:r>
      <w:r>
        <w:t xml:space="preserve"> composition between males and females may indicate that sex-specific t</w:t>
      </w:r>
      <w:r w:rsidR="00AF4FAD">
        <w:t xml:space="preserve">herapeutical </w:t>
      </w:r>
      <w:r w:rsidR="002C4100">
        <w:t xml:space="preserve">intervention </w:t>
      </w:r>
      <w:r w:rsidR="00AF4FAD">
        <w:t>approaches could improve the</w:t>
      </w:r>
      <w:r>
        <w:t>ir efficacy</w:t>
      </w:r>
      <w:r w:rsidR="00AF4FAD">
        <w:t>.</w:t>
      </w:r>
      <w:bookmarkEnd w:id="0"/>
    </w:p>
    <w:p w14:paraId="409596BC" w14:textId="41DDDCDD" w:rsidR="006129AB" w:rsidRDefault="006129AB" w:rsidP="00E80F85">
      <w:pPr>
        <w:pStyle w:val="Heading1"/>
      </w:pPr>
      <w:r w:rsidRPr="00415E20">
        <w:t>Introduction</w:t>
      </w:r>
    </w:p>
    <w:p w14:paraId="5D33E037" w14:textId="6B3C2D4F" w:rsidR="00FE33E8" w:rsidRPr="00FE33E8" w:rsidRDefault="00230FEC" w:rsidP="003575DA">
      <w:pPr>
        <w:spacing w:after="160" w:line="259" w:lineRule="auto"/>
      </w:pPr>
      <w:r>
        <w:t xml:space="preserve">We previously described that the </w:t>
      </w:r>
      <w:r w:rsidRPr="00FE33E8">
        <w:t>broad-spectrum antimicrobial-alternative</w:t>
      </w:r>
      <w:r>
        <w:t xml:space="preserve"> peracetic acid (PAA) derived by precursor hydrolysis was able to decrease diarrhoetic symptoms in piglets</w:t>
      </w:r>
      <w:r w:rsidR="003575DA">
        <w:t xml:space="preserve"> (Galgano </w:t>
      </w:r>
      <w:r w:rsidR="003575DA">
        <w:rPr>
          <w:i/>
          <w:iCs/>
        </w:rPr>
        <w:t>et al</w:t>
      </w:r>
      <w:r w:rsidR="003575DA">
        <w:t>., 2023)</w:t>
      </w:r>
      <w:r>
        <w:t xml:space="preserve">, </w:t>
      </w:r>
      <w:r w:rsidR="002C4100">
        <w:t>in</w:t>
      </w:r>
      <w:r>
        <w:t xml:space="preserve"> similar fashion as </w:t>
      </w:r>
      <w:r w:rsidR="002C4100">
        <w:t>z</w:t>
      </w:r>
      <w:r>
        <w:t xml:space="preserve">inc </w:t>
      </w:r>
      <w:r w:rsidR="002C4100">
        <w:t>o</w:t>
      </w:r>
      <w:r>
        <w:t xml:space="preserve">xide (ZnO). </w:t>
      </w:r>
      <w:r w:rsidR="002C4100">
        <w:t xml:space="preserve">Here, </w:t>
      </w:r>
      <w:r>
        <w:t xml:space="preserve">we further explored </w:t>
      </w:r>
      <w:r w:rsidR="002C4100">
        <w:t>possible interactions between these interventions and piglet sex</w:t>
      </w:r>
      <w:r>
        <w:t>.</w:t>
      </w:r>
    </w:p>
    <w:p w14:paraId="73B3F6FC" w14:textId="68772775" w:rsidR="006129AB" w:rsidRDefault="006129AB" w:rsidP="00E80F85">
      <w:pPr>
        <w:pStyle w:val="Heading1"/>
      </w:pPr>
      <w:r w:rsidRPr="00415E20">
        <w:t>Materials and methods</w:t>
      </w:r>
    </w:p>
    <w:p w14:paraId="6BCE8406" w14:textId="3373236E" w:rsidR="00A52CF2" w:rsidRPr="00A52CF2" w:rsidRDefault="00A52CF2" w:rsidP="00A52CF2">
      <w:pPr>
        <w:spacing w:after="160" w:line="259" w:lineRule="auto"/>
      </w:pPr>
      <w:r w:rsidRPr="00A52CF2">
        <w:t>Four treatments</w:t>
      </w:r>
      <w:r w:rsidR="000B2A2B">
        <w:t xml:space="preserve"> (</w:t>
      </w:r>
      <w:r w:rsidRPr="00A52CF2">
        <w:t xml:space="preserve">control, </w:t>
      </w:r>
      <w:r w:rsidR="002F033D" w:rsidRPr="00A52CF2">
        <w:t>3100ppm</w:t>
      </w:r>
      <w:r w:rsidR="002F033D" w:rsidRPr="00A52CF2">
        <w:t xml:space="preserve"> </w:t>
      </w:r>
      <w:r w:rsidRPr="00A52CF2">
        <w:t xml:space="preserve">in-feed ZnO, 50ppm and 150ppm of </w:t>
      </w:r>
      <w:r w:rsidR="00F355B9">
        <w:t xml:space="preserve">in-water </w:t>
      </w:r>
      <w:r w:rsidRPr="00A52CF2">
        <w:t>PAA</w:t>
      </w:r>
      <w:r w:rsidR="000B2A2B">
        <w:t>)</w:t>
      </w:r>
      <w:r w:rsidRPr="00A52CF2">
        <w:t>, were administered to 6 pens/treatment (14-day trial) with 2 pigs per pen</w:t>
      </w:r>
      <w:r w:rsidR="000B2A2B">
        <w:t xml:space="preserve">, </w:t>
      </w:r>
      <w:r w:rsidRPr="00A52CF2">
        <w:t>6 rooms (4pens/room)</w:t>
      </w:r>
      <w:r w:rsidR="000B2A2B">
        <w:t xml:space="preserve"> and balanced for sex</w:t>
      </w:r>
      <w:r w:rsidRPr="00A52CF2">
        <w:t>. In-water PAA treatments were prepared daily</w:t>
      </w:r>
      <w:r w:rsidR="000B2A2B">
        <w:t xml:space="preserve"> from </w:t>
      </w:r>
      <w:r w:rsidRPr="00A52CF2">
        <w:t xml:space="preserve">mixing different ratios of </w:t>
      </w:r>
      <w:r w:rsidR="000B2A2B">
        <w:t>PAA precursors</w:t>
      </w:r>
      <w:r w:rsidRPr="00A52CF2">
        <w:t>. We</w:t>
      </w:r>
      <w:r w:rsidR="000B2A2B">
        <w:t xml:space="preserve"> report here data on stomach and caecal </w:t>
      </w:r>
      <w:r w:rsidRPr="00A52CF2">
        <w:t xml:space="preserve">microbial composition via 16S rRNA sequencing (515Fb-816Rb). Linear mixed model was carried out in R </w:t>
      </w:r>
      <w:r w:rsidR="00D85CA0">
        <w:t>via using the package</w:t>
      </w:r>
      <w:r w:rsidRPr="00A52CF2">
        <w:t xml:space="preserve"> lme4 for performance and MaAsLin2 for taxonomical data, including fixed (treatment</w:t>
      </w:r>
      <w:r w:rsidR="000B2A2B">
        <w:t xml:space="preserve"> and sex</w:t>
      </w:r>
      <w:r w:rsidRPr="00A52CF2">
        <w:t>) and random effects (rooms/pens/pigs)</w:t>
      </w:r>
      <w:r w:rsidR="00611795">
        <w:t>.</w:t>
      </w:r>
    </w:p>
    <w:p w14:paraId="54A63D10" w14:textId="69C36761" w:rsidR="006129AB" w:rsidRPr="00415E20" w:rsidRDefault="006129AB" w:rsidP="00E80F85">
      <w:pPr>
        <w:pStyle w:val="Heading1"/>
      </w:pPr>
      <w:r w:rsidRPr="00415E20">
        <w:t>Results</w:t>
      </w:r>
    </w:p>
    <w:p w14:paraId="66149D6E" w14:textId="7695F1BB" w:rsidR="00023FF4" w:rsidRDefault="007E6F7A" w:rsidP="00C43925">
      <w:pPr>
        <w:rPr>
          <w:rFonts w:cs="Arial"/>
        </w:rPr>
      </w:pPr>
      <w:r>
        <w:rPr>
          <w:rFonts w:cs="Arial"/>
        </w:rPr>
        <w:t xml:space="preserve">The taxonomical analysis </w:t>
      </w:r>
      <w:r w:rsidR="00D86F65">
        <w:rPr>
          <w:rFonts w:cs="Arial"/>
        </w:rPr>
        <w:t xml:space="preserve">of the composing genera through the gut locations analysed </w:t>
      </w:r>
      <w:r>
        <w:rPr>
          <w:rFonts w:cs="Arial"/>
        </w:rPr>
        <w:t xml:space="preserve">revealed </w:t>
      </w:r>
      <w:r w:rsidR="008C210B">
        <w:rPr>
          <w:rFonts w:cs="Arial"/>
        </w:rPr>
        <w:t>both compositional differences between sexes and in response to treatments</w:t>
      </w:r>
      <w:r w:rsidR="00E004B1">
        <w:rPr>
          <w:rFonts w:cs="Arial"/>
        </w:rPr>
        <w:t xml:space="preserve"> in males and females. </w:t>
      </w:r>
      <w:r w:rsidR="0026659A">
        <w:rPr>
          <w:rFonts w:cs="Arial"/>
        </w:rPr>
        <w:t>In the s</w:t>
      </w:r>
      <w:r w:rsidR="00023FF4" w:rsidRPr="00415E20">
        <w:rPr>
          <w:rFonts w:cs="Arial"/>
        </w:rPr>
        <w:t>tomach</w:t>
      </w:r>
      <w:r w:rsidR="0026659A">
        <w:rPr>
          <w:rFonts w:cs="Arial"/>
        </w:rPr>
        <w:t>,</w:t>
      </w:r>
      <w:r w:rsidR="00E004B1">
        <w:rPr>
          <w:rFonts w:cs="Arial"/>
        </w:rPr>
        <w:t xml:space="preserve"> the relative abundance of both</w:t>
      </w:r>
      <w:r w:rsidR="000B2A2B">
        <w:rPr>
          <w:rFonts w:cs="Arial"/>
        </w:rPr>
        <w:t xml:space="preserve"> </w:t>
      </w:r>
      <w:r w:rsidR="00023FF4" w:rsidRPr="00415E20">
        <w:rPr>
          <w:rFonts w:cs="Arial"/>
          <w:i/>
          <w:iCs/>
        </w:rPr>
        <w:t>Fibrobacter</w:t>
      </w:r>
      <w:r w:rsidR="0026659A">
        <w:rPr>
          <w:rFonts w:cs="Arial"/>
        </w:rPr>
        <w:t xml:space="preserve"> and </w:t>
      </w:r>
      <w:r w:rsidR="00023FF4" w:rsidRPr="00415E20">
        <w:rPr>
          <w:rFonts w:cs="Arial"/>
          <w:i/>
          <w:iCs/>
        </w:rPr>
        <w:t>Sharpea</w:t>
      </w:r>
      <w:r w:rsidR="00E004B1">
        <w:rPr>
          <w:rFonts w:cs="Arial"/>
        </w:rPr>
        <w:t xml:space="preserve"> </w:t>
      </w:r>
      <w:r w:rsidR="00C33790">
        <w:rPr>
          <w:rFonts w:cs="Arial"/>
        </w:rPr>
        <w:t xml:space="preserve">variated </w:t>
      </w:r>
      <w:r w:rsidR="00E004B1">
        <w:rPr>
          <w:rFonts w:cs="Arial"/>
        </w:rPr>
        <w:t xml:space="preserve">significantly when analysing the microbiota of </w:t>
      </w:r>
      <w:r w:rsidR="00023FF4" w:rsidRPr="00415E20">
        <w:rPr>
          <w:rFonts w:cs="Arial"/>
        </w:rPr>
        <w:t>males and females (</w:t>
      </w:r>
      <w:r w:rsidR="00023FF4" w:rsidRPr="00415E20">
        <w:rPr>
          <w:rFonts w:cs="Arial"/>
          <w:i/>
          <w:iCs/>
        </w:rPr>
        <w:t xml:space="preserve">P </w:t>
      </w:r>
      <w:r w:rsidR="00023FF4" w:rsidRPr="00415E20">
        <w:rPr>
          <w:rFonts w:cs="Arial"/>
        </w:rPr>
        <w:t xml:space="preserve">&lt; 0.05, </w:t>
      </w:r>
      <w:r w:rsidR="00023FF4" w:rsidRPr="00415E20">
        <w:rPr>
          <w:rFonts w:cs="Arial"/>
          <w:i/>
          <w:iCs/>
        </w:rPr>
        <w:t xml:space="preserve">Q </w:t>
      </w:r>
      <w:r w:rsidR="00023FF4" w:rsidRPr="00415E20">
        <w:rPr>
          <w:rFonts w:cs="Arial"/>
        </w:rPr>
        <w:t>&lt; 0.05)</w:t>
      </w:r>
      <w:r w:rsidR="006A4687">
        <w:rPr>
          <w:rFonts w:cs="Arial"/>
        </w:rPr>
        <w:t xml:space="preserve">. Moreover, </w:t>
      </w:r>
      <w:r w:rsidR="00415E20">
        <w:rPr>
          <w:rFonts w:cs="Arial"/>
        </w:rPr>
        <w:t xml:space="preserve">97 genera were </w:t>
      </w:r>
      <w:r w:rsidR="00B269E6">
        <w:rPr>
          <w:rFonts w:cs="Arial"/>
        </w:rPr>
        <w:t xml:space="preserve">significantly </w:t>
      </w:r>
      <w:r w:rsidR="00415E20">
        <w:rPr>
          <w:rFonts w:cs="Arial"/>
        </w:rPr>
        <w:t xml:space="preserve">differentially abundant </w:t>
      </w:r>
      <w:r w:rsidR="00A54CE3">
        <w:rPr>
          <w:rFonts w:cs="Arial"/>
        </w:rPr>
        <w:t>as a consequence of treatment administration in either males or females.</w:t>
      </w:r>
      <w:r w:rsidR="00E31889">
        <w:rPr>
          <w:rFonts w:cs="Arial"/>
        </w:rPr>
        <w:t xml:space="preserve"> </w:t>
      </w:r>
      <w:r w:rsidR="00462812">
        <w:rPr>
          <w:rFonts w:cs="Arial"/>
        </w:rPr>
        <w:t xml:space="preserve">Of these, </w:t>
      </w:r>
      <w:r w:rsidR="00462812" w:rsidRPr="00462812">
        <w:rPr>
          <w:rFonts w:cs="Arial"/>
          <w:i/>
          <w:iCs/>
        </w:rPr>
        <w:t>Actinobacillus</w:t>
      </w:r>
      <w:r w:rsidR="00462812">
        <w:rPr>
          <w:rFonts w:cs="Arial"/>
        </w:rPr>
        <w:t xml:space="preserve"> </w:t>
      </w:r>
      <w:r w:rsidR="002F033D">
        <w:rPr>
          <w:rFonts w:cs="Arial"/>
        </w:rPr>
        <w:t xml:space="preserve">was found </w:t>
      </w:r>
      <w:r w:rsidR="00EB532F">
        <w:rPr>
          <w:rFonts w:cs="Arial"/>
        </w:rPr>
        <w:t xml:space="preserve">to be </w:t>
      </w:r>
      <w:r w:rsidR="002F033D">
        <w:rPr>
          <w:rFonts w:cs="Arial"/>
        </w:rPr>
        <w:t xml:space="preserve">significantly less abundant </w:t>
      </w:r>
      <w:r w:rsidR="002F033D" w:rsidRPr="00415E20">
        <w:rPr>
          <w:rFonts w:cs="Arial"/>
        </w:rPr>
        <w:t>(</w:t>
      </w:r>
      <w:r w:rsidR="002F033D" w:rsidRPr="00415E20">
        <w:rPr>
          <w:rFonts w:cs="Arial"/>
          <w:i/>
          <w:iCs/>
        </w:rPr>
        <w:t xml:space="preserve">P </w:t>
      </w:r>
      <w:r w:rsidR="002F033D" w:rsidRPr="00415E20">
        <w:rPr>
          <w:rFonts w:cs="Arial"/>
        </w:rPr>
        <w:t xml:space="preserve">&lt; 0.05, </w:t>
      </w:r>
      <w:r w:rsidR="002F033D" w:rsidRPr="00415E20">
        <w:rPr>
          <w:rFonts w:cs="Arial"/>
          <w:i/>
          <w:iCs/>
        </w:rPr>
        <w:t xml:space="preserve">Q </w:t>
      </w:r>
      <w:r w:rsidR="002F033D" w:rsidRPr="00415E20">
        <w:rPr>
          <w:rFonts w:cs="Arial"/>
        </w:rPr>
        <w:t>&lt; 0.05)</w:t>
      </w:r>
      <w:r w:rsidR="002F033D">
        <w:rPr>
          <w:rFonts w:cs="Arial"/>
        </w:rPr>
        <w:t xml:space="preserve"> </w:t>
      </w:r>
      <w:r w:rsidR="00473702">
        <w:rPr>
          <w:rFonts w:cs="Arial"/>
        </w:rPr>
        <w:t>in the male</w:t>
      </w:r>
      <w:r w:rsidR="00EB532F">
        <w:rPr>
          <w:rFonts w:cs="Arial"/>
        </w:rPr>
        <w:t xml:space="preserve">s </w:t>
      </w:r>
      <w:r w:rsidR="002F033D">
        <w:rPr>
          <w:rFonts w:cs="Arial"/>
        </w:rPr>
        <w:t xml:space="preserve">given 150ppm of </w:t>
      </w:r>
      <w:r w:rsidR="00EB532F">
        <w:rPr>
          <w:rFonts w:cs="Arial"/>
        </w:rPr>
        <w:t xml:space="preserve">PAA </w:t>
      </w:r>
      <w:r w:rsidR="00473702">
        <w:rPr>
          <w:rFonts w:cs="Arial"/>
        </w:rPr>
        <w:t>(</w:t>
      </w:r>
      <w:r w:rsidR="00473702" w:rsidRPr="00473702">
        <w:rPr>
          <w:rFonts w:cs="Arial"/>
        </w:rPr>
        <w:t>0.1% ± 0.1%</w:t>
      </w:r>
      <w:r w:rsidR="00473702">
        <w:rPr>
          <w:rFonts w:cs="Arial"/>
        </w:rPr>
        <w:t xml:space="preserve">) compared to </w:t>
      </w:r>
      <w:r w:rsidR="000B2A2B">
        <w:rPr>
          <w:rFonts w:cs="Arial"/>
        </w:rPr>
        <w:t xml:space="preserve">all other </w:t>
      </w:r>
      <w:r w:rsidR="00C43925">
        <w:rPr>
          <w:rFonts w:cs="Arial"/>
        </w:rPr>
        <w:t>treatment-sex combinations</w:t>
      </w:r>
      <w:r w:rsidR="005A3293">
        <w:rPr>
          <w:rFonts w:cs="Arial"/>
        </w:rPr>
        <w:t xml:space="preserve"> (</w:t>
      </w:r>
      <w:r w:rsidR="00C43925">
        <w:rPr>
          <w:rFonts w:cs="Arial"/>
        </w:rPr>
        <w:t>0.8% ±</w:t>
      </w:r>
      <w:r w:rsidR="005A3293">
        <w:rPr>
          <w:rFonts w:cs="Arial"/>
        </w:rPr>
        <w:t xml:space="preserve"> </w:t>
      </w:r>
      <w:r w:rsidR="00C43925">
        <w:rPr>
          <w:rFonts w:cs="Arial"/>
        </w:rPr>
        <w:t>0.6%</w:t>
      </w:r>
      <w:r w:rsidR="005A3293">
        <w:rPr>
          <w:rFonts w:cs="Arial"/>
        </w:rPr>
        <w:t>)</w:t>
      </w:r>
    </w:p>
    <w:p w14:paraId="23160F78" w14:textId="45FA4CC0" w:rsidR="00734639" w:rsidRDefault="006E39D0">
      <w:pPr>
        <w:rPr>
          <w:rFonts w:cs="Arial"/>
        </w:rPr>
      </w:pPr>
      <w:r>
        <w:rPr>
          <w:rFonts w:cs="Arial"/>
        </w:rPr>
        <w:t xml:space="preserve">In the caecum, the relative abundance of </w:t>
      </w:r>
      <w:r w:rsidR="00734639">
        <w:rPr>
          <w:rFonts w:cs="Arial"/>
        </w:rPr>
        <w:t>27</w:t>
      </w:r>
      <w:r>
        <w:rPr>
          <w:rFonts w:cs="Arial"/>
        </w:rPr>
        <w:t xml:space="preserve"> genera was </w:t>
      </w:r>
      <w:r w:rsidR="00734639">
        <w:rPr>
          <w:rFonts w:cs="Arial"/>
        </w:rPr>
        <w:t xml:space="preserve">significantly </w:t>
      </w:r>
      <w:r>
        <w:rPr>
          <w:rFonts w:cs="Arial"/>
        </w:rPr>
        <w:t xml:space="preserve">different </w:t>
      </w:r>
      <w:r w:rsidR="001E4A9E">
        <w:rPr>
          <w:rFonts w:cs="Arial"/>
        </w:rPr>
        <w:t>when comparing the microbiota of males and females in general (</w:t>
      </w:r>
      <w:r w:rsidR="00E41018" w:rsidRPr="00415E20">
        <w:rPr>
          <w:rFonts w:cs="Arial"/>
          <w:i/>
          <w:iCs/>
        </w:rPr>
        <w:t xml:space="preserve">P </w:t>
      </w:r>
      <w:r w:rsidR="00E41018" w:rsidRPr="00415E20">
        <w:rPr>
          <w:rFonts w:cs="Arial"/>
        </w:rPr>
        <w:t xml:space="preserve">&lt; 0.05, </w:t>
      </w:r>
      <w:r w:rsidR="00E41018" w:rsidRPr="00415E20">
        <w:rPr>
          <w:rFonts w:cs="Arial"/>
          <w:i/>
          <w:iCs/>
        </w:rPr>
        <w:t xml:space="preserve">Q </w:t>
      </w:r>
      <w:r w:rsidR="00E41018" w:rsidRPr="00415E20">
        <w:rPr>
          <w:rFonts w:cs="Arial"/>
        </w:rPr>
        <w:t>&lt; 0.05)</w:t>
      </w:r>
      <w:r w:rsidR="00086347">
        <w:rPr>
          <w:rFonts w:cs="Arial"/>
        </w:rPr>
        <w:t xml:space="preserve">, amongst which </w:t>
      </w:r>
      <w:r w:rsidR="00086347">
        <w:rPr>
          <w:rFonts w:cs="Arial"/>
          <w:i/>
          <w:iCs/>
        </w:rPr>
        <w:t xml:space="preserve">Lactobacillus </w:t>
      </w:r>
      <w:r w:rsidR="00086347">
        <w:rPr>
          <w:rFonts w:cs="Arial"/>
        </w:rPr>
        <w:t>was significantly enriched in females (</w:t>
      </w:r>
      <w:r w:rsidR="00086347" w:rsidRPr="00086347">
        <w:rPr>
          <w:rFonts w:cs="Arial"/>
        </w:rPr>
        <w:t>23.57 % ± 8.53 %</w:t>
      </w:r>
      <w:r w:rsidR="00086347">
        <w:rPr>
          <w:rFonts w:cs="Arial"/>
        </w:rPr>
        <w:t>) compared to males (</w:t>
      </w:r>
      <w:r w:rsidR="00086347" w:rsidRPr="00086347">
        <w:rPr>
          <w:rFonts w:cs="Arial"/>
        </w:rPr>
        <w:t>14.21 % ± 8.63 %</w:t>
      </w:r>
      <w:r w:rsidR="00086347">
        <w:rPr>
          <w:rFonts w:cs="Arial"/>
        </w:rPr>
        <w:t>).</w:t>
      </w:r>
      <w:r w:rsidR="00E41018">
        <w:rPr>
          <w:rFonts w:cs="Arial"/>
        </w:rPr>
        <w:t xml:space="preserve"> In parallel, 135 genera were significantly differentially abundant </w:t>
      </w:r>
      <w:r w:rsidR="00E41018" w:rsidRPr="00415E20">
        <w:rPr>
          <w:rFonts w:cs="Arial"/>
        </w:rPr>
        <w:t>(</w:t>
      </w:r>
      <w:r w:rsidR="00E41018" w:rsidRPr="00415E20">
        <w:rPr>
          <w:rFonts w:cs="Arial"/>
          <w:i/>
          <w:iCs/>
        </w:rPr>
        <w:t xml:space="preserve">P </w:t>
      </w:r>
      <w:r w:rsidR="00E41018" w:rsidRPr="00415E20">
        <w:rPr>
          <w:rFonts w:cs="Arial"/>
        </w:rPr>
        <w:t xml:space="preserve">&lt; 0.05, </w:t>
      </w:r>
      <w:r w:rsidR="00E41018" w:rsidRPr="00415E20">
        <w:rPr>
          <w:rFonts w:cs="Arial"/>
          <w:i/>
          <w:iCs/>
        </w:rPr>
        <w:t xml:space="preserve">Q </w:t>
      </w:r>
      <w:r w:rsidR="00E41018" w:rsidRPr="00415E20">
        <w:rPr>
          <w:rFonts w:cs="Arial"/>
        </w:rPr>
        <w:t>&lt; 0.05)</w:t>
      </w:r>
      <w:r w:rsidR="003C0E29">
        <w:rPr>
          <w:rFonts w:cs="Arial"/>
        </w:rPr>
        <w:t xml:space="preserve"> </w:t>
      </w:r>
      <w:r w:rsidR="00C67F5E">
        <w:rPr>
          <w:rFonts w:cs="Arial"/>
        </w:rPr>
        <w:t xml:space="preserve">in the interaction </w:t>
      </w:r>
      <w:r w:rsidR="003866FD">
        <w:rPr>
          <w:rFonts w:cs="Arial"/>
        </w:rPr>
        <w:t xml:space="preserve">of </w:t>
      </w:r>
      <w:r w:rsidR="003C0E29">
        <w:rPr>
          <w:rFonts w:cs="Arial"/>
        </w:rPr>
        <w:t>treatment and sex</w:t>
      </w:r>
      <w:r w:rsidR="0051481B">
        <w:rPr>
          <w:rFonts w:cs="Arial"/>
        </w:rPr>
        <w:t xml:space="preserve">. </w:t>
      </w:r>
      <w:r w:rsidR="00142E1E">
        <w:rPr>
          <w:rFonts w:cs="Arial"/>
        </w:rPr>
        <w:t xml:space="preserve">Amongst these genera, </w:t>
      </w:r>
      <w:r w:rsidR="00F66178" w:rsidRPr="004424B7">
        <w:rPr>
          <w:rFonts w:cs="Arial"/>
          <w:i/>
          <w:iCs/>
        </w:rPr>
        <w:t>Ruminococcus</w:t>
      </w:r>
      <w:r w:rsidR="00F66178">
        <w:rPr>
          <w:rFonts w:cs="Arial"/>
        </w:rPr>
        <w:t xml:space="preserve"> </w:t>
      </w:r>
      <w:r w:rsidR="00142E1E">
        <w:rPr>
          <w:rFonts w:cs="Arial"/>
        </w:rPr>
        <w:t xml:space="preserve">was less abundant in </w:t>
      </w:r>
      <w:r w:rsidR="00353BF6">
        <w:rPr>
          <w:rFonts w:cs="Arial"/>
        </w:rPr>
        <w:t xml:space="preserve">males given </w:t>
      </w:r>
      <w:r w:rsidR="00586C2D">
        <w:rPr>
          <w:rFonts w:cs="Arial"/>
        </w:rPr>
        <w:t>ZnO</w:t>
      </w:r>
      <w:r w:rsidR="00142E1E">
        <w:rPr>
          <w:rFonts w:cs="Arial"/>
        </w:rPr>
        <w:t xml:space="preserve"> </w:t>
      </w:r>
      <w:r w:rsidR="00C43925">
        <w:rPr>
          <w:rFonts w:cs="Arial"/>
        </w:rPr>
        <w:t>(</w:t>
      </w:r>
      <w:r w:rsidR="00142E1E" w:rsidRPr="00142E1E">
        <w:rPr>
          <w:rFonts w:cs="Arial"/>
        </w:rPr>
        <w:t>0.09%± 0.07%</w:t>
      </w:r>
      <w:r w:rsidR="00C43925">
        <w:rPr>
          <w:rFonts w:cs="Arial"/>
        </w:rPr>
        <w:t>)</w:t>
      </w:r>
      <w:r w:rsidR="00142E1E">
        <w:rPr>
          <w:rFonts w:cs="Arial"/>
        </w:rPr>
        <w:t xml:space="preserve"> compared </w:t>
      </w:r>
      <w:r w:rsidR="00586C2D">
        <w:rPr>
          <w:rFonts w:cs="Arial"/>
        </w:rPr>
        <w:t>to all other treatment-sex combination</w:t>
      </w:r>
      <w:r w:rsidR="00A73E58">
        <w:rPr>
          <w:rFonts w:cs="Arial"/>
        </w:rPr>
        <w:t xml:space="preserve">s, </w:t>
      </w:r>
      <w:r w:rsidR="00D15AA9">
        <w:rPr>
          <w:rFonts w:cs="Arial"/>
        </w:rPr>
        <w:t xml:space="preserve">and in </w:t>
      </w:r>
      <w:r w:rsidR="00A73E58">
        <w:rPr>
          <w:rFonts w:cs="Arial"/>
        </w:rPr>
        <w:t xml:space="preserve">the caecal content of </w:t>
      </w:r>
      <w:r w:rsidR="00586C2D">
        <w:rPr>
          <w:rFonts w:cs="Arial"/>
        </w:rPr>
        <w:t xml:space="preserve">females </w:t>
      </w:r>
      <w:r w:rsidR="00A73E58">
        <w:rPr>
          <w:rFonts w:cs="Arial"/>
        </w:rPr>
        <w:t xml:space="preserve">administered ZnO </w:t>
      </w:r>
      <w:r w:rsidR="00D15AA9">
        <w:rPr>
          <w:rFonts w:cs="Arial"/>
        </w:rPr>
        <w:t>(</w:t>
      </w:r>
      <w:r w:rsidR="00D15AA9" w:rsidRPr="00D15AA9">
        <w:rPr>
          <w:rFonts w:cs="Arial"/>
        </w:rPr>
        <w:t>0.42%± 0.42%</w:t>
      </w:r>
      <w:r w:rsidR="00D15AA9">
        <w:rPr>
          <w:rFonts w:cs="Arial"/>
        </w:rPr>
        <w:t xml:space="preserve">) </w:t>
      </w:r>
      <w:r w:rsidR="00142E1E">
        <w:rPr>
          <w:rFonts w:cs="Arial"/>
        </w:rPr>
        <w:t xml:space="preserve">compared </w:t>
      </w:r>
      <w:r w:rsidR="00D15AA9">
        <w:rPr>
          <w:rFonts w:cs="Arial"/>
        </w:rPr>
        <w:t xml:space="preserve">to </w:t>
      </w:r>
      <w:r w:rsidR="00586C2D">
        <w:rPr>
          <w:rFonts w:cs="Arial"/>
        </w:rPr>
        <w:t xml:space="preserve">control </w:t>
      </w:r>
      <w:r w:rsidR="00D15AA9">
        <w:rPr>
          <w:rFonts w:cs="Arial"/>
        </w:rPr>
        <w:t>females</w:t>
      </w:r>
      <w:r w:rsidR="00586C2D">
        <w:rPr>
          <w:rFonts w:cs="Arial"/>
        </w:rPr>
        <w:t xml:space="preserve"> </w:t>
      </w:r>
      <w:r w:rsidR="00D15AA9">
        <w:rPr>
          <w:rFonts w:cs="Arial"/>
        </w:rPr>
        <w:t>(</w:t>
      </w:r>
      <w:r w:rsidR="00D15AA9" w:rsidRPr="00D15AA9">
        <w:rPr>
          <w:rFonts w:cs="Arial"/>
        </w:rPr>
        <w:t>1.65%± 1.04%</w:t>
      </w:r>
      <w:r w:rsidR="00D15AA9">
        <w:rPr>
          <w:rFonts w:cs="Arial"/>
        </w:rPr>
        <w:t>).</w:t>
      </w:r>
      <w:r w:rsidR="001F7C0F">
        <w:rPr>
          <w:rFonts w:cs="Arial"/>
        </w:rPr>
        <w:t xml:space="preserve"> </w:t>
      </w:r>
    </w:p>
    <w:p w14:paraId="6ED55364" w14:textId="0B8D34C3" w:rsidR="006A1707" w:rsidRDefault="006A1707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A5179" w14:paraId="0A3E7745" w14:textId="77777777" w:rsidTr="00C75991">
        <w:tc>
          <w:tcPr>
            <w:tcW w:w="9016" w:type="dxa"/>
          </w:tcPr>
          <w:p w14:paraId="747366DF" w14:textId="257D900C" w:rsidR="006A5179" w:rsidRDefault="00EE5BD5" w:rsidP="00C75991">
            <w:pPr>
              <w:keepNext/>
              <w:rPr>
                <w:rFonts w:cs="Arial"/>
              </w:rPr>
            </w:pPr>
            <w:r>
              <w:rPr>
                <w:rFonts w:cs="Arial"/>
                <w:noProof/>
              </w:rPr>
              <w:lastRenderedPageBreak/>
              <w:drawing>
                <wp:inline distT="0" distB="0" distL="0" distR="0" wp14:anchorId="5D0BD800" wp14:editId="22F9600D">
                  <wp:extent cx="5400446" cy="5702198"/>
                  <wp:effectExtent l="0" t="0" r="0" b="0"/>
                  <wp:docPr id="3682729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272916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446" cy="570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375294" w14:textId="25C88E05" w:rsidR="006A5179" w:rsidRPr="00C75991" w:rsidRDefault="00C75991" w:rsidP="00C75991">
      <w:pPr>
        <w:pStyle w:val="Caption"/>
        <w:rPr>
          <w:rFonts w:cs="Arial"/>
          <w:i w:val="0"/>
          <w:iCs w:val="0"/>
        </w:rPr>
      </w:pPr>
      <w:r w:rsidRPr="00C75991">
        <w:rPr>
          <w:color w:val="auto"/>
        </w:rPr>
        <w:t xml:space="preserve">Figure </w:t>
      </w:r>
      <w:r w:rsidRPr="00C75991">
        <w:rPr>
          <w:color w:val="auto"/>
        </w:rPr>
        <w:fldChar w:fldCharType="begin"/>
      </w:r>
      <w:r w:rsidRPr="00C75991">
        <w:rPr>
          <w:color w:val="auto"/>
        </w:rPr>
        <w:instrText xml:space="preserve"> SEQ Figure \* ARABIC </w:instrText>
      </w:r>
      <w:r w:rsidRPr="00C75991">
        <w:rPr>
          <w:color w:val="auto"/>
        </w:rPr>
        <w:fldChar w:fldCharType="separate"/>
      </w:r>
      <w:r w:rsidRPr="00C75991">
        <w:rPr>
          <w:noProof/>
          <w:color w:val="auto"/>
        </w:rPr>
        <w:t>1</w:t>
      </w:r>
      <w:r w:rsidRPr="00C75991">
        <w:rPr>
          <w:color w:val="auto"/>
        </w:rPr>
        <w:fldChar w:fldCharType="end"/>
      </w:r>
      <w:r w:rsidRPr="00C75991">
        <w:rPr>
          <w:color w:val="auto"/>
        </w:rPr>
        <w:t xml:space="preserve">. Feature count of Actinobacillus </w:t>
      </w:r>
      <w:r w:rsidRPr="00C75991">
        <w:rPr>
          <w:i w:val="0"/>
          <w:iCs w:val="0"/>
          <w:color w:val="auto"/>
        </w:rPr>
        <w:t xml:space="preserve">spp. in the stomach (A) and </w:t>
      </w:r>
      <w:r w:rsidRPr="00C75991">
        <w:rPr>
          <w:color w:val="auto"/>
        </w:rPr>
        <w:t xml:space="preserve">Ruminococcus </w:t>
      </w:r>
      <w:r w:rsidRPr="00C75991">
        <w:rPr>
          <w:i w:val="0"/>
          <w:iCs w:val="0"/>
          <w:color w:val="auto"/>
        </w:rPr>
        <w:t>spp. in the caecum in males and females through the different treatments.</w:t>
      </w:r>
    </w:p>
    <w:p w14:paraId="2CA435FF" w14:textId="3804B41A" w:rsidR="006129AB" w:rsidRDefault="006129AB" w:rsidP="00E80F85">
      <w:pPr>
        <w:pStyle w:val="Heading1"/>
      </w:pPr>
      <w:r w:rsidRPr="00415E20">
        <w:t>Conclusions</w:t>
      </w:r>
    </w:p>
    <w:p w14:paraId="7937920D" w14:textId="2F741A44" w:rsidR="00A52CF2" w:rsidRPr="0050044C" w:rsidRDefault="00095E94" w:rsidP="00A52CF2">
      <w:r>
        <w:t>T</w:t>
      </w:r>
      <w:r>
        <w:t xml:space="preserve">reatments targeting </w:t>
      </w:r>
      <w:r>
        <w:t xml:space="preserve">the </w:t>
      </w:r>
      <w:r>
        <w:t xml:space="preserve">modulation </w:t>
      </w:r>
      <w:r>
        <w:t xml:space="preserve">of gut microorganisms </w:t>
      </w:r>
      <w:r>
        <w:t xml:space="preserve">could achieve different effects in </w:t>
      </w:r>
      <w:r w:rsidR="00E2531F">
        <w:t xml:space="preserve">males and females, likely </w:t>
      </w:r>
      <w:r w:rsidR="00A52CF2">
        <w:t xml:space="preserve">due to differences in microbiota composition between </w:t>
      </w:r>
      <w:r w:rsidR="00E2531F">
        <w:t>the two sexes</w:t>
      </w:r>
      <w:r w:rsidR="00A52CF2">
        <w:t xml:space="preserve">. </w:t>
      </w:r>
      <w:r w:rsidR="00E5712E">
        <w:t>Amongst others, w</w:t>
      </w:r>
      <w:r w:rsidR="00A52CF2">
        <w:t xml:space="preserve">e found that </w:t>
      </w:r>
      <w:r w:rsidR="006E3DB8">
        <w:t xml:space="preserve">150ppm of </w:t>
      </w:r>
      <w:r w:rsidR="00E5712E">
        <w:t>PAA</w:t>
      </w:r>
      <w:r w:rsidR="006E3DB8">
        <w:t xml:space="preserve"> resulted in a reduction of </w:t>
      </w:r>
      <w:r w:rsidR="006E3DB8">
        <w:rPr>
          <w:i/>
          <w:iCs/>
        </w:rPr>
        <w:t>Actinobacillus</w:t>
      </w:r>
      <w:r w:rsidR="002D4880">
        <w:rPr>
          <w:i/>
          <w:iCs/>
        </w:rPr>
        <w:t xml:space="preserve"> </w:t>
      </w:r>
      <w:r w:rsidR="002D4880">
        <w:t>in the stomach</w:t>
      </w:r>
      <w:r w:rsidR="008A61F3">
        <w:t xml:space="preserve"> of</w:t>
      </w:r>
      <w:r w:rsidR="00657B61">
        <w:t xml:space="preserve"> </w:t>
      </w:r>
      <w:r w:rsidR="002D4880">
        <w:t>male pigs</w:t>
      </w:r>
      <w:r w:rsidR="008155C6">
        <w:t xml:space="preserve">. Interestingly </w:t>
      </w:r>
      <w:r w:rsidR="00611795">
        <w:t xml:space="preserve">this genus had </w:t>
      </w:r>
      <w:r w:rsidR="002D4880">
        <w:t xml:space="preserve">previously </w:t>
      </w:r>
      <w:r w:rsidR="00611795">
        <w:t xml:space="preserve">been </w:t>
      </w:r>
      <w:r w:rsidR="002D4880">
        <w:t>found in association to infection in porcine epidemic diarrhoea</w:t>
      </w:r>
      <w:r w:rsidR="00E52DFB">
        <w:t xml:space="preserve"> (Tan </w:t>
      </w:r>
      <w:r w:rsidR="00E52DFB">
        <w:rPr>
          <w:i/>
          <w:iCs/>
        </w:rPr>
        <w:t>et al.</w:t>
      </w:r>
      <w:r w:rsidR="00E52DFB">
        <w:t>, 2020)</w:t>
      </w:r>
      <w:r w:rsidR="008155C6">
        <w:t>, likely pointing to</w:t>
      </w:r>
      <w:r w:rsidR="00657B61">
        <w:t>wards a beneficial effect of this PAA level of inclusion in males</w:t>
      </w:r>
      <w:r w:rsidR="002D4880">
        <w:t>.</w:t>
      </w:r>
      <w:r w:rsidR="00E10E26">
        <w:t xml:space="preserve"> In parallel, we found that </w:t>
      </w:r>
      <w:r w:rsidR="00E10E26">
        <w:rPr>
          <w:i/>
          <w:iCs/>
        </w:rPr>
        <w:t>Lactobacillus</w:t>
      </w:r>
      <w:r w:rsidR="00E10E26">
        <w:t xml:space="preserve">, whose enrichment in the lower gut is usually associated </w:t>
      </w:r>
      <w:r w:rsidR="00573400">
        <w:t xml:space="preserve">with </w:t>
      </w:r>
      <w:r w:rsidR="00E10E26">
        <w:t xml:space="preserve">healthier pigs was more abundant in females than males in general, whilst </w:t>
      </w:r>
      <w:r w:rsidR="0050044C">
        <w:t>probiotic</w:t>
      </w:r>
      <w:r w:rsidR="00894AA8">
        <w:t xml:space="preserve"> genera</w:t>
      </w:r>
      <w:r w:rsidR="0050044C">
        <w:t xml:space="preserve">, such </w:t>
      </w:r>
      <w:r w:rsidR="0050044C">
        <w:rPr>
          <w:i/>
          <w:iCs/>
        </w:rPr>
        <w:t>Ruminococcus</w:t>
      </w:r>
      <w:r w:rsidR="0050044C">
        <w:t xml:space="preserve"> </w:t>
      </w:r>
      <w:r w:rsidR="009F6782">
        <w:t xml:space="preserve">(Sun </w:t>
      </w:r>
      <w:r w:rsidR="009F6782">
        <w:rPr>
          <w:i/>
          <w:iCs/>
        </w:rPr>
        <w:t>et al.</w:t>
      </w:r>
      <w:r w:rsidR="009F6782">
        <w:t>, 2019)</w:t>
      </w:r>
      <w:r w:rsidR="009F6782">
        <w:rPr>
          <w:i/>
          <w:iCs/>
        </w:rPr>
        <w:t xml:space="preserve"> </w:t>
      </w:r>
      <w:r w:rsidR="00407160">
        <w:t>were reduced in both females and males given ZnO.</w:t>
      </w:r>
      <w:r w:rsidR="00B50ECD">
        <w:t xml:space="preserve"> Our findings could </w:t>
      </w:r>
      <w:r w:rsidR="00586C2D">
        <w:t xml:space="preserve">thus </w:t>
      </w:r>
      <w:r w:rsidR="00B50ECD">
        <w:t xml:space="preserve">indicate that </w:t>
      </w:r>
      <w:r w:rsidR="00586C2D">
        <w:t>interventions</w:t>
      </w:r>
      <w:r w:rsidR="006F0D19">
        <w:t xml:space="preserve"> based on the modulation of the gut</w:t>
      </w:r>
      <w:r w:rsidR="007E2C06">
        <w:t xml:space="preserve"> </w:t>
      </w:r>
      <w:r w:rsidR="00A80B05">
        <w:t>microbiota</w:t>
      </w:r>
      <w:r w:rsidR="007E2C06">
        <w:t xml:space="preserve"> may benefit from being sex-</w:t>
      </w:r>
      <w:r w:rsidR="008A61F3">
        <w:t>ta</w:t>
      </w:r>
      <w:r w:rsidR="006F0D19">
        <w:t>ilored</w:t>
      </w:r>
      <w:r w:rsidR="003A73E1">
        <w:t xml:space="preserve"> in order </w:t>
      </w:r>
      <w:r w:rsidR="007E2C06">
        <w:t xml:space="preserve">to </w:t>
      </w:r>
      <w:r w:rsidR="00B50ECD">
        <w:t>enhance the</w:t>
      </w:r>
      <w:r w:rsidR="007E2C06">
        <w:t>ir</w:t>
      </w:r>
      <w:r w:rsidR="00B50ECD">
        <w:t xml:space="preserve"> therapeutic effect.</w:t>
      </w:r>
    </w:p>
    <w:p w14:paraId="2D5036DD" w14:textId="6E6B7DAC" w:rsidR="006129AB" w:rsidRDefault="006129AB" w:rsidP="00E80F85">
      <w:pPr>
        <w:pStyle w:val="Heading1"/>
      </w:pPr>
      <w:r w:rsidRPr="00415E20">
        <w:t>Acknowledgments</w:t>
      </w:r>
    </w:p>
    <w:p w14:paraId="1BF79D47" w14:textId="5395DFC4" w:rsidR="003E2D44" w:rsidRPr="003E2D44" w:rsidRDefault="00ED770D" w:rsidP="003E2D44">
      <w:r w:rsidRPr="00ED770D">
        <w:t xml:space="preserve">This work was </w:t>
      </w:r>
      <w:r w:rsidR="007E2C06">
        <w:t xml:space="preserve">funded through </w:t>
      </w:r>
      <w:r w:rsidRPr="00ED770D">
        <w:t>CIEL</w:t>
      </w:r>
      <w:r w:rsidR="007E2C06">
        <w:t xml:space="preserve"> (s</w:t>
      </w:r>
      <w:r w:rsidRPr="00ED770D">
        <w:t>eed grant funding scheme</w:t>
      </w:r>
      <w:r w:rsidR="007E2C06">
        <w:t>)</w:t>
      </w:r>
      <w:r w:rsidRPr="00ED770D">
        <w:t>. SRUC receives support from Scottish Government (RESAS).</w:t>
      </w:r>
    </w:p>
    <w:p w14:paraId="7B37822F" w14:textId="4E5FC350" w:rsidR="006129AB" w:rsidRPr="00415E20" w:rsidRDefault="006129AB" w:rsidP="00E80F85">
      <w:pPr>
        <w:pStyle w:val="Heading1"/>
      </w:pPr>
      <w:r w:rsidRPr="00415E20">
        <w:lastRenderedPageBreak/>
        <w:t>References</w:t>
      </w:r>
    </w:p>
    <w:p w14:paraId="6A1519B0" w14:textId="2FCABAEE" w:rsidR="00E52DFB" w:rsidRDefault="00E52DFB">
      <w:pPr>
        <w:rPr>
          <w:rFonts w:cs="Arial"/>
        </w:rPr>
      </w:pPr>
      <w:bookmarkStart w:id="1" w:name="_Hlk151093625"/>
      <w:r w:rsidRPr="00E52DFB">
        <w:rPr>
          <w:rFonts w:cs="Arial"/>
        </w:rPr>
        <w:t>Galgano,</w:t>
      </w:r>
      <w:r w:rsidR="00DF5CFD">
        <w:rPr>
          <w:rFonts w:cs="Arial"/>
        </w:rPr>
        <w:t xml:space="preserve"> Conway L.,</w:t>
      </w:r>
      <w:r w:rsidRPr="00E52DFB">
        <w:rPr>
          <w:rFonts w:cs="Arial"/>
        </w:rPr>
        <w:t xml:space="preserve"> Fellows, A., and Houdijk, J.G.M. (202</w:t>
      </w:r>
      <w:r w:rsidR="00DF5CFD">
        <w:rPr>
          <w:rFonts w:cs="Arial"/>
        </w:rPr>
        <w:t>3</w:t>
      </w:r>
      <w:r w:rsidRPr="00E52DFB">
        <w:rPr>
          <w:rFonts w:cs="Arial"/>
        </w:rPr>
        <w:t xml:space="preserve">). </w:t>
      </w:r>
      <w:r w:rsidR="00DF5CFD" w:rsidRPr="00DF5CFD">
        <w:rPr>
          <w:rFonts w:cs="Arial"/>
        </w:rPr>
        <w:t>Animal - science proceedings. 14, 2, p. 361-362</w:t>
      </w:r>
      <w:r w:rsidRPr="00E52DFB">
        <w:rPr>
          <w:rFonts w:cs="Arial"/>
        </w:rPr>
        <w:t>.</w:t>
      </w:r>
      <w:bookmarkEnd w:id="1"/>
    </w:p>
    <w:p w14:paraId="2C5750AA" w14:textId="77777777" w:rsidR="00063EDA" w:rsidRDefault="00063EDA" w:rsidP="00063EDA">
      <w:pPr>
        <w:rPr>
          <w:rFonts w:cs="Arial"/>
        </w:rPr>
      </w:pPr>
      <w:r w:rsidRPr="00E52DFB">
        <w:rPr>
          <w:rFonts w:cs="Arial"/>
        </w:rPr>
        <w:t>Tan</w:t>
      </w:r>
      <w:r>
        <w:rPr>
          <w:rFonts w:cs="Arial"/>
        </w:rPr>
        <w:t xml:space="preserve"> Z.</w:t>
      </w:r>
      <w:r w:rsidRPr="00E52DFB">
        <w:rPr>
          <w:rFonts w:cs="Arial"/>
        </w:rPr>
        <w:t>, Dong</w:t>
      </w:r>
      <w:r>
        <w:rPr>
          <w:rFonts w:cs="Arial"/>
        </w:rPr>
        <w:t xml:space="preserve"> W.</w:t>
      </w:r>
      <w:r w:rsidRPr="00E52DFB">
        <w:rPr>
          <w:rFonts w:cs="Arial"/>
        </w:rPr>
        <w:t>, Ding</w:t>
      </w:r>
      <w:r>
        <w:rPr>
          <w:rFonts w:cs="Arial"/>
        </w:rPr>
        <w:t xml:space="preserve"> </w:t>
      </w:r>
      <w:r w:rsidRPr="00E52DFB">
        <w:rPr>
          <w:rFonts w:cs="Arial"/>
        </w:rPr>
        <w:t>Y</w:t>
      </w:r>
      <w:r>
        <w:rPr>
          <w:rFonts w:cs="Arial"/>
        </w:rPr>
        <w:t>.</w:t>
      </w:r>
      <w:r w:rsidRPr="00E52DFB">
        <w:rPr>
          <w:rFonts w:cs="Arial"/>
        </w:rPr>
        <w:t>,</w:t>
      </w:r>
      <w:r>
        <w:rPr>
          <w:rFonts w:cs="Arial"/>
        </w:rPr>
        <w:t xml:space="preserve"> </w:t>
      </w:r>
      <w:r w:rsidRPr="00E52DFB">
        <w:rPr>
          <w:rFonts w:cs="Arial"/>
        </w:rPr>
        <w:t>Ding</w:t>
      </w:r>
      <w:r>
        <w:rPr>
          <w:rFonts w:cs="Arial"/>
        </w:rPr>
        <w:t xml:space="preserve"> </w:t>
      </w:r>
      <w:r w:rsidRPr="00E52DFB">
        <w:rPr>
          <w:rFonts w:cs="Arial"/>
        </w:rPr>
        <w:t>X</w:t>
      </w:r>
      <w:r>
        <w:rPr>
          <w:rFonts w:cs="Arial"/>
        </w:rPr>
        <w:t>.</w:t>
      </w:r>
      <w:r w:rsidRPr="00E52DFB">
        <w:rPr>
          <w:rFonts w:cs="Arial"/>
        </w:rPr>
        <w:t>, Zhang</w:t>
      </w:r>
      <w:r>
        <w:rPr>
          <w:rFonts w:cs="Arial"/>
        </w:rPr>
        <w:t xml:space="preserve"> </w:t>
      </w:r>
      <w:r w:rsidRPr="00E52DFB">
        <w:rPr>
          <w:rFonts w:cs="Arial"/>
        </w:rPr>
        <w:t>Q</w:t>
      </w:r>
      <w:r>
        <w:rPr>
          <w:rFonts w:cs="Arial"/>
        </w:rPr>
        <w:t xml:space="preserve">. </w:t>
      </w:r>
      <w:r w:rsidRPr="00E52DFB">
        <w:rPr>
          <w:rFonts w:cs="Arial"/>
        </w:rPr>
        <w:t>and Jiang</w:t>
      </w:r>
      <w:r>
        <w:rPr>
          <w:rFonts w:cs="Arial"/>
        </w:rPr>
        <w:t xml:space="preserve"> </w:t>
      </w:r>
      <w:r w:rsidRPr="00E52DFB">
        <w:rPr>
          <w:rFonts w:cs="Arial"/>
        </w:rPr>
        <w:t>L</w:t>
      </w:r>
      <w:r>
        <w:rPr>
          <w:rFonts w:cs="Arial"/>
        </w:rPr>
        <w:t>. (2020).Genes (Basel) 11(1): 44.</w:t>
      </w:r>
    </w:p>
    <w:p w14:paraId="0B20C3EB" w14:textId="0090E077" w:rsidR="009F6782" w:rsidRDefault="009F6782" w:rsidP="00063EDA">
      <w:pPr>
        <w:rPr>
          <w:rFonts w:cs="Arial"/>
        </w:rPr>
      </w:pPr>
      <w:r w:rsidRPr="009F6782">
        <w:rPr>
          <w:rFonts w:cs="Arial"/>
        </w:rPr>
        <w:t>Sun</w:t>
      </w:r>
      <w:r w:rsidR="00A36669">
        <w:rPr>
          <w:rFonts w:cs="Arial"/>
        </w:rPr>
        <w:t xml:space="preserve"> </w:t>
      </w:r>
      <w:r w:rsidR="00A36669" w:rsidRPr="009F6782">
        <w:rPr>
          <w:rFonts w:cs="Arial"/>
        </w:rPr>
        <w:t>J</w:t>
      </w:r>
      <w:r w:rsidR="00A36669">
        <w:rPr>
          <w:rFonts w:cs="Arial"/>
        </w:rPr>
        <w:t>.</w:t>
      </w:r>
      <w:r w:rsidRPr="009F6782">
        <w:rPr>
          <w:rFonts w:cs="Arial"/>
        </w:rPr>
        <w:t>, Du</w:t>
      </w:r>
      <w:r w:rsidR="00A36669">
        <w:rPr>
          <w:rFonts w:cs="Arial"/>
        </w:rPr>
        <w:t xml:space="preserve"> </w:t>
      </w:r>
      <w:r w:rsidR="00A36669" w:rsidRPr="009F6782">
        <w:rPr>
          <w:rFonts w:cs="Arial"/>
        </w:rPr>
        <w:t>L</w:t>
      </w:r>
      <w:r w:rsidR="00A36669">
        <w:rPr>
          <w:rFonts w:cs="Arial"/>
        </w:rPr>
        <w:t>.</w:t>
      </w:r>
      <w:r w:rsidRPr="009F6782">
        <w:rPr>
          <w:rFonts w:cs="Arial"/>
        </w:rPr>
        <w:t>,</w:t>
      </w:r>
      <w:r w:rsidR="00A36669">
        <w:rPr>
          <w:rFonts w:cs="Arial"/>
        </w:rPr>
        <w:t xml:space="preserve"> </w:t>
      </w:r>
      <w:r w:rsidRPr="009F6782">
        <w:rPr>
          <w:rFonts w:cs="Arial"/>
        </w:rPr>
        <w:t>Li</w:t>
      </w:r>
      <w:r w:rsidR="00A36669">
        <w:rPr>
          <w:rFonts w:cs="Arial"/>
        </w:rPr>
        <w:t xml:space="preserve"> X.</w:t>
      </w:r>
      <w:r w:rsidRPr="009F6782">
        <w:rPr>
          <w:rFonts w:cs="Arial"/>
        </w:rPr>
        <w:t>,</w:t>
      </w:r>
      <w:r w:rsidR="00A36669">
        <w:rPr>
          <w:rFonts w:cs="Arial"/>
        </w:rPr>
        <w:t xml:space="preserve"> </w:t>
      </w:r>
      <w:r w:rsidRPr="009F6782">
        <w:rPr>
          <w:rFonts w:cs="Arial"/>
        </w:rPr>
        <w:t>Zhong</w:t>
      </w:r>
      <w:r w:rsidR="00A36669">
        <w:rPr>
          <w:rFonts w:cs="Arial"/>
        </w:rPr>
        <w:t xml:space="preserve"> H.</w:t>
      </w:r>
      <w:r w:rsidRPr="009F6782">
        <w:rPr>
          <w:rFonts w:cs="Arial"/>
        </w:rPr>
        <w:t>,</w:t>
      </w:r>
      <w:r w:rsidR="00A36669">
        <w:rPr>
          <w:rFonts w:cs="Arial"/>
        </w:rPr>
        <w:t xml:space="preserve"> </w:t>
      </w:r>
      <w:r w:rsidRPr="009F6782">
        <w:rPr>
          <w:rFonts w:cs="Arial"/>
        </w:rPr>
        <w:t>Ding</w:t>
      </w:r>
      <w:r w:rsidR="00A36669">
        <w:rPr>
          <w:rFonts w:cs="Arial"/>
        </w:rPr>
        <w:t xml:space="preserve"> Y.</w:t>
      </w:r>
      <w:r w:rsidRPr="009F6782">
        <w:rPr>
          <w:rFonts w:cs="Arial"/>
        </w:rPr>
        <w:t>, Liu</w:t>
      </w:r>
      <w:r w:rsidR="00A36669">
        <w:rPr>
          <w:rFonts w:cs="Arial"/>
        </w:rPr>
        <w:t xml:space="preserve"> Z. </w:t>
      </w:r>
      <w:r w:rsidRPr="009F6782">
        <w:rPr>
          <w:rFonts w:cs="Arial"/>
        </w:rPr>
        <w:t>and Ge</w:t>
      </w:r>
      <w:r w:rsidR="00A36669">
        <w:rPr>
          <w:rFonts w:cs="Arial"/>
        </w:rPr>
        <w:t xml:space="preserve"> L. (2019). Scientific Reports </w:t>
      </w:r>
      <w:r w:rsidR="00A36669" w:rsidRPr="00A36669">
        <w:rPr>
          <w:rFonts w:cs="Arial"/>
        </w:rPr>
        <w:t>9: 18675</w:t>
      </w:r>
      <w:r w:rsidR="000664F6">
        <w:rPr>
          <w:rFonts w:cs="Arial"/>
        </w:rPr>
        <w:t>.</w:t>
      </w:r>
    </w:p>
    <w:sectPr w:rsidR="009F6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21"/>
    <w:rsid w:val="00001591"/>
    <w:rsid w:val="00015CA5"/>
    <w:rsid w:val="00023FF4"/>
    <w:rsid w:val="00040B6D"/>
    <w:rsid w:val="00063EDA"/>
    <w:rsid w:val="000664F6"/>
    <w:rsid w:val="00086347"/>
    <w:rsid w:val="000878F6"/>
    <w:rsid w:val="00095E94"/>
    <w:rsid w:val="000B1EEE"/>
    <w:rsid w:val="000B2A2B"/>
    <w:rsid w:val="000D545E"/>
    <w:rsid w:val="001244BD"/>
    <w:rsid w:val="00133091"/>
    <w:rsid w:val="00142E1E"/>
    <w:rsid w:val="0019524C"/>
    <w:rsid w:val="001B0B7D"/>
    <w:rsid w:val="001C6418"/>
    <w:rsid w:val="001D4E42"/>
    <w:rsid w:val="001E4A9E"/>
    <w:rsid w:val="001F7C0F"/>
    <w:rsid w:val="002118DA"/>
    <w:rsid w:val="00230FEC"/>
    <w:rsid w:val="002401BA"/>
    <w:rsid w:val="0026659A"/>
    <w:rsid w:val="002A1141"/>
    <w:rsid w:val="002C4100"/>
    <w:rsid w:val="002D4880"/>
    <w:rsid w:val="002E584C"/>
    <w:rsid w:val="002F033D"/>
    <w:rsid w:val="00306C46"/>
    <w:rsid w:val="00353BF6"/>
    <w:rsid w:val="003575DA"/>
    <w:rsid w:val="00362F02"/>
    <w:rsid w:val="00365C18"/>
    <w:rsid w:val="003866FD"/>
    <w:rsid w:val="003A73E1"/>
    <w:rsid w:val="003A7595"/>
    <w:rsid w:val="003B39CF"/>
    <w:rsid w:val="003C0E29"/>
    <w:rsid w:val="003E2D44"/>
    <w:rsid w:val="003F5729"/>
    <w:rsid w:val="004029EB"/>
    <w:rsid w:val="00407160"/>
    <w:rsid w:val="00415E20"/>
    <w:rsid w:val="00432CBE"/>
    <w:rsid w:val="004424B7"/>
    <w:rsid w:val="0044570C"/>
    <w:rsid w:val="00462812"/>
    <w:rsid w:val="00473702"/>
    <w:rsid w:val="00482386"/>
    <w:rsid w:val="004846E7"/>
    <w:rsid w:val="004B521C"/>
    <w:rsid w:val="0050044C"/>
    <w:rsid w:val="0051481B"/>
    <w:rsid w:val="0055333D"/>
    <w:rsid w:val="00573400"/>
    <w:rsid w:val="00586C2D"/>
    <w:rsid w:val="005A3293"/>
    <w:rsid w:val="005A3CD1"/>
    <w:rsid w:val="00600D83"/>
    <w:rsid w:val="00611795"/>
    <w:rsid w:val="006129AB"/>
    <w:rsid w:val="00646C61"/>
    <w:rsid w:val="00657B61"/>
    <w:rsid w:val="00686CC2"/>
    <w:rsid w:val="006A1707"/>
    <w:rsid w:val="006A2F8A"/>
    <w:rsid w:val="006A4687"/>
    <w:rsid w:val="006A5179"/>
    <w:rsid w:val="006C0508"/>
    <w:rsid w:val="006D5357"/>
    <w:rsid w:val="006D5402"/>
    <w:rsid w:val="006E1D4E"/>
    <w:rsid w:val="006E39D0"/>
    <w:rsid w:val="006E3DB8"/>
    <w:rsid w:val="006F0D19"/>
    <w:rsid w:val="00734639"/>
    <w:rsid w:val="00753EDB"/>
    <w:rsid w:val="007739C8"/>
    <w:rsid w:val="00787B77"/>
    <w:rsid w:val="007E2C06"/>
    <w:rsid w:val="007E6F7A"/>
    <w:rsid w:val="008155C6"/>
    <w:rsid w:val="00894AA8"/>
    <w:rsid w:val="008A61F3"/>
    <w:rsid w:val="008B31D7"/>
    <w:rsid w:val="008C210B"/>
    <w:rsid w:val="00910C0F"/>
    <w:rsid w:val="00911A52"/>
    <w:rsid w:val="00934FBE"/>
    <w:rsid w:val="0094258B"/>
    <w:rsid w:val="0097090D"/>
    <w:rsid w:val="0099002F"/>
    <w:rsid w:val="009A35BB"/>
    <w:rsid w:val="009F6782"/>
    <w:rsid w:val="00A0570C"/>
    <w:rsid w:val="00A36669"/>
    <w:rsid w:val="00A52CF2"/>
    <w:rsid w:val="00A54CE3"/>
    <w:rsid w:val="00A73E58"/>
    <w:rsid w:val="00A80B05"/>
    <w:rsid w:val="00A97A72"/>
    <w:rsid w:val="00A97F7A"/>
    <w:rsid w:val="00AF4FAD"/>
    <w:rsid w:val="00AF71EA"/>
    <w:rsid w:val="00B269E6"/>
    <w:rsid w:val="00B50ECD"/>
    <w:rsid w:val="00B5684E"/>
    <w:rsid w:val="00B80EA1"/>
    <w:rsid w:val="00BE08FB"/>
    <w:rsid w:val="00C30021"/>
    <w:rsid w:val="00C33790"/>
    <w:rsid w:val="00C40964"/>
    <w:rsid w:val="00C43925"/>
    <w:rsid w:val="00C67F5E"/>
    <w:rsid w:val="00C75991"/>
    <w:rsid w:val="00CA0A28"/>
    <w:rsid w:val="00CE2B1D"/>
    <w:rsid w:val="00CF4E0A"/>
    <w:rsid w:val="00D15AA9"/>
    <w:rsid w:val="00D15ACE"/>
    <w:rsid w:val="00D30916"/>
    <w:rsid w:val="00D85CA0"/>
    <w:rsid w:val="00D86F65"/>
    <w:rsid w:val="00DC7542"/>
    <w:rsid w:val="00DF5CFD"/>
    <w:rsid w:val="00E004B1"/>
    <w:rsid w:val="00E10E26"/>
    <w:rsid w:val="00E2531F"/>
    <w:rsid w:val="00E31889"/>
    <w:rsid w:val="00E41018"/>
    <w:rsid w:val="00E467E5"/>
    <w:rsid w:val="00E52DFB"/>
    <w:rsid w:val="00E5712E"/>
    <w:rsid w:val="00E80F85"/>
    <w:rsid w:val="00EB41C8"/>
    <w:rsid w:val="00EB532F"/>
    <w:rsid w:val="00EB5FF4"/>
    <w:rsid w:val="00ED770D"/>
    <w:rsid w:val="00EE5BD5"/>
    <w:rsid w:val="00F355B9"/>
    <w:rsid w:val="00F66178"/>
    <w:rsid w:val="00F8407A"/>
    <w:rsid w:val="00FE33E8"/>
    <w:rsid w:val="00FE5703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B0B1F"/>
  <w14:defaultImageDpi w14:val="32767"/>
  <w15:chartTrackingRefBased/>
  <w15:docId w15:val="{B5FAC062-883F-4E49-BC65-E5186DB6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90D"/>
    <w:pPr>
      <w:spacing w:before="120"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F85"/>
    <w:pPr>
      <w:spacing w:after="240"/>
      <w:outlineLvl w:val="0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F85"/>
    <w:rPr>
      <w:rFonts w:ascii="Arial" w:hAnsi="Arial" w:cs="Arial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E52D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D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1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179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179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795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4100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6A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75991"/>
    <w:pPr>
      <w:spacing w:before="0"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89B24-29FB-4312-BEF5-CC2F0702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Galgano</dc:creator>
  <cp:keywords/>
  <dc:description/>
  <cp:lastModifiedBy>Salvatore Galgano</cp:lastModifiedBy>
  <cp:revision>66</cp:revision>
  <dcterms:created xsi:type="dcterms:W3CDTF">2024-01-12T14:31:00Z</dcterms:created>
  <dcterms:modified xsi:type="dcterms:W3CDTF">2024-01-12T15:59:00Z</dcterms:modified>
</cp:coreProperties>
</file>