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7C79B" w14:textId="2D62BF00" w:rsidR="007B30E3" w:rsidRDefault="007B30E3">
      <w:pPr>
        <w:rPr>
          <w:b/>
          <w:bCs/>
          <w:lang w:val="en-US"/>
        </w:rPr>
      </w:pPr>
      <w:r>
        <w:rPr>
          <w:b/>
          <w:bCs/>
          <w:lang w:val="en-US"/>
        </w:rPr>
        <w:t>Application</w:t>
      </w:r>
    </w:p>
    <w:p w14:paraId="07C9ECB3" w14:textId="4F173C77" w:rsidR="007B30E3" w:rsidRPr="001151FD" w:rsidRDefault="001151FD" w:rsidP="001151FD">
      <w:pPr>
        <w:ind w:left="-426"/>
        <w:rPr>
          <w:sz w:val="18"/>
          <w:szCs w:val="18"/>
          <w:lang w:val="en-US"/>
        </w:rPr>
      </w:pPr>
      <w:r w:rsidRPr="000D52D9">
        <w:rPr>
          <w:sz w:val="18"/>
          <w:szCs w:val="18"/>
          <w:lang w:val="en-US"/>
        </w:rPr>
        <w:t xml:space="preserve">This work attempts to understand the nature of a poor gut health phenotype </w:t>
      </w:r>
      <w:r>
        <w:rPr>
          <w:sz w:val="18"/>
          <w:szCs w:val="18"/>
          <w:lang w:val="en-US"/>
        </w:rPr>
        <w:t xml:space="preserve">present in </w:t>
      </w:r>
      <w:r w:rsidRPr="000D52D9">
        <w:rPr>
          <w:sz w:val="18"/>
          <w:szCs w:val="18"/>
          <w:lang w:val="en-US"/>
        </w:rPr>
        <w:t xml:space="preserve">a pedigree broiler </w:t>
      </w:r>
      <w:r>
        <w:rPr>
          <w:sz w:val="18"/>
          <w:szCs w:val="18"/>
          <w:lang w:val="en-US"/>
        </w:rPr>
        <w:t xml:space="preserve">chicken </w:t>
      </w:r>
      <w:r w:rsidRPr="000D52D9">
        <w:rPr>
          <w:sz w:val="18"/>
          <w:szCs w:val="18"/>
          <w:lang w:val="en-US"/>
        </w:rPr>
        <w:t>line</w:t>
      </w:r>
      <w:r>
        <w:rPr>
          <w:sz w:val="18"/>
          <w:szCs w:val="18"/>
          <w:lang w:val="en-US"/>
        </w:rPr>
        <w:t xml:space="preserve"> and</w:t>
      </w:r>
      <w:r w:rsidRPr="000D52D9">
        <w:rPr>
          <w:sz w:val="18"/>
          <w:szCs w:val="18"/>
          <w:lang w:val="en-US"/>
        </w:rPr>
        <w:t xml:space="preserve"> test the association of intestinal dysbiosis with gut permeability and systemic</w:t>
      </w:r>
      <w:r>
        <w:rPr>
          <w:sz w:val="18"/>
          <w:szCs w:val="18"/>
          <w:lang w:val="en-US"/>
        </w:rPr>
        <w:t xml:space="preserve"> bacterial</w:t>
      </w:r>
      <w:r w:rsidRPr="000D52D9">
        <w:rPr>
          <w:sz w:val="18"/>
          <w:szCs w:val="18"/>
          <w:lang w:val="en-US"/>
        </w:rPr>
        <w:t xml:space="preserve"> infection.</w:t>
      </w:r>
    </w:p>
    <w:p w14:paraId="5E9F33D1" w14:textId="5CDACFAB" w:rsidR="007B30E3" w:rsidRDefault="007B30E3">
      <w:pPr>
        <w:rPr>
          <w:b/>
          <w:bCs/>
          <w:lang w:val="en-US"/>
        </w:rPr>
      </w:pPr>
      <w:r>
        <w:rPr>
          <w:b/>
          <w:bCs/>
          <w:lang w:val="en-US"/>
        </w:rPr>
        <w:t>Introduction</w:t>
      </w:r>
    </w:p>
    <w:p w14:paraId="167B5498" w14:textId="59D31D56" w:rsidR="007B30E3" w:rsidRPr="001151FD" w:rsidRDefault="001151FD" w:rsidP="001151FD">
      <w:pPr>
        <w:ind w:left="-426"/>
        <w:rPr>
          <w:sz w:val="18"/>
          <w:szCs w:val="18"/>
          <w:lang w:val="en-US"/>
        </w:rPr>
      </w:pPr>
      <w:r w:rsidRPr="001151FD">
        <w:rPr>
          <w:sz w:val="18"/>
          <w:szCs w:val="18"/>
          <w:lang w:val="en-US"/>
        </w:rPr>
        <w:t>Poor gut health poses a serious welfare consideration for broiler chickens. Intestinal dysbiosis (or dysbacteriosis) (</w:t>
      </w:r>
      <w:proofErr w:type="spellStart"/>
      <w:r w:rsidRPr="001151FD">
        <w:rPr>
          <w:sz w:val="18"/>
          <w:szCs w:val="18"/>
          <w:lang w:val="en-US"/>
        </w:rPr>
        <w:t>Teirlynck</w:t>
      </w:r>
      <w:proofErr w:type="spellEnd"/>
      <w:r w:rsidRPr="001151FD">
        <w:rPr>
          <w:sz w:val="18"/>
          <w:szCs w:val="18"/>
          <w:lang w:val="en-US"/>
        </w:rPr>
        <w:t xml:space="preserve"> et al., 2011) describes an ill-defined syndrome that is generally characterized by disruption of the gut microbiome, and typically occurs around the first 20-30 days of life. Intestinal dysbiosis has been associated with gut leakage and increased bacterial colonization of the liver (Tellez et al., 2014; Di Vincenzo et al., 2023). This project aims to study naturally occurring intestinal dysbiosis in broiler chickens reared under farm conditions</w:t>
      </w:r>
      <w:r w:rsidR="003A3CBE">
        <w:rPr>
          <w:sz w:val="18"/>
          <w:szCs w:val="18"/>
          <w:lang w:val="en-US"/>
        </w:rPr>
        <w:t>,</w:t>
      </w:r>
      <w:r w:rsidRPr="001151FD">
        <w:rPr>
          <w:sz w:val="18"/>
          <w:szCs w:val="18"/>
          <w:lang w:val="en-US"/>
        </w:rPr>
        <w:t xml:space="preserve"> us</w:t>
      </w:r>
      <w:r w:rsidR="003A3CBE">
        <w:rPr>
          <w:sz w:val="18"/>
          <w:szCs w:val="18"/>
          <w:lang w:val="en-US"/>
        </w:rPr>
        <w:t xml:space="preserve">ing the natural </w:t>
      </w:r>
      <w:r w:rsidR="00B41535">
        <w:rPr>
          <w:sz w:val="18"/>
          <w:szCs w:val="18"/>
          <w:lang w:val="en-US"/>
        </w:rPr>
        <w:t xml:space="preserve">phenotypical </w:t>
      </w:r>
      <w:r w:rsidR="003A3CBE">
        <w:rPr>
          <w:sz w:val="18"/>
          <w:szCs w:val="18"/>
          <w:lang w:val="en-US"/>
        </w:rPr>
        <w:t>variation</w:t>
      </w:r>
      <w:r w:rsidR="008F049F">
        <w:rPr>
          <w:sz w:val="18"/>
          <w:szCs w:val="18"/>
          <w:lang w:val="en-US"/>
        </w:rPr>
        <w:t xml:space="preserve"> observed</w:t>
      </w:r>
      <w:r w:rsidR="003A3CBE">
        <w:rPr>
          <w:sz w:val="18"/>
          <w:szCs w:val="18"/>
          <w:lang w:val="en-US"/>
        </w:rPr>
        <w:t xml:space="preserve"> within</w:t>
      </w:r>
      <w:r w:rsidRPr="001151FD">
        <w:rPr>
          <w:sz w:val="18"/>
          <w:szCs w:val="18"/>
          <w:lang w:val="en-US"/>
        </w:rPr>
        <w:t xml:space="preserve"> a pedigree chicken line.</w:t>
      </w:r>
    </w:p>
    <w:p w14:paraId="1F63B1C6" w14:textId="70D2D108" w:rsidR="007B30E3" w:rsidRDefault="007B30E3">
      <w:pPr>
        <w:rPr>
          <w:b/>
          <w:bCs/>
          <w:lang w:val="en-US"/>
        </w:rPr>
      </w:pPr>
      <w:r>
        <w:rPr>
          <w:b/>
          <w:bCs/>
          <w:lang w:val="en-US"/>
        </w:rPr>
        <w:t>Materials and Methods</w:t>
      </w:r>
    </w:p>
    <w:p w14:paraId="31DE43A2" w14:textId="1F134579" w:rsidR="007B30E3" w:rsidRPr="001151FD" w:rsidRDefault="001151FD" w:rsidP="001151FD">
      <w:pPr>
        <w:ind w:left="-426" w:right="-591"/>
        <w:rPr>
          <w:sz w:val="18"/>
          <w:szCs w:val="18"/>
        </w:rPr>
      </w:pPr>
      <w:r w:rsidRPr="00556D10">
        <w:rPr>
          <w:sz w:val="18"/>
          <w:szCs w:val="18"/>
          <w:lang w:val="en-US"/>
        </w:rPr>
        <w:t xml:space="preserve">A group of </w:t>
      </w:r>
      <w:r>
        <w:rPr>
          <w:sz w:val="18"/>
          <w:szCs w:val="18"/>
          <w:lang w:val="en-US"/>
        </w:rPr>
        <w:t xml:space="preserve">210 one-day-old male pedigree broiler chickens were housed in a single pen under controlled commercial conditions. They were allowed to grow with ad-libitum access to a standard broiler diet for a period of five weeks, including starter, grower and finisher phases. Blood samples were collected </w:t>
      </w:r>
      <w:r w:rsidRPr="00D37BFD">
        <w:rPr>
          <w:sz w:val="18"/>
          <w:szCs w:val="18"/>
        </w:rPr>
        <w:t>from every chicken</w:t>
      </w:r>
      <w:r>
        <w:rPr>
          <w:sz w:val="18"/>
          <w:szCs w:val="18"/>
          <w:lang w:val="en-US"/>
        </w:rPr>
        <w:t xml:space="preserve"> on days</w:t>
      </w:r>
      <w:r w:rsidR="00060AB2">
        <w:rPr>
          <w:sz w:val="18"/>
          <w:szCs w:val="18"/>
          <w:lang w:val="en-US"/>
        </w:rPr>
        <w:t xml:space="preserve"> </w:t>
      </w:r>
      <w:r w:rsidRPr="00D37BFD">
        <w:rPr>
          <w:sz w:val="18"/>
          <w:szCs w:val="18"/>
        </w:rPr>
        <w:t>15</w:t>
      </w:r>
      <w:r>
        <w:rPr>
          <w:sz w:val="18"/>
          <w:szCs w:val="18"/>
        </w:rPr>
        <w:t xml:space="preserve"> and</w:t>
      </w:r>
      <w:r w:rsidRPr="00D37BFD">
        <w:rPr>
          <w:sz w:val="18"/>
          <w:szCs w:val="18"/>
        </w:rPr>
        <w:t xml:space="preserve"> 28</w:t>
      </w:r>
      <w:r>
        <w:rPr>
          <w:sz w:val="18"/>
          <w:szCs w:val="18"/>
        </w:rPr>
        <w:t xml:space="preserve"> via</w:t>
      </w:r>
      <w:r>
        <w:rPr>
          <w:sz w:val="18"/>
          <w:szCs w:val="18"/>
          <w:lang w:val="en-US"/>
        </w:rPr>
        <w:t xml:space="preserve"> the brachial vein, and on days</w:t>
      </w:r>
      <w:r w:rsidRPr="00D37BFD">
        <w:rPr>
          <w:sz w:val="18"/>
          <w:szCs w:val="18"/>
        </w:rPr>
        <w:t xml:space="preserve"> 35 </w:t>
      </w:r>
      <w:r>
        <w:rPr>
          <w:sz w:val="18"/>
          <w:szCs w:val="18"/>
        </w:rPr>
        <w:t>or</w:t>
      </w:r>
      <w:r w:rsidRPr="00D37BFD">
        <w:rPr>
          <w:sz w:val="18"/>
          <w:szCs w:val="18"/>
        </w:rPr>
        <w:t xml:space="preserve"> 36</w:t>
      </w:r>
      <w:r>
        <w:rPr>
          <w:sz w:val="18"/>
          <w:szCs w:val="18"/>
        </w:rPr>
        <w:t xml:space="preserve"> from the heart immediately after euthanasia</w:t>
      </w:r>
      <w:r>
        <w:rPr>
          <w:sz w:val="18"/>
          <w:szCs w:val="18"/>
          <w:lang w:val="en-US"/>
        </w:rPr>
        <w:t xml:space="preserve">.  </w:t>
      </w:r>
      <w:r w:rsidRPr="00D37BFD">
        <w:rPr>
          <w:sz w:val="18"/>
          <w:szCs w:val="18"/>
        </w:rPr>
        <w:t xml:space="preserve">The </w:t>
      </w:r>
      <w:r>
        <w:rPr>
          <w:sz w:val="18"/>
          <w:szCs w:val="18"/>
        </w:rPr>
        <w:t xml:space="preserve">occurrence of </w:t>
      </w:r>
      <w:r w:rsidRPr="00D37BFD">
        <w:rPr>
          <w:sz w:val="18"/>
          <w:szCs w:val="18"/>
        </w:rPr>
        <w:t>dysbiosis was evaluated at the time</w:t>
      </w:r>
      <w:r>
        <w:rPr>
          <w:sz w:val="18"/>
          <w:szCs w:val="18"/>
        </w:rPr>
        <w:t xml:space="preserve"> </w:t>
      </w:r>
      <w:r w:rsidRPr="00D37BFD">
        <w:rPr>
          <w:sz w:val="18"/>
          <w:szCs w:val="18"/>
        </w:rPr>
        <w:t xml:space="preserve">of </w:t>
      </w:r>
      <w:r>
        <w:rPr>
          <w:sz w:val="18"/>
          <w:szCs w:val="18"/>
        </w:rPr>
        <w:t>post-mortem</w:t>
      </w:r>
      <w:r w:rsidRPr="00D37BFD">
        <w:rPr>
          <w:sz w:val="18"/>
          <w:szCs w:val="18"/>
        </w:rPr>
        <w:t xml:space="preserve"> with the use of a macroscopic evaluation scoring system </w:t>
      </w:r>
      <w:r w:rsidRPr="0029736B">
        <w:rPr>
          <w:sz w:val="18"/>
          <w:szCs w:val="18"/>
        </w:rPr>
        <w:t>(</w:t>
      </w:r>
      <w:proofErr w:type="spellStart"/>
      <w:r w:rsidRPr="0029736B">
        <w:rPr>
          <w:sz w:val="18"/>
          <w:szCs w:val="18"/>
        </w:rPr>
        <w:t>Teirlynck</w:t>
      </w:r>
      <w:proofErr w:type="spellEnd"/>
      <w:r w:rsidRPr="0029736B">
        <w:rPr>
          <w:sz w:val="18"/>
          <w:szCs w:val="18"/>
        </w:rPr>
        <w:t xml:space="preserve"> et al., 2011).</w:t>
      </w:r>
      <w:r>
        <w:rPr>
          <w:sz w:val="18"/>
          <w:szCs w:val="18"/>
        </w:rPr>
        <w:t xml:space="preserve"> Liver tissue was collected immediately post-mortem for assessment of bacterial translocation. Whole blood and homogenised liver tissue sample dilutions were cultured under aerobic conditions using </w:t>
      </w:r>
      <w:r w:rsidRPr="00540170">
        <w:rPr>
          <w:sz w:val="18"/>
          <w:szCs w:val="18"/>
        </w:rPr>
        <w:t xml:space="preserve">MacConkey and 7% sheep blood agar </w:t>
      </w:r>
      <w:r>
        <w:rPr>
          <w:sz w:val="18"/>
          <w:szCs w:val="18"/>
        </w:rPr>
        <w:t xml:space="preserve">for </w:t>
      </w:r>
      <w:r w:rsidRPr="00540170">
        <w:rPr>
          <w:sz w:val="18"/>
          <w:szCs w:val="18"/>
        </w:rPr>
        <w:t>20h at 37</w:t>
      </w:r>
      <w:r w:rsidRPr="00950C53">
        <w:rPr>
          <w:sz w:val="18"/>
          <w:szCs w:val="18"/>
          <w:vertAlign w:val="superscript"/>
        </w:rPr>
        <w:t>o</w:t>
      </w:r>
      <w:r w:rsidRPr="00540170">
        <w:rPr>
          <w:sz w:val="18"/>
          <w:szCs w:val="18"/>
        </w:rPr>
        <w:t>C</w:t>
      </w:r>
      <w:r>
        <w:rPr>
          <w:sz w:val="18"/>
          <w:szCs w:val="18"/>
        </w:rPr>
        <w:t>.</w:t>
      </w:r>
      <w:r w:rsidRPr="00540170">
        <w:rPr>
          <w:sz w:val="18"/>
          <w:szCs w:val="18"/>
        </w:rPr>
        <w:t xml:space="preserve"> </w:t>
      </w:r>
      <w:r>
        <w:rPr>
          <w:sz w:val="18"/>
          <w:szCs w:val="18"/>
        </w:rPr>
        <w:t>Blood and liver bacterial colony forming units (CFU) were counted and compared between chickens with high and low dysbiosis scores using the non-parametric Mann-Whitney test. S</w:t>
      </w:r>
      <w:r w:rsidRPr="00950C53">
        <w:rPr>
          <w:sz w:val="18"/>
          <w:szCs w:val="18"/>
        </w:rPr>
        <w:t xml:space="preserve">elected colonies from liver and blood samples were identified </w:t>
      </w:r>
      <w:r>
        <w:rPr>
          <w:sz w:val="18"/>
          <w:szCs w:val="18"/>
        </w:rPr>
        <w:t>with the use of</w:t>
      </w:r>
      <w:r w:rsidRPr="00950C53">
        <w:rPr>
          <w:sz w:val="18"/>
          <w:szCs w:val="18"/>
        </w:rPr>
        <w:t xml:space="preserve"> MALDI-TOF (Matrix</w:t>
      </w:r>
      <w:r>
        <w:rPr>
          <w:sz w:val="18"/>
          <w:szCs w:val="18"/>
        </w:rPr>
        <w:t>-</w:t>
      </w:r>
      <w:r w:rsidRPr="00950C53">
        <w:rPr>
          <w:sz w:val="18"/>
          <w:szCs w:val="18"/>
        </w:rPr>
        <w:t>Assisted Laser Desorption/Ionization – Time-of-Flight Mass Spectrometry)</w:t>
      </w:r>
      <w:sdt>
        <w:sdtPr>
          <w:rPr>
            <w:color w:val="000000"/>
            <w:sz w:val="18"/>
            <w:szCs w:val="18"/>
          </w:rPr>
          <w:tag w:val="MENDELEY_CITATION_v3_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"/>
          <w:id w:val="1909567252"/>
          <w:placeholder>
            <w:docPart w:val="9729AEA9232C9D44A56DB6E7B26CFFB7"/>
          </w:placeholder>
        </w:sdtPr>
        <w:sdtContent>
          <w:r w:rsidRPr="00935758">
            <w:rPr>
              <w:color w:val="000000"/>
              <w:sz w:val="18"/>
              <w:szCs w:val="18"/>
            </w:rPr>
            <w:t>(</w:t>
          </w:r>
          <w:proofErr w:type="spellStart"/>
          <w:r w:rsidRPr="00935758">
            <w:rPr>
              <w:color w:val="000000"/>
              <w:sz w:val="18"/>
              <w:szCs w:val="18"/>
            </w:rPr>
            <w:t>Tsuchida</w:t>
          </w:r>
          <w:proofErr w:type="spellEnd"/>
          <w:r w:rsidRPr="00935758">
            <w:rPr>
              <w:color w:val="000000"/>
              <w:sz w:val="18"/>
              <w:szCs w:val="18"/>
            </w:rPr>
            <w:t xml:space="preserve"> et al., 2020)</w:t>
          </w:r>
        </w:sdtContent>
      </w:sdt>
      <w:r w:rsidRPr="0029736B">
        <w:rPr>
          <w:sz w:val="18"/>
          <w:szCs w:val="18"/>
        </w:rPr>
        <w:t>.</w:t>
      </w:r>
      <w:r>
        <w:rPr>
          <w:sz w:val="18"/>
          <w:szCs w:val="18"/>
        </w:rPr>
        <w:t xml:space="preserve"> A subgroup of 20 randomly selected chickens were also subjected to an in-vivo gut permeability assessment using f</w:t>
      </w:r>
      <w:r w:rsidRPr="00540170">
        <w:rPr>
          <w:sz w:val="18"/>
          <w:szCs w:val="18"/>
        </w:rPr>
        <w:t xml:space="preserve">luorescein isothiocyanate - dextran </w:t>
      </w:r>
      <w:r>
        <w:rPr>
          <w:sz w:val="18"/>
          <w:szCs w:val="18"/>
        </w:rPr>
        <w:t>(FITC-d)</w:t>
      </w:r>
      <w:r w:rsidRPr="00DD0D96">
        <w:rPr>
          <w:rFonts w:ascii="Helvetica" w:hAnsi="Helvetica" w:cs="Helvetica"/>
          <w:color w:val="000000"/>
          <w:kern w:val="0"/>
          <w:sz w:val="24"/>
          <w:szCs w:val="24"/>
        </w:rPr>
        <w:t xml:space="preserve"> </w:t>
      </w:r>
      <w:r w:rsidRPr="00DD0D96">
        <w:rPr>
          <w:sz w:val="18"/>
          <w:szCs w:val="18"/>
        </w:rPr>
        <w:t>on days 15, 22, 28</w:t>
      </w:r>
      <w:r>
        <w:rPr>
          <w:sz w:val="18"/>
          <w:szCs w:val="18"/>
        </w:rPr>
        <w:t xml:space="preserve"> </w:t>
      </w:r>
      <w:r w:rsidRPr="00DD0D96">
        <w:rPr>
          <w:sz w:val="18"/>
          <w:szCs w:val="18"/>
        </w:rPr>
        <w:t>and 36 of the study.</w:t>
      </w:r>
      <w:r>
        <w:rPr>
          <w:sz w:val="18"/>
          <w:szCs w:val="18"/>
        </w:rPr>
        <w:t xml:space="preserve"> FITC-d blood concentration levels were compared between single score dysbiosis groups (scores 1-9) </w:t>
      </w:r>
      <w:r w:rsidRPr="00874D6F">
        <w:rPr>
          <w:sz w:val="18"/>
          <w:szCs w:val="18"/>
        </w:rPr>
        <w:t xml:space="preserve">using two-way ANOVA </w:t>
      </w:r>
      <w:r>
        <w:rPr>
          <w:sz w:val="18"/>
          <w:szCs w:val="18"/>
        </w:rPr>
        <w:t xml:space="preserve">paired </w:t>
      </w:r>
      <w:r w:rsidRPr="00874D6F">
        <w:rPr>
          <w:sz w:val="18"/>
          <w:szCs w:val="18"/>
        </w:rPr>
        <w:t>with Fischer’s</w:t>
      </w:r>
      <w:r>
        <w:rPr>
          <w:sz w:val="18"/>
          <w:szCs w:val="18"/>
        </w:rPr>
        <w:t xml:space="preserve"> </w:t>
      </w:r>
      <w:r w:rsidRPr="00874D6F">
        <w:rPr>
          <w:sz w:val="18"/>
          <w:szCs w:val="18"/>
        </w:rPr>
        <w:t>LSD multiple comparisons test</w:t>
      </w:r>
      <w:r>
        <w:rPr>
          <w:sz w:val="18"/>
          <w:szCs w:val="18"/>
        </w:rPr>
        <w:t xml:space="preserve">. </w:t>
      </w:r>
    </w:p>
    <w:p w14:paraId="35CAF992" w14:textId="43ABAA1F" w:rsidR="007B30E3" w:rsidRDefault="007B30E3">
      <w:pPr>
        <w:rPr>
          <w:b/>
          <w:bCs/>
          <w:lang w:val="en-US"/>
        </w:rPr>
      </w:pPr>
      <w:r>
        <w:rPr>
          <w:b/>
          <w:bCs/>
          <w:lang w:val="en-US"/>
        </w:rPr>
        <w:t>Results</w:t>
      </w:r>
    </w:p>
    <w:p w14:paraId="3D5C9672" w14:textId="28BED706" w:rsidR="007B30E3" w:rsidRDefault="001151FD" w:rsidP="001151FD">
      <w:pPr>
        <w:ind w:left="-426"/>
        <w:rPr>
          <w:sz w:val="18"/>
          <w:szCs w:val="18"/>
        </w:rPr>
      </w:pPr>
      <w:r w:rsidRPr="00F7158F">
        <w:rPr>
          <w:sz w:val="18"/>
          <w:szCs w:val="18"/>
          <w:lang w:val="en-US"/>
        </w:rPr>
        <w:t xml:space="preserve">The results </w:t>
      </w:r>
      <w:r>
        <w:rPr>
          <w:sz w:val="18"/>
          <w:szCs w:val="18"/>
          <w:lang w:val="en-US"/>
        </w:rPr>
        <w:t>showed the presence of bacteria in the blood and liver of chickens with high and low dysbiosis scores (Figure 1A).  The total number of culturable bacteria in the blood, cultured with the use of blood agar, differed between the chickens with low and high dysbiosis on days 22 and 35-36, but not on day 28. However, there was no significant difference in the number of coliforms</w:t>
      </w:r>
      <w:r w:rsidR="00113ECE">
        <w:rPr>
          <w:sz w:val="18"/>
          <w:szCs w:val="18"/>
          <w:lang w:val="en-US"/>
        </w:rPr>
        <w:t>,</w:t>
      </w:r>
      <w:r>
        <w:rPr>
          <w:sz w:val="18"/>
          <w:szCs w:val="18"/>
          <w:lang w:val="en-US"/>
        </w:rPr>
        <w:t xml:space="preserve"> which was assessed with the use of MacConkey agar.  No significant difference was detected in bacterial numbers identified in the liver. </w:t>
      </w:r>
      <w:r w:rsidRPr="00110402">
        <w:rPr>
          <w:sz w:val="18"/>
          <w:szCs w:val="18"/>
        </w:rPr>
        <w:t>The colonies isolated for identification were chosen as representatives</w:t>
      </w:r>
      <w:r>
        <w:rPr>
          <w:sz w:val="18"/>
          <w:szCs w:val="18"/>
        </w:rPr>
        <w:t xml:space="preserve"> </w:t>
      </w:r>
      <w:r w:rsidRPr="00110402">
        <w:rPr>
          <w:sz w:val="18"/>
          <w:szCs w:val="18"/>
        </w:rPr>
        <w:t>of commonly encountered morphotypes. In total, 17 species of bacteria were identified, of</w:t>
      </w:r>
      <w:r>
        <w:rPr>
          <w:sz w:val="18"/>
          <w:szCs w:val="18"/>
        </w:rPr>
        <w:t xml:space="preserve"> </w:t>
      </w:r>
      <w:r w:rsidRPr="00110402">
        <w:rPr>
          <w:sz w:val="18"/>
          <w:szCs w:val="18"/>
        </w:rPr>
        <w:t>which five were found in both biological samples, five were only found in blood and seven only</w:t>
      </w:r>
      <w:r>
        <w:rPr>
          <w:sz w:val="18"/>
          <w:szCs w:val="18"/>
        </w:rPr>
        <w:t xml:space="preserve"> </w:t>
      </w:r>
      <w:r w:rsidRPr="00110402">
        <w:rPr>
          <w:sz w:val="18"/>
          <w:szCs w:val="18"/>
        </w:rPr>
        <w:t>in liver samples</w:t>
      </w:r>
      <w:r>
        <w:rPr>
          <w:sz w:val="18"/>
          <w:szCs w:val="18"/>
        </w:rPr>
        <w:t xml:space="preserve"> (Figure 1B).  </w:t>
      </w:r>
      <w:r>
        <w:rPr>
          <w:sz w:val="18"/>
          <w:szCs w:val="18"/>
          <w:lang w:val="en-US"/>
        </w:rPr>
        <w:t xml:space="preserve">FITC-d gut permeability assessment showed variable outcomes between low and high dysbiosis chickens (Figure 2). </w:t>
      </w:r>
    </w:p>
    <w:p w14:paraId="7036F739" w14:textId="6E3CE98E" w:rsidR="001151FD" w:rsidRDefault="00A51326" w:rsidP="00A51326">
      <w:pPr>
        <w:ind w:left="-567"/>
        <w:rPr>
          <w:b/>
          <w:bCs/>
          <w:lang w:val="en-US"/>
        </w:rPr>
      </w:pPr>
      <w:r>
        <w:rPr>
          <w:noProof/>
        </w:rPr>
        <w:drawing>
          <wp:inline distT="0" distB="0" distL="0" distR="0" wp14:anchorId="49948D0A" wp14:editId="7CD62CCB">
            <wp:extent cx="6448425" cy="2016830"/>
            <wp:effectExtent l="0" t="0" r="3175" b="2540"/>
            <wp:docPr id="588628974" name="Picture 1" descr="A diagram of different types of cel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628974" name="Picture 1" descr="A diagram of different types of cell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05943" cy="2034820"/>
                    </a:xfrm>
                    <a:prstGeom prst="rect">
                      <a:avLst/>
                    </a:prstGeom>
                  </pic:spPr>
                </pic:pic>
              </a:graphicData>
            </a:graphic>
          </wp:inline>
        </w:drawing>
      </w:r>
    </w:p>
    <w:p w14:paraId="5EDD3EEC" w14:textId="45DDB1F9" w:rsidR="001151FD" w:rsidRPr="00F7158F" w:rsidRDefault="001151FD" w:rsidP="001151FD">
      <w:pPr>
        <w:pStyle w:val="Caption"/>
        <w:ind w:left="-426"/>
      </w:pPr>
      <w:r>
        <w:t xml:space="preserve">Figure </w:t>
      </w:r>
      <w:fldSimple w:instr=" SEQ Figure \* ARABIC ">
        <w:r>
          <w:rPr>
            <w:noProof/>
          </w:rPr>
          <w:t>1</w:t>
        </w:r>
      </w:fldSimple>
      <w:r>
        <w:t xml:space="preserve">: A: the number of CFUs in the blood and liver of chickens with low and high dysbiosis scores at different timepoints cultured at 37 </w:t>
      </w:r>
      <w:proofErr w:type="spellStart"/>
      <w:r w:rsidRPr="0009785E">
        <w:rPr>
          <w:vertAlign w:val="superscript"/>
        </w:rPr>
        <w:t>o</w:t>
      </w:r>
      <w:r>
        <w:t>C</w:t>
      </w:r>
      <w:proofErr w:type="spellEnd"/>
      <w:r>
        <w:t xml:space="preserve"> using blood agar (BA) and MacConkey agar (MC) under aerobic conditions. B: Bacterial species identified in the blood and liver cultures. </w:t>
      </w:r>
    </w:p>
    <w:p w14:paraId="0253FB05" w14:textId="3DD8C891" w:rsidR="001151FD" w:rsidRDefault="001151FD" w:rsidP="001151FD">
      <w:pPr>
        <w:ind w:left="-426"/>
        <w:rPr>
          <w:b/>
          <w:bCs/>
          <w:lang w:val="en-US"/>
        </w:rPr>
      </w:pPr>
      <w:r w:rsidRPr="009131B5">
        <w:rPr>
          <w:b/>
          <w:bCs/>
          <w:noProof/>
          <w:lang w:val="en-US"/>
        </w:rPr>
        <w:lastRenderedPageBreak/>
        <w:drawing>
          <wp:inline distT="0" distB="0" distL="0" distR="0" wp14:anchorId="409348BA" wp14:editId="286E6E8B">
            <wp:extent cx="6017878" cy="2406772"/>
            <wp:effectExtent l="0" t="0" r="2540" b="0"/>
            <wp:docPr id="410718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718075" name=""/>
                    <pic:cNvPicPr/>
                  </pic:nvPicPr>
                  <pic:blipFill rotWithShape="1">
                    <a:blip r:embed="rId9"/>
                    <a:srcRect l="2092" t="18368" r="7664" b="17464"/>
                    <a:stretch/>
                  </pic:blipFill>
                  <pic:spPr bwMode="auto">
                    <a:xfrm>
                      <a:off x="0" y="0"/>
                      <a:ext cx="6038572" cy="2415048"/>
                    </a:xfrm>
                    <a:prstGeom prst="rect">
                      <a:avLst/>
                    </a:prstGeom>
                    <a:ln>
                      <a:noFill/>
                    </a:ln>
                    <a:extLst>
                      <a:ext uri="{53640926-AAD7-44D8-BBD7-CCE9431645EC}">
                        <a14:shadowObscured xmlns:a14="http://schemas.microsoft.com/office/drawing/2010/main"/>
                      </a:ext>
                    </a:extLst>
                  </pic:spPr>
                </pic:pic>
              </a:graphicData>
            </a:graphic>
          </wp:inline>
        </w:drawing>
      </w:r>
    </w:p>
    <w:p w14:paraId="0E2BF9AC" w14:textId="77777777" w:rsidR="001151FD" w:rsidRDefault="001151FD" w:rsidP="001151FD">
      <w:pPr>
        <w:pStyle w:val="Caption"/>
        <w:ind w:left="-426"/>
        <w:rPr>
          <w:b/>
          <w:bCs/>
          <w:lang w:val="en-US"/>
        </w:rPr>
      </w:pPr>
      <w:r>
        <w:t xml:space="preserve">Figure </w:t>
      </w:r>
      <w:fldSimple w:instr=" SEQ Figure \* ARABIC ">
        <w:r>
          <w:rPr>
            <w:noProof/>
          </w:rPr>
          <w:t>2</w:t>
        </w:r>
      </w:fldSimple>
      <w:r>
        <w:t xml:space="preserve">:FITC-d concentration in the serum of chickens grouped by score (A), and by low and high dysbiosis score groups (B).  </w:t>
      </w:r>
    </w:p>
    <w:p w14:paraId="03C0954A" w14:textId="77777777" w:rsidR="001151FD" w:rsidRDefault="001151FD" w:rsidP="001151FD">
      <w:pPr>
        <w:ind w:left="-426"/>
        <w:rPr>
          <w:b/>
          <w:bCs/>
          <w:lang w:val="en-US"/>
        </w:rPr>
      </w:pPr>
    </w:p>
    <w:p w14:paraId="68E461EC" w14:textId="317E8356" w:rsidR="007B30E3" w:rsidRDefault="007B30E3">
      <w:pPr>
        <w:rPr>
          <w:b/>
          <w:bCs/>
          <w:lang w:val="en-US"/>
        </w:rPr>
      </w:pPr>
      <w:r>
        <w:rPr>
          <w:b/>
          <w:bCs/>
          <w:lang w:val="en-US"/>
        </w:rPr>
        <w:t>Conclusions</w:t>
      </w:r>
    </w:p>
    <w:p w14:paraId="0F031CD2" w14:textId="258A6984" w:rsidR="00061B74" w:rsidRDefault="001151FD" w:rsidP="001151FD">
      <w:pPr>
        <w:ind w:left="-426"/>
        <w:rPr>
          <w:sz w:val="18"/>
          <w:szCs w:val="18"/>
        </w:rPr>
      </w:pPr>
      <w:r>
        <w:rPr>
          <w:sz w:val="18"/>
          <w:szCs w:val="18"/>
          <w:lang w:val="en-US"/>
        </w:rPr>
        <w:t>M</w:t>
      </w:r>
      <w:r w:rsidRPr="00BD4ADD">
        <w:rPr>
          <w:sz w:val="18"/>
          <w:szCs w:val="18"/>
          <w:lang w:val="en-US"/>
        </w:rPr>
        <w:t xml:space="preserve">acroscopic dysbiosis scores </w:t>
      </w:r>
      <w:r>
        <w:rPr>
          <w:sz w:val="18"/>
          <w:szCs w:val="18"/>
          <w:lang w:val="en-US"/>
        </w:rPr>
        <w:t>assigned during post-mortem were not directly reflected by total bacterial or specific coliform counts in the blood and liver, or FITC-d concentration in the blood, suggesting that intestinal dysbiosis is not always directly associated with gut leakage.</w:t>
      </w:r>
      <w:r w:rsidRPr="00313815">
        <w:rPr>
          <w:rFonts w:ascii="-webkit-standard" w:hAnsi="-webkit-standard"/>
          <w:color w:val="000000"/>
          <w:sz w:val="27"/>
          <w:szCs w:val="27"/>
        </w:rPr>
        <w:t xml:space="preserve"> </w:t>
      </w:r>
      <w:r w:rsidRPr="00313815">
        <w:rPr>
          <w:sz w:val="18"/>
          <w:szCs w:val="18"/>
        </w:rPr>
        <w:t>The detection of non-gut-associated bacteria, such as </w:t>
      </w:r>
      <w:r w:rsidRPr="00313815">
        <w:rPr>
          <w:i/>
          <w:iCs/>
          <w:sz w:val="18"/>
          <w:szCs w:val="18"/>
        </w:rPr>
        <w:t>Staphylococcus xylosus</w:t>
      </w:r>
      <w:r w:rsidRPr="00313815">
        <w:rPr>
          <w:sz w:val="18"/>
          <w:szCs w:val="18"/>
        </w:rPr>
        <w:t>, in the blood and liver of these chickens suggests multiple sites of infection within this pedigree broiler line.</w:t>
      </w:r>
      <w:r w:rsidR="00060AB2">
        <w:rPr>
          <w:sz w:val="18"/>
          <w:szCs w:val="18"/>
        </w:rPr>
        <w:t xml:space="preserve"> </w:t>
      </w:r>
      <w:r w:rsidR="00061B74">
        <w:rPr>
          <w:sz w:val="18"/>
          <w:szCs w:val="18"/>
        </w:rPr>
        <w:t xml:space="preserve">This </w:t>
      </w:r>
      <w:r w:rsidR="00604295">
        <w:rPr>
          <w:sz w:val="18"/>
          <w:szCs w:val="18"/>
        </w:rPr>
        <w:t>study underscores the complexity and multifactorial nature of the intestinal dysbiosis</w:t>
      </w:r>
      <w:r w:rsidR="00604295">
        <w:rPr>
          <w:sz w:val="18"/>
          <w:szCs w:val="18"/>
        </w:rPr>
        <w:t xml:space="preserve"> and</w:t>
      </w:r>
      <w:r w:rsidR="00061B74">
        <w:rPr>
          <w:sz w:val="18"/>
          <w:szCs w:val="18"/>
        </w:rPr>
        <w:t xml:space="preserve"> provides a foundation for investigating the mechanisms </w:t>
      </w:r>
      <w:r w:rsidR="00604295">
        <w:rPr>
          <w:sz w:val="18"/>
          <w:szCs w:val="18"/>
        </w:rPr>
        <w:t xml:space="preserve">underlying this syndrome, including the roles of microbial diversity, host genetics and extraintestinal infections. </w:t>
      </w:r>
    </w:p>
    <w:p w14:paraId="41A3C7EB" w14:textId="77777777" w:rsidR="007B30E3" w:rsidRDefault="007B30E3">
      <w:pPr>
        <w:rPr>
          <w:b/>
          <w:bCs/>
          <w:lang w:val="en-US"/>
        </w:rPr>
      </w:pPr>
    </w:p>
    <w:p w14:paraId="0ADB320F" w14:textId="5E6F53FF" w:rsidR="007B30E3" w:rsidRDefault="007B30E3">
      <w:pPr>
        <w:rPr>
          <w:b/>
          <w:bCs/>
          <w:lang w:val="en-US"/>
        </w:rPr>
      </w:pPr>
      <w:r>
        <w:rPr>
          <w:b/>
          <w:bCs/>
          <w:lang w:val="en-US"/>
        </w:rPr>
        <w:t>References</w:t>
      </w:r>
    </w:p>
    <w:p w14:paraId="6C34CE3E" w14:textId="77777777" w:rsidR="001151FD" w:rsidRPr="004A4534" w:rsidRDefault="001151FD" w:rsidP="001151FD">
      <w:pPr>
        <w:ind w:left="-426"/>
        <w:rPr>
          <w:sz w:val="18"/>
          <w:szCs w:val="18"/>
          <w:lang w:val="en-US"/>
        </w:rPr>
      </w:pPr>
      <w:proofErr w:type="spellStart"/>
      <w:r w:rsidRPr="004A4534">
        <w:rPr>
          <w:sz w:val="18"/>
          <w:szCs w:val="18"/>
          <w:lang w:val="en-US"/>
        </w:rPr>
        <w:t>Teirlynck</w:t>
      </w:r>
      <w:proofErr w:type="spellEnd"/>
      <w:r w:rsidRPr="004A4534">
        <w:rPr>
          <w:sz w:val="18"/>
          <w:szCs w:val="18"/>
          <w:lang w:val="en-US"/>
        </w:rPr>
        <w:t xml:space="preserve"> E., </w:t>
      </w:r>
      <w:proofErr w:type="spellStart"/>
      <w:r w:rsidRPr="004A4534">
        <w:rPr>
          <w:sz w:val="18"/>
          <w:szCs w:val="18"/>
          <w:lang w:val="en-US"/>
        </w:rPr>
        <w:t>Gussem</w:t>
      </w:r>
      <w:proofErr w:type="spellEnd"/>
      <w:r w:rsidRPr="004A4534">
        <w:rPr>
          <w:sz w:val="18"/>
          <w:szCs w:val="18"/>
          <w:lang w:val="en-US"/>
        </w:rPr>
        <w:t xml:space="preserve"> M. D. E., </w:t>
      </w:r>
      <w:proofErr w:type="spellStart"/>
      <w:r w:rsidRPr="004A4534">
        <w:rPr>
          <w:sz w:val="18"/>
          <w:szCs w:val="18"/>
          <w:lang w:val="en-US"/>
        </w:rPr>
        <w:t>Dewulf</w:t>
      </w:r>
      <w:proofErr w:type="spellEnd"/>
      <w:r w:rsidRPr="004A4534">
        <w:rPr>
          <w:sz w:val="18"/>
          <w:szCs w:val="18"/>
          <w:lang w:val="en-US"/>
        </w:rPr>
        <w:t xml:space="preserve"> J., </w:t>
      </w:r>
      <w:proofErr w:type="spellStart"/>
      <w:r w:rsidRPr="004A4534">
        <w:rPr>
          <w:sz w:val="18"/>
          <w:szCs w:val="18"/>
          <w:lang w:val="en-US"/>
        </w:rPr>
        <w:t>Haesebrouck</w:t>
      </w:r>
      <w:proofErr w:type="spellEnd"/>
      <w:r w:rsidRPr="004A4534">
        <w:rPr>
          <w:sz w:val="18"/>
          <w:szCs w:val="18"/>
          <w:lang w:val="en-US"/>
        </w:rPr>
        <w:t xml:space="preserve"> F., </w:t>
      </w:r>
      <w:proofErr w:type="spellStart"/>
      <w:r w:rsidRPr="004A4534">
        <w:rPr>
          <w:sz w:val="18"/>
          <w:szCs w:val="18"/>
          <w:lang w:val="en-US"/>
        </w:rPr>
        <w:t>Ducatelle</w:t>
      </w:r>
      <w:proofErr w:type="spellEnd"/>
      <w:r w:rsidRPr="004A4534">
        <w:rPr>
          <w:sz w:val="18"/>
          <w:szCs w:val="18"/>
          <w:lang w:val="en-US"/>
        </w:rPr>
        <w:t xml:space="preserve"> R., Van </w:t>
      </w:r>
      <w:proofErr w:type="spellStart"/>
      <w:r w:rsidRPr="004A4534">
        <w:rPr>
          <w:sz w:val="18"/>
          <w:szCs w:val="18"/>
          <w:lang w:val="en-US"/>
        </w:rPr>
        <w:t>Immerseel</w:t>
      </w:r>
      <w:proofErr w:type="spellEnd"/>
      <w:r w:rsidRPr="004A4534">
        <w:rPr>
          <w:sz w:val="18"/>
          <w:szCs w:val="18"/>
          <w:lang w:val="en-US"/>
        </w:rPr>
        <w:t xml:space="preserve"> F. 2011, Avian Pathology, 40:2, 139-144</w:t>
      </w:r>
    </w:p>
    <w:p w14:paraId="40D9017B" w14:textId="77777777" w:rsidR="001151FD" w:rsidRPr="004A4534" w:rsidRDefault="001151FD" w:rsidP="001151FD">
      <w:pPr>
        <w:ind w:left="-426"/>
        <w:rPr>
          <w:sz w:val="18"/>
          <w:szCs w:val="18"/>
          <w:lang w:val="en-US"/>
        </w:rPr>
      </w:pPr>
      <w:r w:rsidRPr="004A4534">
        <w:rPr>
          <w:sz w:val="18"/>
          <w:szCs w:val="18"/>
          <w:lang w:val="en-US"/>
        </w:rPr>
        <w:t xml:space="preserve">Tellez </w:t>
      </w:r>
      <w:proofErr w:type="gramStart"/>
      <w:r w:rsidRPr="004A4534">
        <w:rPr>
          <w:sz w:val="18"/>
          <w:szCs w:val="18"/>
          <w:lang w:val="en-US"/>
        </w:rPr>
        <w:t>Guillermo ,</w:t>
      </w:r>
      <w:proofErr w:type="gramEnd"/>
      <w:r w:rsidRPr="004A4534">
        <w:rPr>
          <w:sz w:val="18"/>
          <w:szCs w:val="18"/>
          <w:lang w:val="en-US"/>
        </w:rPr>
        <w:t xml:space="preserve"> </w:t>
      </w:r>
      <w:proofErr w:type="spellStart"/>
      <w:r w:rsidRPr="004A4534">
        <w:rPr>
          <w:sz w:val="18"/>
          <w:szCs w:val="18"/>
          <w:lang w:val="en-US"/>
        </w:rPr>
        <w:t>Latorre</w:t>
      </w:r>
      <w:proofErr w:type="spellEnd"/>
      <w:r w:rsidRPr="004A4534">
        <w:rPr>
          <w:sz w:val="18"/>
          <w:szCs w:val="18"/>
          <w:lang w:val="en-US"/>
        </w:rPr>
        <w:t xml:space="preserve"> J. D. , </w:t>
      </w:r>
      <w:proofErr w:type="spellStart"/>
      <w:r w:rsidRPr="004A4534">
        <w:rPr>
          <w:sz w:val="18"/>
          <w:szCs w:val="18"/>
          <w:lang w:val="en-US"/>
        </w:rPr>
        <w:t>Kuttappan</w:t>
      </w:r>
      <w:proofErr w:type="spellEnd"/>
      <w:r w:rsidRPr="004A4534">
        <w:rPr>
          <w:sz w:val="18"/>
          <w:szCs w:val="18"/>
          <w:lang w:val="en-US"/>
        </w:rPr>
        <w:t xml:space="preserve"> V. A. , Kogut M. H. , Wolfenden A. , Hernandez-Velasco X. , Hargis B. M. , </w:t>
      </w:r>
      <w:proofErr w:type="spellStart"/>
      <w:r w:rsidRPr="004A4534">
        <w:rPr>
          <w:sz w:val="18"/>
          <w:szCs w:val="18"/>
          <w:lang w:val="en-US"/>
        </w:rPr>
        <w:t>Bottje</w:t>
      </w:r>
      <w:proofErr w:type="spellEnd"/>
      <w:r w:rsidRPr="004A4534">
        <w:rPr>
          <w:sz w:val="18"/>
          <w:szCs w:val="18"/>
          <w:lang w:val="en-US"/>
        </w:rPr>
        <w:t xml:space="preserve"> W. G. , Bielke L. R. , Faulkner O. B. 2014, Frontiers in Genetics, 5, 1664-8021</w:t>
      </w:r>
    </w:p>
    <w:p w14:paraId="601AA72B" w14:textId="77777777" w:rsidR="001151FD" w:rsidRPr="00BC57AE" w:rsidRDefault="001151FD" w:rsidP="001151FD">
      <w:pPr>
        <w:ind w:left="-426"/>
        <w:rPr>
          <w:sz w:val="18"/>
          <w:szCs w:val="18"/>
          <w:lang w:val="fr-FR"/>
        </w:rPr>
      </w:pPr>
      <w:proofErr w:type="spellStart"/>
      <w:r w:rsidRPr="00BC57AE">
        <w:rPr>
          <w:sz w:val="18"/>
          <w:szCs w:val="18"/>
          <w:lang w:val="fr-FR"/>
        </w:rPr>
        <w:t>Tsuchida</w:t>
      </w:r>
      <w:proofErr w:type="spellEnd"/>
      <w:r w:rsidRPr="00BC57AE">
        <w:rPr>
          <w:sz w:val="18"/>
          <w:szCs w:val="18"/>
          <w:lang w:val="fr-FR"/>
        </w:rPr>
        <w:t xml:space="preserve"> S., </w:t>
      </w:r>
      <w:proofErr w:type="spellStart"/>
      <w:r w:rsidRPr="00BC57AE">
        <w:rPr>
          <w:sz w:val="18"/>
          <w:szCs w:val="18"/>
          <w:lang w:val="fr-FR"/>
        </w:rPr>
        <w:t>Umemura</w:t>
      </w:r>
      <w:proofErr w:type="spellEnd"/>
      <w:r w:rsidRPr="00BC57AE">
        <w:rPr>
          <w:sz w:val="18"/>
          <w:szCs w:val="18"/>
          <w:lang w:val="fr-FR"/>
        </w:rPr>
        <w:t xml:space="preserve"> H., </w:t>
      </w:r>
      <w:proofErr w:type="spellStart"/>
      <w:r w:rsidRPr="00BC57AE">
        <w:rPr>
          <w:sz w:val="18"/>
          <w:szCs w:val="18"/>
          <w:lang w:val="fr-FR"/>
        </w:rPr>
        <w:t>Nakayama</w:t>
      </w:r>
      <w:proofErr w:type="spellEnd"/>
      <w:r w:rsidRPr="00BC57AE">
        <w:rPr>
          <w:sz w:val="18"/>
          <w:szCs w:val="18"/>
          <w:lang w:val="fr-FR"/>
        </w:rPr>
        <w:t xml:space="preserve"> T., 2020, </w:t>
      </w:r>
      <w:proofErr w:type="spellStart"/>
      <w:r w:rsidRPr="00BC57AE">
        <w:rPr>
          <w:sz w:val="18"/>
          <w:szCs w:val="18"/>
          <w:lang w:val="fr-FR"/>
        </w:rPr>
        <w:t>Molecules</w:t>
      </w:r>
      <w:proofErr w:type="spellEnd"/>
      <w:r w:rsidRPr="00BC57AE">
        <w:rPr>
          <w:sz w:val="18"/>
          <w:szCs w:val="18"/>
          <w:lang w:val="fr-FR"/>
        </w:rPr>
        <w:t xml:space="preserve"> 25(20), 4775. </w:t>
      </w:r>
    </w:p>
    <w:p w14:paraId="798C1481" w14:textId="77777777" w:rsidR="001151FD" w:rsidRPr="004A4534" w:rsidRDefault="001151FD" w:rsidP="001151FD">
      <w:pPr>
        <w:ind w:left="-426"/>
        <w:rPr>
          <w:sz w:val="18"/>
          <w:szCs w:val="18"/>
        </w:rPr>
      </w:pPr>
      <w:r w:rsidRPr="004A4534">
        <w:rPr>
          <w:rFonts w:eastAsia="Times New Roman"/>
          <w:sz w:val="18"/>
          <w:szCs w:val="18"/>
        </w:rPr>
        <w:t xml:space="preserve">Di Vincenzo, F., A. Del Gaudio, V. Petito, L. R. </w:t>
      </w:r>
      <w:proofErr w:type="spellStart"/>
      <w:r w:rsidRPr="004A4534">
        <w:rPr>
          <w:rFonts w:eastAsia="Times New Roman"/>
          <w:sz w:val="18"/>
          <w:szCs w:val="18"/>
        </w:rPr>
        <w:t>Lopetuso</w:t>
      </w:r>
      <w:proofErr w:type="spellEnd"/>
      <w:r w:rsidRPr="004A4534">
        <w:rPr>
          <w:rFonts w:eastAsia="Times New Roman"/>
          <w:sz w:val="18"/>
          <w:szCs w:val="18"/>
        </w:rPr>
        <w:t xml:space="preserve">, and F. </w:t>
      </w:r>
      <w:proofErr w:type="spellStart"/>
      <w:r w:rsidRPr="004A4534">
        <w:rPr>
          <w:rFonts w:eastAsia="Times New Roman"/>
          <w:sz w:val="18"/>
          <w:szCs w:val="18"/>
        </w:rPr>
        <w:t>Scaldaferri</w:t>
      </w:r>
      <w:proofErr w:type="spellEnd"/>
      <w:r w:rsidRPr="004A4534">
        <w:rPr>
          <w:rFonts w:eastAsia="Times New Roman"/>
          <w:sz w:val="18"/>
          <w:szCs w:val="18"/>
        </w:rPr>
        <w:t>. 2023, Internal and Emergency Medicine 19(2),</w:t>
      </w:r>
      <w:r w:rsidRPr="004A4534">
        <w:rPr>
          <w:sz w:val="18"/>
          <w:szCs w:val="18"/>
        </w:rPr>
        <w:t xml:space="preserve"> </w:t>
      </w:r>
      <w:r w:rsidRPr="004A4534">
        <w:rPr>
          <w:rFonts w:eastAsia="Times New Roman"/>
          <w:sz w:val="18"/>
          <w:szCs w:val="18"/>
        </w:rPr>
        <w:t>275–293</w:t>
      </w:r>
    </w:p>
    <w:p w14:paraId="622CD002" w14:textId="77777777" w:rsidR="001151FD" w:rsidRPr="007B30E3" w:rsidRDefault="001151FD">
      <w:pPr>
        <w:rPr>
          <w:b/>
          <w:bCs/>
          <w:lang w:val="en-US"/>
        </w:rPr>
      </w:pPr>
    </w:p>
    <w:sectPr w:rsidR="001151FD" w:rsidRPr="007B30E3"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89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060AB2"/>
    <w:rsid w:val="00061B74"/>
    <w:rsid w:val="00094F26"/>
    <w:rsid w:val="00113ECE"/>
    <w:rsid w:val="001151FD"/>
    <w:rsid w:val="001335A8"/>
    <w:rsid w:val="00383DCD"/>
    <w:rsid w:val="00397193"/>
    <w:rsid w:val="003A3CBE"/>
    <w:rsid w:val="003D684D"/>
    <w:rsid w:val="00501F34"/>
    <w:rsid w:val="00544305"/>
    <w:rsid w:val="00593489"/>
    <w:rsid w:val="006006C8"/>
    <w:rsid w:val="00604295"/>
    <w:rsid w:val="00625B14"/>
    <w:rsid w:val="00713BEF"/>
    <w:rsid w:val="0073751F"/>
    <w:rsid w:val="007B30E3"/>
    <w:rsid w:val="008F049F"/>
    <w:rsid w:val="00933E8C"/>
    <w:rsid w:val="009E22B4"/>
    <w:rsid w:val="00A51326"/>
    <w:rsid w:val="00B41535"/>
    <w:rsid w:val="00B52E4E"/>
    <w:rsid w:val="00C53AE2"/>
    <w:rsid w:val="00C727D8"/>
    <w:rsid w:val="00C95030"/>
    <w:rsid w:val="00DD21B5"/>
    <w:rsid w:val="00E2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paragraph" w:styleId="Caption">
    <w:name w:val="caption"/>
    <w:basedOn w:val="Normal"/>
    <w:next w:val="Normal"/>
    <w:uiPriority w:val="35"/>
    <w:unhideWhenUsed/>
    <w:qFormat/>
    <w:rsid w:val="001151FD"/>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29AEA9232C9D44A56DB6E7B26CFFB7"/>
        <w:category>
          <w:name w:val="General"/>
          <w:gallery w:val="placeholder"/>
        </w:category>
        <w:types>
          <w:type w:val="bbPlcHdr"/>
        </w:types>
        <w:behaviors>
          <w:behavior w:val="content"/>
        </w:behaviors>
        <w:guid w:val="{ECB17BBF-A228-D240-B71A-97A75780B833}"/>
      </w:docPartPr>
      <w:docPartBody>
        <w:p w:rsidR="00233BC1" w:rsidRDefault="00BC4EDA" w:rsidP="00BC4EDA">
          <w:pPr>
            <w:pStyle w:val="9729AEA9232C9D44A56DB6E7B26CFFB7"/>
          </w:pPr>
          <w:r w:rsidRPr="009C6A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webkit-standard">
    <w:altName w:val="Cambria"/>
    <w:panose1 w:val="020B0604020202020204"/>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EDA"/>
    <w:rsid w:val="00233BC1"/>
    <w:rsid w:val="003707C5"/>
    <w:rsid w:val="00713BEF"/>
    <w:rsid w:val="00BC4EDA"/>
    <w:rsid w:val="00C727D8"/>
    <w:rsid w:val="00DE6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4EDA"/>
    <w:rPr>
      <w:color w:val="666666"/>
    </w:rPr>
  </w:style>
  <w:style w:type="paragraph" w:customStyle="1" w:styleId="9729AEA9232C9D44A56DB6E7B26CFFB7">
    <w:name w:val="9729AEA9232C9D44A56DB6E7B26CFFB7"/>
    <w:rsid w:val="00BC4E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customXml/itemProps2.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3.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Vasilogianni, Maria Evangelia</cp:lastModifiedBy>
  <cp:revision>13</cp:revision>
  <dcterms:created xsi:type="dcterms:W3CDTF">2025-01-15T15:55:00Z</dcterms:created>
  <dcterms:modified xsi:type="dcterms:W3CDTF">2025-01-16T09:53:00Z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