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7C79B" w14:textId="2D62BF00" w:rsidR="007B30E3" w:rsidRDefault="007B30E3" w:rsidP="00D20D44">
      <w:pPr>
        <w:spacing w:after="0"/>
        <w:rPr>
          <w:b/>
          <w:bCs/>
          <w:lang w:val="en-US"/>
        </w:rPr>
      </w:pPr>
      <w:r>
        <w:rPr>
          <w:b/>
          <w:bCs/>
          <w:lang w:val="en-US"/>
        </w:rPr>
        <w:t>Application</w:t>
      </w:r>
    </w:p>
    <w:p w14:paraId="07374CA1" w14:textId="77777777" w:rsidR="00D20D44" w:rsidRPr="007A3204" w:rsidRDefault="00D20D44" w:rsidP="00D20D44">
      <w:pPr>
        <w:spacing w:after="0" w:line="240" w:lineRule="auto"/>
        <w:rPr>
          <w:rFonts w:ascii="Aptos" w:hAnsi="Aptos" w:cs="Times New Roman"/>
        </w:rPr>
      </w:pPr>
      <w:r w:rsidRPr="007A3204">
        <w:rPr>
          <w:rFonts w:ascii="Aptos" w:hAnsi="Aptos" w:cs="Times New Roman"/>
        </w:rPr>
        <w:t>Cell grazing and undrained pasture plots had greater total soil carbon concentration and stock than continuous stocking after five years, which could enhance overall total soil health.</w:t>
      </w:r>
    </w:p>
    <w:p w14:paraId="0E1464B1" w14:textId="77777777" w:rsidR="00D20D44" w:rsidRDefault="00D20D44">
      <w:pPr>
        <w:rPr>
          <w:b/>
          <w:bCs/>
          <w:lang w:val="en-US"/>
        </w:rPr>
      </w:pPr>
    </w:p>
    <w:p w14:paraId="5E9F33D1" w14:textId="5CDACFAB" w:rsidR="007B30E3" w:rsidRDefault="007B30E3" w:rsidP="00D20D44">
      <w:pPr>
        <w:spacing w:after="0"/>
        <w:rPr>
          <w:b/>
          <w:bCs/>
          <w:lang w:val="en-US"/>
        </w:rPr>
      </w:pPr>
      <w:r>
        <w:rPr>
          <w:b/>
          <w:bCs/>
          <w:lang w:val="en-US"/>
        </w:rPr>
        <w:t>Introduction</w:t>
      </w:r>
    </w:p>
    <w:p w14:paraId="167B5498" w14:textId="3F89281C" w:rsidR="007B30E3" w:rsidRDefault="00D20D44" w:rsidP="00D20D44">
      <w:pPr>
        <w:spacing w:after="0" w:line="240" w:lineRule="auto"/>
        <w:jc w:val="both"/>
        <w:rPr>
          <w:rFonts w:ascii="Aptos" w:hAnsi="Aptos" w:cs="Times New Roman"/>
        </w:rPr>
      </w:pPr>
      <w:r w:rsidRPr="007A3204">
        <w:rPr>
          <w:rFonts w:ascii="Aptos" w:hAnsi="Aptos" w:cs="Times New Roman"/>
        </w:rPr>
        <w:t xml:space="preserve">Grasslands are vital for supplying food, goods, and services that support the livelihoods and economies of people globally. They are a key resource for livestock, offering grazing opportunities and conserved feeds. There are distinct benefits and drawbacks associated with livestock grazing systems. Therefore, developing effective grazing management strategies that prioritize the benefits is essential. Grazing management that </w:t>
      </w:r>
      <w:r w:rsidRPr="007A3204">
        <w:rPr>
          <w:rFonts w:ascii="Aptos" w:hAnsi="Aptos" w:cs="Times New Roman"/>
          <w:kern w:val="0"/>
          <w14:ligatures w14:val="none"/>
        </w:rPr>
        <w:t xml:space="preserve">benefits the soil's physical and chemical properties </w:t>
      </w:r>
      <w:r w:rsidRPr="007A3204">
        <w:rPr>
          <w:rFonts w:ascii="Aptos" w:hAnsi="Aptos" w:cs="Times New Roman"/>
        </w:rPr>
        <w:t>should be encouraged. Effective management of grassland ecosystems involves carefully balancing priorities like food production, economic sustainability, and the preservation of ecosystem services (</w:t>
      </w:r>
      <w:proofErr w:type="spellStart"/>
      <w:r w:rsidRPr="007A3204">
        <w:rPr>
          <w:rFonts w:ascii="Aptos" w:hAnsi="Aptos" w:cs="Times New Roman"/>
        </w:rPr>
        <w:t>Boval</w:t>
      </w:r>
      <w:proofErr w:type="spellEnd"/>
      <w:r w:rsidRPr="007A3204">
        <w:rPr>
          <w:rFonts w:ascii="Aptos" w:hAnsi="Aptos" w:cs="Times New Roman"/>
        </w:rPr>
        <w:t xml:space="preserve"> and Dixon, 2012). Drainage is believed to cause a significant decrease in total carbon (TC) storage in soil (Harris et al., 2018). </w:t>
      </w:r>
      <w:r w:rsidRPr="007A3204">
        <w:rPr>
          <w:rFonts w:ascii="Aptos" w:hAnsi="Aptos" w:cs="Times New Roman"/>
          <w:color w:val="0D0D0D"/>
        </w:rPr>
        <w:t xml:space="preserve">The relationship between grazing method (GM) and drainage system (DS) is crucial for managing soil moisture and enhancing pasture productivity, adding complexity to soil chemistry. </w:t>
      </w:r>
      <w:r w:rsidRPr="007A3204">
        <w:rPr>
          <w:rFonts w:ascii="Aptos" w:hAnsi="Aptos" w:cs="Times New Roman"/>
        </w:rPr>
        <w:t xml:space="preserve">This study aimed to measure the impact of two </w:t>
      </w:r>
      <w:r w:rsidRPr="007A3204">
        <w:rPr>
          <w:rFonts w:ascii="Aptos" w:eastAsia="Times New Roman" w:hAnsi="Aptos" w:cs="Times New Roman"/>
          <w:color w:val="000000"/>
          <w:shd w:val="clear" w:color="auto" w:fill="FFFFFF"/>
        </w:rPr>
        <w:t>GM (cell grazed, CG; and continuous stocking, CS) and DS (drained and undrained)</w:t>
      </w:r>
      <w:r w:rsidRPr="007A3204">
        <w:rPr>
          <w:rFonts w:ascii="Aptos" w:eastAsia="Times New Roman" w:hAnsi="Aptos" w:cs="Segoe UI"/>
          <w:color w:val="000000"/>
          <w:shd w:val="clear" w:color="auto" w:fill="FFFFFF"/>
        </w:rPr>
        <w:t xml:space="preserve"> </w:t>
      </w:r>
      <w:r w:rsidRPr="007A3204">
        <w:rPr>
          <w:rFonts w:ascii="Aptos" w:hAnsi="Aptos" w:cs="Times New Roman"/>
        </w:rPr>
        <w:t>on the TC concentration and stock in intensively managed grassland soils.</w:t>
      </w:r>
    </w:p>
    <w:p w14:paraId="76CBB6E9" w14:textId="77777777" w:rsidR="00D20D44" w:rsidRPr="00D20D44" w:rsidRDefault="00D20D44" w:rsidP="00D20D44">
      <w:pPr>
        <w:spacing w:after="0" w:line="240" w:lineRule="auto"/>
        <w:jc w:val="both"/>
        <w:rPr>
          <w:rFonts w:ascii="Aptos" w:hAnsi="Aptos" w:cs="Times New Roman"/>
        </w:rPr>
      </w:pPr>
    </w:p>
    <w:p w14:paraId="1F63B1C6" w14:textId="70D2D108" w:rsidR="007B30E3" w:rsidRDefault="007B30E3" w:rsidP="00D20D44">
      <w:pPr>
        <w:spacing w:after="0"/>
        <w:rPr>
          <w:b/>
          <w:bCs/>
          <w:lang w:val="en-US"/>
        </w:rPr>
      </w:pPr>
      <w:r>
        <w:rPr>
          <w:b/>
          <w:bCs/>
          <w:lang w:val="en-US"/>
        </w:rPr>
        <w:t>Materials and Methods</w:t>
      </w:r>
    </w:p>
    <w:p w14:paraId="0E92B3B8" w14:textId="77777777" w:rsidR="00D20D44" w:rsidRPr="007A3204" w:rsidRDefault="00D20D44" w:rsidP="00D20D44">
      <w:pPr>
        <w:spacing w:after="0"/>
        <w:jc w:val="both"/>
        <w:rPr>
          <w:rFonts w:ascii="Aptos" w:eastAsia="Times New Roman" w:hAnsi="Aptos" w:cs="Times New Roman"/>
          <w:color w:val="FFFFFF"/>
        </w:rPr>
      </w:pPr>
      <w:r w:rsidRPr="007A3204">
        <w:rPr>
          <w:rFonts w:ascii="Aptos" w:hAnsi="Aptos" w:cs="Times New Roman"/>
        </w:rPr>
        <w:t xml:space="preserve">The study was carried out at Rowden Moor near North Wyke, Rothamsted Research, southwest England. The soil is derived from the underlying Carboniferous </w:t>
      </w:r>
      <w:proofErr w:type="spellStart"/>
      <w:r w:rsidRPr="007A3204">
        <w:rPr>
          <w:rFonts w:ascii="Aptos" w:hAnsi="Aptos" w:cs="Times New Roman"/>
        </w:rPr>
        <w:t>Crackington</w:t>
      </w:r>
      <w:proofErr w:type="spellEnd"/>
      <w:r w:rsidRPr="007A3204">
        <w:rPr>
          <w:rFonts w:ascii="Aptos" w:hAnsi="Aptos" w:cs="Times New Roman"/>
        </w:rPr>
        <w:t xml:space="preserve"> Formation. There were 12 experimental plots of 1-ha each. The plots consist of a series of hydrologically isolated fields (lysimeters). </w:t>
      </w:r>
      <w:r w:rsidRPr="007A3204">
        <w:rPr>
          <w:rFonts w:ascii="Aptos" w:eastAsia="Times New Roman" w:hAnsi="Aptos" w:cs="Times New Roman"/>
          <w:color w:val="000000"/>
          <w:shd w:val="clear" w:color="auto" w:fill="FFFFFF"/>
        </w:rPr>
        <w:t xml:space="preserve">Six plots have surface drainage only (undrained) and six plots have surface drainage plus 85-cm-depth subsurface drainage (drained). Half of the plots of each drainage type were managed under CG (in 20-day rotation cycles) and the other 6 under CS. </w:t>
      </w:r>
      <w:r w:rsidRPr="007A3204">
        <w:rPr>
          <w:rFonts w:ascii="Aptos" w:hAnsi="Aptos" w:cs="Times New Roman"/>
        </w:rPr>
        <w:t>The CG plots were divided into two lanes of 0.5 ha and each lane was subdivided into 30 cells</w:t>
      </w:r>
      <w:r w:rsidRPr="007A3204">
        <w:rPr>
          <w:rStyle w:val="CommentReference"/>
          <w:rFonts w:ascii="Aptos" w:hAnsi="Aptos" w:cs="Times New Roman"/>
          <w:sz w:val="22"/>
          <w:szCs w:val="22"/>
        </w:rPr>
        <w:t xml:space="preserve"> </w:t>
      </w:r>
      <w:r w:rsidRPr="007A3204">
        <w:rPr>
          <w:rFonts w:ascii="Aptos" w:hAnsi="Aptos" w:cs="Times New Roman"/>
        </w:rPr>
        <w:t>of 167 m</w:t>
      </w:r>
      <w:r w:rsidRPr="007A3204">
        <w:rPr>
          <w:rFonts w:ascii="Aptos" w:hAnsi="Aptos" w:cs="Times New Roman"/>
          <w:vertAlign w:val="superscript"/>
        </w:rPr>
        <w:t>2</w:t>
      </w:r>
      <w:r w:rsidRPr="007A3204">
        <w:rPr>
          <w:rFonts w:ascii="Aptos" w:hAnsi="Aptos" w:cs="Times New Roman"/>
        </w:rPr>
        <w:t xml:space="preserve"> using bespoke electric fencing and water supply equipment (</w:t>
      </w:r>
      <w:proofErr w:type="spellStart"/>
      <w:r w:rsidRPr="007A3204">
        <w:rPr>
          <w:rFonts w:ascii="Aptos" w:hAnsi="Aptos" w:cs="Times New Roman"/>
        </w:rPr>
        <w:t>KiwiTech</w:t>
      </w:r>
      <w:proofErr w:type="spellEnd"/>
      <w:r w:rsidRPr="007A3204">
        <w:rPr>
          <w:rFonts w:ascii="Aptos" w:hAnsi="Aptos" w:cs="Times New Roman"/>
        </w:rPr>
        <w:t xml:space="preserve"> Int). All plots were grazed with 10 - 15 ewes and 20-25 lambs </w:t>
      </w:r>
      <w:r w:rsidRPr="007A3204">
        <w:rPr>
          <w:rFonts w:ascii="Aptos" w:hAnsi="Aptos" w:cs="Times New Roman"/>
          <w:kern w:val="0"/>
          <w14:ligatures w14:val="none"/>
        </w:rPr>
        <w:t xml:space="preserve">from 2018 to 2022 during the grazing season (April to October). </w:t>
      </w:r>
      <w:r w:rsidRPr="007A3204">
        <w:rPr>
          <w:rFonts w:ascii="Aptos" w:hAnsi="Aptos" w:cs="Times New Roman"/>
        </w:rPr>
        <w:t>Ten soil cores were sampled from each of the 1-ha plots evenly distanced along a ‘</w:t>
      </w:r>
      <w:r w:rsidRPr="007A3204">
        <w:rPr>
          <w:rFonts w:ascii="Aptos" w:hAnsi="Aptos" w:cs="Times New Roman"/>
          <w:b/>
          <w:bCs/>
        </w:rPr>
        <w:t>W</w:t>
      </w:r>
      <w:r w:rsidRPr="007A3204">
        <w:rPr>
          <w:rFonts w:ascii="Aptos" w:hAnsi="Aptos" w:cs="Times New Roman"/>
        </w:rPr>
        <w:t xml:space="preserve">’ shape to capture field heterogeneity to a depth of 30 cm in August 2022. At each sampling point, the core was sub-divided into two cores (0-10 cm and 10-30 cm), making 240 soil samples in total. The soil samples were processed and analysed for TC concentration and stock. </w:t>
      </w:r>
      <w:r w:rsidRPr="007A3204">
        <w:rPr>
          <w:rFonts w:ascii="Aptos" w:hAnsi="Aptos" w:cs="Times New Roman"/>
          <w:i/>
          <w:iCs/>
        </w:rPr>
        <w:t xml:space="preserve">Lolium </w:t>
      </w:r>
      <w:proofErr w:type="spellStart"/>
      <w:r w:rsidRPr="007A3204">
        <w:rPr>
          <w:rFonts w:ascii="Aptos" w:hAnsi="Aptos" w:cs="Times New Roman"/>
          <w:i/>
          <w:iCs/>
        </w:rPr>
        <w:t>perenne</w:t>
      </w:r>
      <w:proofErr w:type="spellEnd"/>
      <w:r w:rsidRPr="007A3204">
        <w:rPr>
          <w:rFonts w:ascii="Aptos" w:hAnsi="Aptos" w:cs="Times New Roman"/>
        </w:rPr>
        <w:t xml:space="preserve">, </w:t>
      </w:r>
      <w:r w:rsidRPr="007A3204">
        <w:rPr>
          <w:rFonts w:ascii="Aptos" w:eastAsia="Times New Roman" w:hAnsi="Aptos" w:cs="Times New Roman"/>
          <w:i/>
          <w:iCs/>
          <w:color w:val="000000"/>
          <w:kern w:val="0"/>
          <w:lang w:eastAsia="en-GB"/>
          <w14:ligatures w14:val="none"/>
        </w:rPr>
        <w:t xml:space="preserve">Agrostis stolonifera </w:t>
      </w:r>
      <w:r w:rsidRPr="007A3204">
        <w:rPr>
          <w:rFonts w:ascii="Aptos" w:eastAsia="Times New Roman" w:hAnsi="Aptos" w:cs="Times New Roman"/>
          <w:color w:val="000000"/>
          <w:kern w:val="0"/>
          <w:lang w:eastAsia="en-GB"/>
          <w14:ligatures w14:val="none"/>
        </w:rPr>
        <w:t xml:space="preserve">and </w:t>
      </w:r>
      <w:r w:rsidRPr="007A3204">
        <w:rPr>
          <w:rFonts w:ascii="Aptos" w:eastAsia="Times New Roman" w:hAnsi="Aptos" w:cs="Times New Roman"/>
          <w:i/>
          <w:iCs/>
          <w:color w:val="000000"/>
          <w:kern w:val="0"/>
          <w:lang w:eastAsia="en-GB"/>
          <w14:ligatures w14:val="none"/>
        </w:rPr>
        <w:t xml:space="preserve">Holcus </w:t>
      </w:r>
      <w:proofErr w:type="spellStart"/>
      <w:r w:rsidRPr="007A3204">
        <w:rPr>
          <w:rFonts w:ascii="Aptos" w:eastAsia="Times New Roman" w:hAnsi="Aptos" w:cs="Times New Roman"/>
          <w:i/>
          <w:iCs/>
          <w:color w:val="000000"/>
          <w:kern w:val="0"/>
          <w:lang w:eastAsia="en-GB"/>
          <w14:ligatures w14:val="none"/>
        </w:rPr>
        <w:t>lanatus</w:t>
      </w:r>
      <w:proofErr w:type="spellEnd"/>
      <w:r w:rsidRPr="007A3204">
        <w:rPr>
          <w:rFonts w:ascii="Aptos" w:eastAsia="Times New Roman" w:hAnsi="Aptos" w:cs="Times New Roman"/>
          <w:i/>
          <w:iCs/>
          <w:color w:val="000000"/>
          <w:kern w:val="0"/>
          <w:lang w:eastAsia="en-GB"/>
          <w14:ligatures w14:val="none"/>
        </w:rPr>
        <w:t xml:space="preserve"> </w:t>
      </w:r>
      <w:r w:rsidRPr="007A3204">
        <w:rPr>
          <w:rFonts w:ascii="Aptos" w:eastAsia="Times New Roman" w:hAnsi="Aptos" w:cs="Times New Roman"/>
          <w:color w:val="000000"/>
          <w:kern w:val="0"/>
          <w:lang w:eastAsia="en-GB"/>
          <w14:ligatures w14:val="none"/>
        </w:rPr>
        <w:t>were the dominant grass species.</w:t>
      </w:r>
      <w:r w:rsidRPr="007A3204">
        <w:rPr>
          <w:rFonts w:ascii="Aptos" w:hAnsi="Aptos" w:cs="Times New Roman"/>
        </w:rPr>
        <w:t xml:space="preserve"> Data analysis was performed using the linear mixed model of JMP statistical software with GM, DS, and their interaction as fixed effects while plot, and cores were used as random effects.     </w:t>
      </w:r>
    </w:p>
    <w:p w14:paraId="31DE43A2" w14:textId="77777777" w:rsidR="007B30E3" w:rsidRDefault="007B30E3">
      <w:pPr>
        <w:rPr>
          <w:b/>
          <w:bCs/>
          <w:lang w:val="en-US"/>
        </w:rPr>
      </w:pPr>
    </w:p>
    <w:p w14:paraId="35CAF992" w14:textId="43ABAA1F" w:rsidR="007B30E3" w:rsidRDefault="007B30E3" w:rsidP="00D20D44">
      <w:pPr>
        <w:spacing w:after="0"/>
        <w:rPr>
          <w:b/>
          <w:bCs/>
          <w:lang w:val="en-US"/>
        </w:rPr>
      </w:pPr>
      <w:r>
        <w:rPr>
          <w:b/>
          <w:bCs/>
          <w:lang w:val="en-US"/>
        </w:rPr>
        <w:t>Results</w:t>
      </w:r>
    </w:p>
    <w:p w14:paraId="71FB7456" w14:textId="77777777" w:rsidR="00D20D44" w:rsidRPr="007A3204" w:rsidRDefault="00D20D44" w:rsidP="00D20D44">
      <w:pPr>
        <w:spacing w:after="0"/>
        <w:jc w:val="both"/>
        <w:rPr>
          <w:rFonts w:ascii="Aptos" w:eastAsia="Times New Roman" w:hAnsi="Aptos" w:cs="Times New Roman"/>
          <w:color w:val="FFFFFF"/>
        </w:rPr>
      </w:pPr>
      <w:r w:rsidRPr="007A3204">
        <w:rPr>
          <w:rFonts w:ascii="Aptos" w:hAnsi="Aptos" w:cs="Times New Roman"/>
          <w:color w:val="0D0D0D"/>
        </w:rPr>
        <w:t xml:space="preserve">Significant effects of GM and DS on soil TC were found </w:t>
      </w:r>
      <w:r w:rsidRPr="007A3204">
        <w:rPr>
          <w:rFonts w:ascii="Aptos" w:hAnsi="Aptos" w:cs="Times New Roman"/>
        </w:rPr>
        <w:t xml:space="preserve">at 0 – 10 cm soil depth. CG had 0.66 greater percentage points (pp- difference between percentages) carbon concentration than CS (Figure 1a). Undrained plots were 0.71 pp greater than the drained plots. </w:t>
      </w:r>
      <w:r w:rsidRPr="007A3204">
        <w:rPr>
          <w:rFonts w:ascii="Aptos" w:eastAsia="Times New Roman" w:hAnsi="Aptos" w:cs="Times New Roman"/>
        </w:rPr>
        <w:t>However, the main effects and their interaction were not significant at 0 – 30 cm (p = 0.6158, 0.6349, and 0.3097 for GM, DS, and GM x DS, respectively)</w:t>
      </w:r>
      <w:r w:rsidRPr="007A3204">
        <w:rPr>
          <w:rFonts w:ascii="Aptos" w:eastAsia="Times New Roman" w:hAnsi="Aptos" w:cs="Times New Roman"/>
          <w:color w:val="000000"/>
          <w:shd w:val="clear" w:color="auto" w:fill="FFFFFF"/>
        </w:rPr>
        <w:t>. Significant interaction existed between GM x DS on TC stock (</w:t>
      </w:r>
      <w:r w:rsidRPr="007A3204">
        <w:rPr>
          <w:rFonts w:ascii="Aptos" w:eastAsia="Times New Roman" w:hAnsi="Aptos" w:cs="Times New Roman"/>
          <w:i/>
          <w:iCs/>
          <w:color w:val="000000"/>
          <w:shd w:val="clear" w:color="auto" w:fill="FFFFFF"/>
        </w:rPr>
        <w:t xml:space="preserve">F </w:t>
      </w:r>
      <w:r w:rsidRPr="007A3204">
        <w:rPr>
          <w:rFonts w:ascii="Aptos" w:eastAsia="Times New Roman" w:hAnsi="Aptos" w:cs="Times New Roman"/>
          <w:color w:val="000000"/>
          <w:shd w:val="clear" w:color="auto" w:fill="FFFFFF"/>
        </w:rPr>
        <w:t>= 8.1890, </w:t>
      </w:r>
      <w:r w:rsidRPr="007A3204">
        <w:rPr>
          <w:rFonts w:ascii="Aptos" w:eastAsia="Times New Roman" w:hAnsi="Aptos" w:cs="Times New Roman"/>
          <w:i/>
          <w:iCs/>
          <w:color w:val="000000"/>
          <w:shd w:val="clear" w:color="auto" w:fill="FFFFFF"/>
        </w:rPr>
        <w:t xml:space="preserve">p </w:t>
      </w:r>
      <w:r w:rsidRPr="007A3204">
        <w:rPr>
          <w:rFonts w:ascii="Aptos" w:eastAsia="Times New Roman" w:hAnsi="Aptos" w:cs="Times New Roman"/>
          <w:color w:val="000000"/>
          <w:shd w:val="clear" w:color="auto" w:fill="FFFFFF"/>
        </w:rPr>
        <w:t xml:space="preserve">= 0.0050) at 0 – 10 cm depth with the highest stocks observed in the undrained CG plots (Figure 1b). </w:t>
      </w:r>
      <w:r w:rsidRPr="007A3204">
        <w:rPr>
          <w:rFonts w:ascii="Aptos" w:eastAsia="Times New Roman" w:hAnsi="Aptos" w:cs="Times New Roman"/>
        </w:rPr>
        <w:t>At 10 – 30 cm, there were no significant effects from the main factors or their interaction effect</w:t>
      </w:r>
      <w:r w:rsidRPr="007A3204">
        <w:rPr>
          <w:rFonts w:ascii="Aptos" w:eastAsia="Times New Roman" w:hAnsi="Aptos" w:cs="Times New Roman"/>
          <w:color w:val="000000"/>
          <w:shd w:val="clear" w:color="auto" w:fill="FFFFFF"/>
        </w:rPr>
        <w:t xml:space="preserve"> (</w:t>
      </w:r>
      <w:r w:rsidRPr="007A3204">
        <w:rPr>
          <w:rFonts w:ascii="Aptos" w:eastAsia="Times New Roman" w:hAnsi="Aptos" w:cs="Times New Roman"/>
          <w:i/>
          <w:iCs/>
          <w:color w:val="000000"/>
          <w:shd w:val="clear" w:color="auto" w:fill="FFFFFF"/>
        </w:rPr>
        <w:t xml:space="preserve">p </w:t>
      </w:r>
      <w:r w:rsidRPr="007A3204">
        <w:rPr>
          <w:rFonts w:ascii="Aptos" w:eastAsia="Times New Roman" w:hAnsi="Aptos" w:cs="Times New Roman"/>
          <w:color w:val="000000"/>
          <w:shd w:val="clear" w:color="auto" w:fill="FFFFFF"/>
        </w:rPr>
        <w:t>= 0.7123, 0.3178, and 0.8149, for GM, DS, and GM x DS, respectively). </w:t>
      </w:r>
      <w:r w:rsidRPr="007A3204">
        <w:rPr>
          <w:rFonts w:ascii="Aptos" w:hAnsi="Aptos" w:cs="Times New Roman"/>
        </w:rPr>
        <w:t xml:space="preserve">CG pastures are typically reported to have more plant litter and standing herbage that reduces evaporation losses by moderating extremes in soil surface temperatures, protecting the soil from drying winds, and </w:t>
      </w:r>
      <w:r w:rsidRPr="007A3204">
        <w:rPr>
          <w:rFonts w:ascii="Aptos" w:hAnsi="Aptos" w:cs="Times New Roman"/>
        </w:rPr>
        <w:lastRenderedPageBreak/>
        <w:t>conserving moisture better than CS pastures (</w:t>
      </w:r>
      <w:proofErr w:type="spellStart"/>
      <w:r w:rsidRPr="007A3204">
        <w:rPr>
          <w:rFonts w:ascii="Aptos" w:hAnsi="Aptos" w:cs="Times New Roman"/>
        </w:rPr>
        <w:t>Teutscherova</w:t>
      </w:r>
      <w:proofErr w:type="spellEnd"/>
      <w:r w:rsidRPr="007A3204">
        <w:rPr>
          <w:rFonts w:ascii="Aptos" w:hAnsi="Aptos" w:cs="Times New Roman"/>
        </w:rPr>
        <w:t xml:space="preserve"> et al., 2021), which could promote organic matter turnover compared to CS systems.</w:t>
      </w:r>
    </w:p>
    <w:p w14:paraId="56AB00B3" w14:textId="77777777" w:rsidR="00D20D44" w:rsidRPr="007A3204" w:rsidRDefault="00D20D44" w:rsidP="00D20D44">
      <w:pPr>
        <w:spacing w:after="0" w:line="240" w:lineRule="auto"/>
        <w:jc w:val="both"/>
        <w:rPr>
          <w:rFonts w:ascii="Aptos" w:hAnsi="Aptos" w:cs="Times New Roman"/>
        </w:rPr>
      </w:pPr>
      <w:r w:rsidRPr="007A3204">
        <w:rPr>
          <w:rFonts w:ascii="Aptos" w:hAnsi="Aptos"/>
          <w:noProof/>
        </w:rPr>
        <w:drawing>
          <wp:inline distT="0" distB="0" distL="0" distR="0" wp14:anchorId="29EC3518" wp14:editId="65BDA877">
            <wp:extent cx="5731510" cy="2290445"/>
            <wp:effectExtent l="0" t="0" r="2540" b="0"/>
            <wp:docPr id="1851779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79852" name=""/>
                    <pic:cNvPicPr/>
                  </pic:nvPicPr>
                  <pic:blipFill>
                    <a:blip r:embed="rId8"/>
                    <a:stretch>
                      <a:fillRect/>
                    </a:stretch>
                  </pic:blipFill>
                  <pic:spPr>
                    <a:xfrm>
                      <a:off x="0" y="0"/>
                      <a:ext cx="5731510" cy="2290445"/>
                    </a:xfrm>
                    <a:prstGeom prst="rect">
                      <a:avLst/>
                    </a:prstGeom>
                  </pic:spPr>
                </pic:pic>
              </a:graphicData>
            </a:graphic>
          </wp:inline>
        </w:drawing>
      </w:r>
    </w:p>
    <w:p w14:paraId="7946BDCC" w14:textId="77777777" w:rsidR="00D20D44" w:rsidRPr="00D20D44" w:rsidRDefault="00D20D44" w:rsidP="00D20D44">
      <w:pPr>
        <w:jc w:val="both"/>
        <w:rPr>
          <w:rFonts w:ascii="Aptos" w:eastAsia="Times New Roman" w:hAnsi="Aptos" w:cs="Times New Roman"/>
          <w:color w:val="FFFFFF"/>
          <w:sz w:val="20"/>
          <w:szCs w:val="20"/>
        </w:rPr>
      </w:pPr>
      <w:r w:rsidRPr="00D20D44">
        <w:rPr>
          <w:rFonts w:ascii="Aptos" w:eastAsia="Times New Roman" w:hAnsi="Aptos" w:cs="Times New Roman"/>
          <w:color w:val="000000"/>
          <w:sz w:val="20"/>
          <w:szCs w:val="20"/>
          <w:shd w:val="clear" w:color="auto" w:fill="FFFFFF"/>
        </w:rPr>
        <w:t>Figure 1: Box plots showing the main effect grazing method (GM; cell grazed, CG; and continuous stocking, CS) and drainage system (DS; drained, D; and undrained, U) for total carbon concentration (a) and the bar graph with GM x DS (b) at 0 -10 cm and 10 – 30 cm soil depth. Error bars are constructed from a 95% confidence interval.</w:t>
      </w:r>
    </w:p>
    <w:p w14:paraId="3D5C9672" w14:textId="14449DC3" w:rsidR="007B30E3" w:rsidRDefault="007B30E3">
      <w:pPr>
        <w:rPr>
          <w:b/>
          <w:bCs/>
          <w:lang w:val="en-US"/>
        </w:rPr>
      </w:pPr>
    </w:p>
    <w:p w14:paraId="68E461EC" w14:textId="317E8356" w:rsidR="007B30E3" w:rsidRDefault="007B30E3" w:rsidP="00D20D44">
      <w:pPr>
        <w:spacing w:after="0"/>
        <w:rPr>
          <w:b/>
          <w:bCs/>
          <w:lang w:val="en-US"/>
        </w:rPr>
      </w:pPr>
      <w:r>
        <w:rPr>
          <w:b/>
          <w:bCs/>
          <w:lang w:val="en-US"/>
        </w:rPr>
        <w:t>Conclusions</w:t>
      </w:r>
    </w:p>
    <w:p w14:paraId="6B93210A" w14:textId="77777777" w:rsidR="00D20D44" w:rsidRPr="007A3204" w:rsidRDefault="00D20D44" w:rsidP="00D20D44">
      <w:pPr>
        <w:spacing w:after="0" w:line="240" w:lineRule="auto"/>
        <w:jc w:val="both"/>
        <w:rPr>
          <w:rFonts w:ascii="Aptos" w:hAnsi="Aptos" w:cs="Times New Roman"/>
          <w:color w:val="1C1C1C"/>
          <w:shd w:val="clear" w:color="auto" w:fill="FFFFFF"/>
        </w:rPr>
      </w:pPr>
      <w:r w:rsidRPr="007A3204">
        <w:rPr>
          <w:rFonts w:ascii="Aptos" w:hAnsi="Aptos" w:cs="Times New Roman"/>
          <w:color w:val="1C1C1C"/>
          <w:shd w:val="clear" w:color="auto" w:fill="FFFFFF"/>
        </w:rPr>
        <w:t xml:space="preserve">Greater TC concentrations and stocks occurred in the upper soil layer (0-10cm) in CG plots compared to CS plots after five years of different management.  </w:t>
      </w:r>
    </w:p>
    <w:p w14:paraId="41A3C7EB" w14:textId="77777777" w:rsidR="007B30E3" w:rsidRDefault="007B30E3">
      <w:pPr>
        <w:rPr>
          <w:b/>
          <w:bCs/>
          <w:lang w:val="en-US"/>
        </w:rPr>
      </w:pPr>
    </w:p>
    <w:p w14:paraId="0ADB320F" w14:textId="5E6F53FF" w:rsidR="007B30E3" w:rsidRDefault="007B30E3" w:rsidP="00D20D44">
      <w:pPr>
        <w:spacing w:after="0"/>
        <w:rPr>
          <w:b/>
          <w:bCs/>
          <w:lang w:val="en-US"/>
        </w:rPr>
      </w:pPr>
      <w:r>
        <w:rPr>
          <w:b/>
          <w:bCs/>
          <w:lang w:val="en-US"/>
        </w:rPr>
        <w:t>References</w:t>
      </w:r>
    </w:p>
    <w:p w14:paraId="7A9A2022" w14:textId="000F6846" w:rsidR="00D20D44" w:rsidRPr="007A3204" w:rsidRDefault="00D20D44" w:rsidP="00D20D44">
      <w:pPr>
        <w:spacing w:after="0" w:line="240" w:lineRule="auto"/>
        <w:jc w:val="both"/>
        <w:rPr>
          <w:rStyle w:val="Hyperlink"/>
          <w:rFonts w:ascii="Aptos" w:hAnsi="Aptos" w:cs="Times New Roman"/>
        </w:rPr>
      </w:pPr>
      <w:proofErr w:type="spellStart"/>
      <w:r w:rsidRPr="007A3204">
        <w:rPr>
          <w:rFonts w:ascii="Aptos" w:hAnsi="Aptos" w:cs="Times New Roman"/>
        </w:rPr>
        <w:t>Boval</w:t>
      </w:r>
      <w:proofErr w:type="spellEnd"/>
      <w:r w:rsidRPr="007A3204">
        <w:rPr>
          <w:rFonts w:ascii="Aptos" w:hAnsi="Aptos" w:cs="Times New Roman"/>
        </w:rPr>
        <w:t xml:space="preserve">, M., </w:t>
      </w:r>
      <w:r>
        <w:rPr>
          <w:rFonts w:ascii="Aptos" w:hAnsi="Aptos" w:cs="Times New Roman"/>
        </w:rPr>
        <w:t>&amp;</w:t>
      </w:r>
      <w:r w:rsidRPr="007A3204">
        <w:rPr>
          <w:rFonts w:ascii="Aptos" w:hAnsi="Aptos" w:cs="Times New Roman"/>
        </w:rPr>
        <w:t xml:space="preserve"> Dixon, R.M.  </w:t>
      </w:r>
      <w:r>
        <w:rPr>
          <w:rFonts w:ascii="Aptos" w:hAnsi="Aptos" w:cs="Times New Roman"/>
        </w:rPr>
        <w:t>(</w:t>
      </w:r>
      <w:r w:rsidRPr="007A3204">
        <w:rPr>
          <w:rFonts w:ascii="Aptos" w:hAnsi="Aptos" w:cs="Times New Roman"/>
        </w:rPr>
        <w:t>2012</w:t>
      </w:r>
      <w:r>
        <w:rPr>
          <w:rFonts w:ascii="Aptos" w:hAnsi="Aptos" w:cs="Times New Roman"/>
        </w:rPr>
        <w:t>)</w:t>
      </w:r>
      <w:r w:rsidRPr="007A3204">
        <w:rPr>
          <w:rFonts w:ascii="Aptos" w:hAnsi="Aptos" w:cs="Times New Roman"/>
        </w:rPr>
        <w:t>. Animal 65,748–762.</w:t>
      </w:r>
      <w:r w:rsidRPr="007A3204">
        <w:rPr>
          <w:rStyle w:val="Hyperlink"/>
          <w:rFonts w:ascii="Aptos" w:hAnsi="Aptos" w:cs="Times New Roman"/>
        </w:rPr>
        <w:t xml:space="preserve"> </w:t>
      </w:r>
    </w:p>
    <w:p w14:paraId="05CFAC32" w14:textId="47623F96" w:rsidR="00D20D44" w:rsidRPr="007A3204" w:rsidRDefault="00D20D44" w:rsidP="00D20D44">
      <w:pPr>
        <w:spacing w:after="0" w:line="240" w:lineRule="auto"/>
        <w:jc w:val="both"/>
        <w:rPr>
          <w:rFonts w:ascii="Aptos" w:hAnsi="Aptos" w:cs="Times New Roman"/>
        </w:rPr>
      </w:pPr>
      <w:r w:rsidRPr="007A3204">
        <w:rPr>
          <w:rFonts w:ascii="Aptos" w:hAnsi="Aptos" w:cs="Times New Roman"/>
        </w:rPr>
        <w:t xml:space="preserve">Harris, P., Bol, R., Evans, </w:t>
      </w:r>
      <w:proofErr w:type="spellStart"/>
      <w:proofErr w:type="gramStart"/>
      <w:r w:rsidRPr="007A3204">
        <w:rPr>
          <w:rFonts w:ascii="Aptos" w:hAnsi="Aptos" w:cs="Times New Roman"/>
        </w:rPr>
        <w:t>J.,Hawkins</w:t>
      </w:r>
      <w:proofErr w:type="spellEnd"/>
      <w:proofErr w:type="gramEnd"/>
      <w:r w:rsidRPr="007A3204">
        <w:rPr>
          <w:rFonts w:ascii="Aptos" w:hAnsi="Aptos" w:cs="Times New Roman"/>
        </w:rPr>
        <w:t xml:space="preserve">, J.M.B., </w:t>
      </w:r>
      <w:proofErr w:type="spellStart"/>
      <w:r w:rsidRPr="007A3204">
        <w:rPr>
          <w:rFonts w:ascii="Aptos" w:hAnsi="Aptos" w:cs="Times New Roman"/>
        </w:rPr>
        <w:t>Dixona</w:t>
      </w:r>
      <w:proofErr w:type="spellEnd"/>
      <w:r w:rsidRPr="007A3204">
        <w:rPr>
          <w:rFonts w:ascii="Aptos" w:hAnsi="Aptos" w:cs="Times New Roman"/>
        </w:rPr>
        <w:t xml:space="preserve">, E.R., Wolf, K., </w:t>
      </w:r>
      <w:proofErr w:type="spellStart"/>
      <w:r w:rsidRPr="007A3204">
        <w:rPr>
          <w:rFonts w:ascii="Aptos" w:hAnsi="Aptos" w:cs="Times New Roman"/>
        </w:rPr>
        <w:t>Dungait</w:t>
      </w:r>
      <w:proofErr w:type="spellEnd"/>
      <w:r w:rsidRPr="007A3204">
        <w:rPr>
          <w:rFonts w:ascii="Aptos" w:hAnsi="Aptos" w:cs="Times New Roman"/>
        </w:rPr>
        <w:t xml:space="preserve">, J.A.J.,  Griffith, B., Herbst, M.,  </w:t>
      </w:r>
      <w:proofErr w:type="spellStart"/>
      <w:r w:rsidRPr="007A3204">
        <w:rPr>
          <w:rFonts w:ascii="Aptos" w:hAnsi="Aptos" w:cs="Times New Roman"/>
        </w:rPr>
        <w:t>Dhanoa</w:t>
      </w:r>
      <w:proofErr w:type="spellEnd"/>
      <w:r w:rsidRPr="007A3204">
        <w:rPr>
          <w:rFonts w:ascii="Aptos" w:hAnsi="Aptos" w:cs="Times New Roman"/>
        </w:rPr>
        <w:t xml:space="preserve">, M.S., Beaumont, D.B., </w:t>
      </w:r>
      <w:proofErr w:type="spellStart"/>
      <w:r w:rsidRPr="007A3204">
        <w:rPr>
          <w:rFonts w:ascii="Aptos" w:hAnsi="Aptos" w:cs="Times New Roman"/>
        </w:rPr>
        <w:t>Dunna</w:t>
      </w:r>
      <w:proofErr w:type="spellEnd"/>
      <w:r w:rsidRPr="007A3204">
        <w:rPr>
          <w:rFonts w:ascii="Aptos" w:hAnsi="Aptos" w:cs="Times New Roman"/>
        </w:rPr>
        <w:t xml:space="preserve">, R.M., </w:t>
      </w:r>
      <w:proofErr w:type="spellStart"/>
      <w:r w:rsidRPr="007A3204">
        <w:rPr>
          <w:rFonts w:ascii="Aptos" w:hAnsi="Aptos" w:cs="Times New Roman"/>
        </w:rPr>
        <w:t>Wiesenberg</w:t>
      </w:r>
      <w:proofErr w:type="spellEnd"/>
      <w:r w:rsidRPr="007A3204">
        <w:rPr>
          <w:rFonts w:ascii="Aptos" w:hAnsi="Aptos" w:cs="Times New Roman"/>
        </w:rPr>
        <w:t xml:space="preserve">, </w:t>
      </w:r>
      <w:r>
        <w:rPr>
          <w:rFonts w:ascii="Aptos" w:hAnsi="Aptos" w:cs="Times New Roman"/>
        </w:rPr>
        <w:t xml:space="preserve">&amp; </w:t>
      </w:r>
      <w:r w:rsidRPr="007A3204">
        <w:rPr>
          <w:rFonts w:ascii="Aptos" w:hAnsi="Aptos" w:cs="Times New Roman"/>
        </w:rPr>
        <w:t xml:space="preserve">G.L.B. (2018). European Journal of Soil Science 69, 48–68.  </w:t>
      </w:r>
    </w:p>
    <w:p w14:paraId="0B0DA6C0" w14:textId="02EF6EF3" w:rsidR="00D20D44" w:rsidRPr="007A3204" w:rsidRDefault="00D20D44" w:rsidP="00D20D44">
      <w:pPr>
        <w:pStyle w:val="NormalWeb"/>
        <w:spacing w:before="0" w:beforeAutospacing="0" w:after="0" w:afterAutospacing="0"/>
        <w:jc w:val="both"/>
        <w:rPr>
          <w:rStyle w:val="Hyperlink"/>
          <w:rFonts w:ascii="Aptos" w:eastAsiaTheme="majorEastAsia" w:hAnsi="Aptos"/>
          <w:sz w:val="22"/>
          <w:szCs w:val="22"/>
        </w:rPr>
      </w:pPr>
      <w:proofErr w:type="spellStart"/>
      <w:r w:rsidRPr="007A3204">
        <w:rPr>
          <w:rFonts w:ascii="Aptos" w:hAnsi="Aptos"/>
          <w:sz w:val="22"/>
          <w:szCs w:val="22"/>
        </w:rPr>
        <w:t>Teutscherova</w:t>
      </w:r>
      <w:proofErr w:type="spellEnd"/>
      <w:r w:rsidRPr="007A3204">
        <w:rPr>
          <w:rFonts w:ascii="Aptos" w:hAnsi="Aptos"/>
          <w:sz w:val="22"/>
          <w:szCs w:val="22"/>
        </w:rPr>
        <w:t xml:space="preserve">, N., Vazquez, E., Sotelo, N., Villegas, D., Velasquez, N., </w:t>
      </w:r>
      <w:proofErr w:type="spellStart"/>
      <w:r w:rsidRPr="007A3204">
        <w:rPr>
          <w:rFonts w:ascii="Aptos" w:hAnsi="Aptos"/>
          <w:sz w:val="22"/>
          <w:szCs w:val="22"/>
        </w:rPr>
        <w:t>Baquero</w:t>
      </w:r>
      <w:proofErr w:type="spellEnd"/>
      <w:r w:rsidRPr="007A3204">
        <w:rPr>
          <w:rFonts w:ascii="Aptos" w:hAnsi="Aptos"/>
          <w:sz w:val="22"/>
          <w:szCs w:val="22"/>
        </w:rPr>
        <w:t xml:space="preserve">, D., </w:t>
      </w:r>
      <w:proofErr w:type="spellStart"/>
      <w:r w:rsidRPr="007A3204">
        <w:rPr>
          <w:rFonts w:ascii="Aptos" w:hAnsi="Aptos"/>
          <w:sz w:val="22"/>
          <w:szCs w:val="22"/>
        </w:rPr>
        <w:t>Pulleman</w:t>
      </w:r>
      <w:proofErr w:type="spellEnd"/>
      <w:r w:rsidRPr="007A3204">
        <w:rPr>
          <w:rFonts w:ascii="Aptos" w:hAnsi="Aptos"/>
          <w:sz w:val="22"/>
          <w:szCs w:val="22"/>
        </w:rPr>
        <w:t xml:space="preserve">, M., </w:t>
      </w:r>
      <w:r>
        <w:rPr>
          <w:rFonts w:ascii="Aptos" w:hAnsi="Aptos"/>
          <w:sz w:val="22"/>
          <w:szCs w:val="22"/>
        </w:rPr>
        <w:t xml:space="preserve">&amp; </w:t>
      </w:r>
      <w:r w:rsidRPr="007A3204">
        <w:rPr>
          <w:rFonts w:ascii="Aptos" w:hAnsi="Aptos"/>
          <w:sz w:val="22"/>
          <w:szCs w:val="22"/>
        </w:rPr>
        <w:t xml:space="preserve">Arango, J. (2021). Applied soil ecology, 159:103835. </w:t>
      </w:r>
    </w:p>
    <w:p w14:paraId="25C2CA26" w14:textId="77777777" w:rsidR="00D20D44" w:rsidRPr="007A3204" w:rsidRDefault="00D20D44" w:rsidP="00D20D44">
      <w:pPr>
        <w:pStyle w:val="NormalWeb"/>
        <w:spacing w:before="0" w:beforeAutospacing="0" w:after="0" w:afterAutospacing="0"/>
        <w:jc w:val="both"/>
        <w:rPr>
          <w:rFonts w:ascii="Aptos" w:hAnsi="Aptos"/>
          <w:sz w:val="22"/>
          <w:szCs w:val="22"/>
        </w:rPr>
      </w:pPr>
    </w:p>
    <w:p w14:paraId="23832E76" w14:textId="77777777" w:rsidR="00D20D44" w:rsidRPr="007B30E3" w:rsidRDefault="00D20D44">
      <w:pPr>
        <w:rPr>
          <w:b/>
          <w:bCs/>
          <w:lang w:val="en-US"/>
        </w:rPr>
      </w:pPr>
    </w:p>
    <w:sectPr w:rsidR="00D20D44"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383DCD"/>
    <w:rsid w:val="00397193"/>
    <w:rsid w:val="00625B14"/>
    <w:rsid w:val="00747EA5"/>
    <w:rsid w:val="007B30E3"/>
    <w:rsid w:val="00933E8C"/>
    <w:rsid w:val="00B52E4E"/>
    <w:rsid w:val="00C53AE2"/>
    <w:rsid w:val="00C95030"/>
    <w:rsid w:val="00D20D44"/>
    <w:rsid w:val="00DD21B5"/>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character" w:styleId="CommentReference">
    <w:name w:val="annotation reference"/>
    <w:basedOn w:val="DefaultParagraphFont"/>
    <w:uiPriority w:val="99"/>
    <w:semiHidden/>
    <w:unhideWhenUsed/>
    <w:rsid w:val="00D20D44"/>
    <w:rPr>
      <w:sz w:val="16"/>
      <w:szCs w:val="16"/>
    </w:rPr>
  </w:style>
  <w:style w:type="character" w:styleId="Hyperlink">
    <w:name w:val="Hyperlink"/>
    <w:basedOn w:val="DefaultParagraphFont"/>
    <w:uiPriority w:val="99"/>
    <w:unhideWhenUsed/>
    <w:rsid w:val="00D20D44"/>
    <w:rPr>
      <w:color w:val="467886" w:themeColor="hyperlink"/>
      <w:u w:val="single"/>
    </w:rPr>
  </w:style>
  <w:style w:type="paragraph" w:styleId="NormalWeb">
    <w:name w:val="Normal (Web)"/>
    <w:basedOn w:val="Normal"/>
    <w:uiPriority w:val="99"/>
    <w:unhideWhenUsed/>
    <w:rsid w:val="00D20D44"/>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3.xml><?xml version="1.0" encoding="utf-8"?>
<ds:datastoreItem xmlns:ds="http://schemas.openxmlformats.org/officeDocument/2006/customXml" ds:itemID="{443D4927-B381-4278-8881-89C86CBE0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Theo Akpensuen</cp:lastModifiedBy>
  <cp:revision>3</cp:revision>
  <dcterms:created xsi:type="dcterms:W3CDTF">2024-11-18T11:41:00Z</dcterms:created>
  <dcterms:modified xsi:type="dcterms:W3CDTF">2024-11-18T11:46:00Z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