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DA1F17" w14:textId="7A5D38F3" w:rsidR="00981D9D" w:rsidRPr="000725C9" w:rsidRDefault="00981D9D" w:rsidP="00A240C6">
      <w:pPr>
        <w:spacing w:after="0"/>
        <w:rPr>
          <w:rFonts w:ascii="Arial" w:hAnsi="Arial" w:cs="Arial"/>
          <w:b/>
          <w:bCs/>
        </w:rPr>
      </w:pPr>
      <w:r w:rsidRPr="000725C9">
        <w:rPr>
          <w:rFonts w:ascii="Arial" w:hAnsi="Arial" w:cs="Arial"/>
          <w:b/>
          <w:bCs/>
        </w:rPr>
        <w:t>Application</w:t>
      </w:r>
    </w:p>
    <w:p w14:paraId="48F2A87C" w14:textId="3BCC96DB" w:rsidR="00981D9D" w:rsidRDefault="004A5815" w:rsidP="00A240C6">
      <w:pPr>
        <w:spacing w:after="0"/>
        <w:jc w:val="both"/>
        <w:rPr>
          <w:rFonts w:ascii="Arial" w:hAnsi="Arial" w:cs="Arial"/>
        </w:rPr>
      </w:pPr>
      <w:r>
        <w:rPr>
          <w:rFonts w:ascii="Arial" w:hAnsi="Arial" w:cs="Arial"/>
        </w:rPr>
        <w:t xml:space="preserve">Estimates of residual metabolizable protein (MP) </w:t>
      </w:r>
      <w:r w:rsidR="00BE31E8">
        <w:rPr>
          <w:rFonts w:ascii="Arial" w:hAnsi="Arial" w:cs="Arial"/>
        </w:rPr>
        <w:t xml:space="preserve">intake (MPI) </w:t>
      </w:r>
      <w:r>
        <w:rPr>
          <w:rFonts w:ascii="Arial" w:hAnsi="Arial" w:cs="Arial"/>
        </w:rPr>
        <w:t>were highly correlated with dietary N use efficiency (NUE) and feed efficiency</w:t>
      </w:r>
      <w:r w:rsidR="00B82BC9">
        <w:rPr>
          <w:rFonts w:ascii="Arial" w:hAnsi="Arial" w:cs="Arial"/>
        </w:rPr>
        <w:t xml:space="preserve"> (FE)</w:t>
      </w:r>
      <w:r>
        <w:rPr>
          <w:rFonts w:ascii="Arial" w:hAnsi="Arial" w:cs="Arial"/>
        </w:rPr>
        <w:t xml:space="preserve">, and largely determined by N intake </w:t>
      </w:r>
      <w:r w:rsidR="004356B2">
        <w:rPr>
          <w:rFonts w:ascii="Arial" w:hAnsi="Arial" w:cs="Arial"/>
        </w:rPr>
        <w:t xml:space="preserve">(NI) </w:t>
      </w:r>
      <w:r>
        <w:rPr>
          <w:rFonts w:ascii="Arial" w:hAnsi="Arial" w:cs="Arial"/>
        </w:rPr>
        <w:t>and milk protein yield</w:t>
      </w:r>
      <w:r w:rsidR="00075F5D">
        <w:rPr>
          <w:rFonts w:ascii="Arial" w:hAnsi="Arial" w:cs="Arial"/>
        </w:rPr>
        <w:t>, suggesting</w:t>
      </w:r>
      <w:r>
        <w:rPr>
          <w:rFonts w:ascii="Arial" w:hAnsi="Arial" w:cs="Arial"/>
        </w:rPr>
        <w:t xml:space="preserve"> genetic selection for feed efficiency and milk protein yield will have positive effects on NUE in dairy cattle.</w:t>
      </w:r>
    </w:p>
    <w:p w14:paraId="44945621" w14:textId="77777777" w:rsidR="00A240C6" w:rsidRPr="000725C9" w:rsidRDefault="00A240C6" w:rsidP="00A240C6">
      <w:pPr>
        <w:spacing w:after="0"/>
        <w:jc w:val="both"/>
        <w:rPr>
          <w:rFonts w:ascii="Arial" w:hAnsi="Arial" w:cs="Arial"/>
        </w:rPr>
      </w:pPr>
    </w:p>
    <w:p w14:paraId="4C038A86" w14:textId="677F3DB2" w:rsidR="00330E29" w:rsidRPr="000725C9" w:rsidRDefault="00330E29" w:rsidP="00A240C6">
      <w:pPr>
        <w:spacing w:after="0"/>
        <w:rPr>
          <w:rFonts w:ascii="Arial" w:hAnsi="Arial" w:cs="Arial"/>
          <w:b/>
          <w:bCs/>
        </w:rPr>
      </w:pPr>
      <w:r w:rsidRPr="000725C9">
        <w:rPr>
          <w:rFonts w:ascii="Arial" w:hAnsi="Arial" w:cs="Arial"/>
          <w:b/>
          <w:bCs/>
        </w:rPr>
        <w:t>Introduction</w:t>
      </w:r>
    </w:p>
    <w:p w14:paraId="0CF2DC2B" w14:textId="502B249E" w:rsidR="00FE57E6" w:rsidRPr="00FE57E6" w:rsidRDefault="004A5815" w:rsidP="00A240C6">
      <w:pPr>
        <w:spacing w:after="0"/>
        <w:rPr>
          <w:rFonts w:ascii="Arial" w:hAnsi="Arial" w:cs="Arial"/>
        </w:rPr>
      </w:pPr>
      <w:r>
        <w:rPr>
          <w:rFonts w:ascii="Arial" w:hAnsi="Arial" w:cs="Arial"/>
        </w:rPr>
        <w:t xml:space="preserve">Dietary NUE </w:t>
      </w:r>
      <w:r w:rsidR="00A44C85">
        <w:rPr>
          <w:rFonts w:ascii="Arial" w:hAnsi="Arial" w:cs="Arial"/>
        </w:rPr>
        <w:t>(milk N/N</w:t>
      </w:r>
      <w:r w:rsidR="004356B2">
        <w:rPr>
          <w:rFonts w:ascii="Arial" w:hAnsi="Arial" w:cs="Arial"/>
        </w:rPr>
        <w:t>I</w:t>
      </w:r>
      <w:r w:rsidR="00A44C85">
        <w:rPr>
          <w:rFonts w:ascii="Arial" w:hAnsi="Arial" w:cs="Arial"/>
        </w:rPr>
        <w:t xml:space="preserve">) </w:t>
      </w:r>
      <w:r>
        <w:rPr>
          <w:rFonts w:ascii="Arial" w:hAnsi="Arial" w:cs="Arial"/>
        </w:rPr>
        <w:t xml:space="preserve">in </w:t>
      </w:r>
      <w:r w:rsidR="00A44C85">
        <w:rPr>
          <w:rFonts w:ascii="Arial" w:hAnsi="Arial" w:cs="Arial"/>
        </w:rPr>
        <w:t>lactating dairy cattle</w:t>
      </w:r>
      <w:r>
        <w:rPr>
          <w:rFonts w:ascii="Arial" w:hAnsi="Arial" w:cs="Arial"/>
        </w:rPr>
        <w:t xml:space="preserve"> is relatively</w:t>
      </w:r>
      <w:r w:rsidR="00A44C85">
        <w:rPr>
          <w:rFonts w:ascii="Arial" w:hAnsi="Arial" w:cs="Arial"/>
        </w:rPr>
        <w:t xml:space="preserve"> low</w:t>
      </w:r>
      <w:r>
        <w:rPr>
          <w:rFonts w:ascii="Arial" w:hAnsi="Arial" w:cs="Arial"/>
        </w:rPr>
        <w:t>, part</w:t>
      </w:r>
      <w:r w:rsidR="00D64831">
        <w:rPr>
          <w:rFonts w:ascii="Arial" w:hAnsi="Arial" w:cs="Arial"/>
        </w:rPr>
        <w:t xml:space="preserve">ly because of </w:t>
      </w:r>
      <w:r>
        <w:rPr>
          <w:rFonts w:ascii="Arial" w:hAnsi="Arial" w:cs="Arial"/>
        </w:rPr>
        <w:t xml:space="preserve">protein degradation in the rumen, with </w:t>
      </w:r>
      <w:r w:rsidR="00A44C85">
        <w:rPr>
          <w:rFonts w:ascii="Arial" w:hAnsi="Arial" w:cs="Arial"/>
        </w:rPr>
        <w:t>typically 75% or more of N</w:t>
      </w:r>
      <w:r w:rsidR="004356B2">
        <w:rPr>
          <w:rFonts w:ascii="Arial" w:hAnsi="Arial" w:cs="Arial"/>
        </w:rPr>
        <w:t>I</w:t>
      </w:r>
      <w:r w:rsidR="00A44C85">
        <w:rPr>
          <w:rFonts w:ascii="Arial" w:hAnsi="Arial" w:cs="Arial"/>
        </w:rPr>
        <w:t xml:space="preserve"> excreted in faeces and urine of lactating dairy cows.  These </w:t>
      </w:r>
      <w:r w:rsidR="00B82BC9">
        <w:rPr>
          <w:rFonts w:ascii="Arial" w:hAnsi="Arial" w:cs="Arial"/>
        </w:rPr>
        <w:t xml:space="preserve">manure N </w:t>
      </w:r>
      <w:r w:rsidR="00A44C85">
        <w:rPr>
          <w:rFonts w:ascii="Arial" w:hAnsi="Arial" w:cs="Arial"/>
        </w:rPr>
        <w:t xml:space="preserve">losses contribute to inventories of nitrate, nitrous oxide, and ammonia associated with milk production.  </w:t>
      </w:r>
      <w:r w:rsidR="004356B2">
        <w:rPr>
          <w:rFonts w:ascii="Arial" w:hAnsi="Arial" w:cs="Arial"/>
        </w:rPr>
        <w:t xml:space="preserve">As NUE is inversely related to NI, decreases in diet crude protein (CP) concentration are invariably associated with increased NUE.  </w:t>
      </w:r>
      <w:r w:rsidR="00A44C85">
        <w:rPr>
          <w:rFonts w:ascii="Arial" w:hAnsi="Arial" w:cs="Arial"/>
        </w:rPr>
        <w:t xml:space="preserve">In previous studies (Reynolds et al., 2016) we observed considerable variation in NUE between individual animals, </w:t>
      </w:r>
      <w:r w:rsidR="004356B2">
        <w:rPr>
          <w:rFonts w:ascii="Arial" w:hAnsi="Arial" w:cs="Arial"/>
        </w:rPr>
        <w:t xml:space="preserve">and the range in NUE between animals was similar for diets differing in CP concentration.  This </w:t>
      </w:r>
      <w:r w:rsidR="00075F5D">
        <w:rPr>
          <w:rFonts w:ascii="Arial" w:hAnsi="Arial" w:cs="Arial"/>
        </w:rPr>
        <w:t>variation</w:t>
      </w:r>
      <w:r w:rsidR="004356B2">
        <w:rPr>
          <w:rFonts w:ascii="Arial" w:hAnsi="Arial" w:cs="Arial"/>
        </w:rPr>
        <w:t xml:space="preserve"> in NUE between animals </w:t>
      </w:r>
      <w:r w:rsidR="00A44C85">
        <w:rPr>
          <w:rFonts w:ascii="Arial" w:hAnsi="Arial" w:cs="Arial"/>
        </w:rPr>
        <w:t>suggest</w:t>
      </w:r>
      <w:r w:rsidR="004356B2">
        <w:rPr>
          <w:rFonts w:ascii="Arial" w:hAnsi="Arial" w:cs="Arial"/>
        </w:rPr>
        <w:t>s</w:t>
      </w:r>
      <w:r w:rsidR="00A44C85">
        <w:rPr>
          <w:rFonts w:ascii="Arial" w:hAnsi="Arial" w:cs="Arial"/>
        </w:rPr>
        <w:t xml:space="preserve"> there </w:t>
      </w:r>
      <w:r w:rsidR="00075F5D">
        <w:rPr>
          <w:rFonts w:ascii="Arial" w:hAnsi="Arial" w:cs="Arial"/>
        </w:rPr>
        <w:t>is</w:t>
      </w:r>
      <w:r w:rsidR="00A44C85">
        <w:rPr>
          <w:rFonts w:ascii="Arial" w:hAnsi="Arial" w:cs="Arial"/>
        </w:rPr>
        <w:t xml:space="preserve"> a genetic component to NUE as has been demonstrated for feed efficiency (milk energy yield/kg feed dry matter intake </w:t>
      </w:r>
      <w:r w:rsidR="00F05C21">
        <w:rPr>
          <w:rFonts w:ascii="Arial" w:hAnsi="Arial" w:cs="Arial"/>
        </w:rPr>
        <w:t>[</w:t>
      </w:r>
      <w:r w:rsidR="00A44C85">
        <w:rPr>
          <w:rFonts w:ascii="Arial" w:hAnsi="Arial" w:cs="Arial"/>
        </w:rPr>
        <w:t>DMI</w:t>
      </w:r>
      <w:r w:rsidR="00F05C21">
        <w:rPr>
          <w:rFonts w:ascii="Arial" w:hAnsi="Arial" w:cs="Arial"/>
        </w:rPr>
        <w:t>]) (</w:t>
      </w:r>
      <w:r w:rsidR="004356B2">
        <w:rPr>
          <w:rFonts w:ascii="Arial" w:hAnsi="Arial" w:cs="Arial"/>
        </w:rPr>
        <w:t>Liu and VandeHaar</w:t>
      </w:r>
      <w:r w:rsidR="00F05C21">
        <w:rPr>
          <w:rFonts w:ascii="Arial" w:hAnsi="Arial" w:cs="Arial"/>
        </w:rPr>
        <w:t>,</w:t>
      </w:r>
      <w:r w:rsidR="004356B2">
        <w:rPr>
          <w:rFonts w:ascii="Arial" w:hAnsi="Arial" w:cs="Arial"/>
        </w:rPr>
        <w:t xml:space="preserve"> 2020)</w:t>
      </w:r>
      <w:r w:rsidR="00FE57E6" w:rsidRPr="00FE57E6">
        <w:rPr>
          <w:rFonts w:ascii="Arial" w:hAnsi="Arial" w:cs="Arial"/>
        </w:rPr>
        <w:t>.</w:t>
      </w:r>
      <w:r w:rsidR="004356B2">
        <w:rPr>
          <w:rFonts w:ascii="Arial" w:hAnsi="Arial" w:cs="Arial"/>
        </w:rPr>
        <w:t xml:space="preserve">  </w:t>
      </w:r>
    </w:p>
    <w:p w14:paraId="707D5B5F" w14:textId="77777777" w:rsidR="002D12B5" w:rsidRDefault="002D12B5" w:rsidP="00A240C6">
      <w:pPr>
        <w:spacing w:after="0"/>
        <w:rPr>
          <w:rFonts w:ascii="Arial" w:hAnsi="Arial" w:cs="Arial"/>
        </w:rPr>
      </w:pPr>
    </w:p>
    <w:p w14:paraId="5A502D6C" w14:textId="3E4EBA19" w:rsidR="00981D9D" w:rsidRDefault="00A44C85" w:rsidP="00A240C6">
      <w:pPr>
        <w:spacing w:after="0"/>
        <w:rPr>
          <w:rFonts w:ascii="Arial" w:hAnsi="Arial" w:cs="Arial"/>
        </w:rPr>
      </w:pPr>
      <w:r>
        <w:rPr>
          <w:rFonts w:ascii="Arial" w:hAnsi="Arial" w:cs="Arial"/>
        </w:rPr>
        <w:t xml:space="preserve">Residual feed intake (DMI minus predicted DMI based on estimated </w:t>
      </w:r>
      <w:r w:rsidR="00043DE3">
        <w:rPr>
          <w:rFonts w:ascii="Arial" w:hAnsi="Arial" w:cs="Arial"/>
        </w:rPr>
        <w:t>metabolizable energy [</w:t>
      </w:r>
      <w:r w:rsidR="0044348F">
        <w:rPr>
          <w:rFonts w:ascii="Arial" w:hAnsi="Arial" w:cs="Arial"/>
        </w:rPr>
        <w:t>ME</w:t>
      </w:r>
      <w:r w:rsidR="00043DE3">
        <w:rPr>
          <w:rFonts w:ascii="Arial" w:hAnsi="Arial" w:cs="Arial"/>
        </w:rPr>
        <w:t>] or net energy</w:t>
      </w:r>
      <w:r>
        <w:rPr>
          <w:rFonts w:ascii="Arial" w:hAnsi="Arial" w:cs="Arial"/>
        </w:rPr>
        <w:t xml:space="preserve"> requirement) </w:t>
      </w:r>
      <w:r w:rsidR="004356B2">
        <w:rPr>
          <w:rFonts w:ascii="Arial" w:hAnsi="Arial" w:cs="Arial"/>
        </w:rPr>
        <w:t>is used to compare FE between individual animals.  We hypothesized that calculation of residual MP</w:t>
      </w:r>
      <w:r w:rsidR="00BE31E8">
        <w:rPr>
          <w:rFonts w:ascii="Arial" w:hAnsi="Arial" w:cs="Arial"/>
        </w:rPr>
        <w:t xml:space="preserve">I </w:t>
      </w:r>
      <w:r w:rsidR="004356B2">
        <w:rPr>
          <w:rFonts w:ascii="Arial" w:hAnsi="Arial" w:cs="Arial"/>
        </w:rPr>
        <w:t xml:space="preserve">might </w:t>
      </w:r>
      <w:r w:rsidR="00043DE3">
        <w:rPr>
          <w:rFonts w:ascii="Arial" w:hAnsi="Arial" w:cs="Arial"/>
        </w:rPr>
        <w:t>provide</w:t>
      </w:r>
      <w:r w:rsidR="004356B2">
        <w:rPr>
          <w:rFonts w:ascii="Arial" w:hAnsi="Arial" w:cs="Arial"/>
        </w:rPr>
        <w:t xml:space="preserve"> a more </w:t>
      </w:r>
      <w:r w:rsidR="00075F5D">
        <w:rPr>
          <w:rFonts w:ascii="Arial" w:hAnsi="Arial" w:cs="Arial"/>
        </w:rPr>
        <w:t>appropriate</w:t>
      </w:r>
      <w:r w:rsidR="004356B2">
        <w:rPr>
          <w:rFonts w:ascii="Arial" w:hAnsi="Arial" w:cs="Arial"/>
        </w:rPr>
        <w:t xml:space="preserve"> estimate of animal variation in protein use efficiency than NUE, </w:t>
      </w:r>
      <w:r w:rsidR="00B82BC9">
        <w:rPr>
          <w:rFonts w:ascii="Arial" w:hAnsi="Arial" w:cs="Arial"/>
        </w:rPr>
        <w:t>as</w:t>
      </w:r>
      <w:r w:rsidR="00075F5D">
        <w:rPr>
          <w:rFonts w:ascii="Arial" w:hAnsi="Arial" w:cs="Arial"/>
        </w:rPr>
        <w:t xml:space="preserve"> animals do not have a </w:t>
      </w:r>
      <w:r w:rsidR="00D64831">
        <w:rPr>
          <w:rFonts w:ascii="Arial" w:hAnsi="Arial" w:cs="Arial"/>
        </w:rPr>
        <w:t xml:space="preserve">CP </w:t>
      </w:r>
      <w:r w:rsidR="00075F5D">
        <w:rPr>
          <w:rFonts w:ascii="Arial" w:hAnsi="Arial" w:cs="Arial"/>
        </w:rPr>
        <w:t>requirement per se</w:t>
      </w:r>
      <w:r w:rsidR="004356B2">
        <w:rPr>
          <w:rFonts w:ascii="Arial" w:hAnsi="Arial" w:cs="Arial"/>
        </w:rPr>
        <w:t xml:space="preserve">.  Therefore, our objective was to </w:t>
      </w:r>
      <w:r w:rsidR="006E2A32">
        <w:rPr>
          <w:rFonts w:ascii="Arial" w:hAnsi="Arial" w:cs="Arial"/>
        </w:rPr>
        <w:t>compare estimates of residual MP</w:t>
      </w:r>
      <w:r w:rsidR="00043DE3">
        <w:rPr>
          <w:rFonts w:ascii="Arial" w:hAnsi="Arial" w:cs="Arial"/>
        </w:rPr>
        <w:t>I</w:t>
      </w:r>
      <w:r w:rsidR="006E2A32">
        <w:rPr>
          <w:rFonts w:ascii="Arial" w:hAnsi="Arial" w:cs="Arial"/>
        </w:rPr>
        <w:t xml:space="preserve"> with NUE and FE and use multivariate regression to evaluate their primary determinants.  </w:t>
      </w:r>
    </w:p>
    <w:p w14:paraId="1C8F669C" w14:textId="77777777" w:rsidR="00A240C6" w:rsidRPr="000725C9" w:rsidRDefault="00A240C6" w:rsidP="00A240C6">
      <w:pPr>
        <w:spacing w:after="0"/>
        <w:rPr>
          <w:rFonts w:ascii="Arial" w:hAnsi="Arial" w:cs="Arial"/>
        </w:rPr>
      </w:pPr>
    </w:p>
    <w:p w14:paraId="71C4FD12" w14:textId="050A05EE" w:rsidR="00981D9D" w:rsidRPr="000725C9" w:rsidRDefault="005F6F2F" w:rsidP="00A240C6">
      <w:pPr>
        <w:spacing w:after="0"/>
        <w:rPr>
          <w:rFonts w:ascii="Arial" w:hAnsi="Arial" w:cs="Arial"/>
          <w:b/>
          <w:bCs/>
        </w:rPr>
      </w:pPr>
      <w:r w:rsidRPr="000725C9">
        <w:rPr>
          <w:rFonts w:ascii="Arial" w:hAnsi="Arial" w:cs="Arial"/>
          <w:b/>
          <w:bCs/>
        </w:rPr>
        <w:t>Materials and Methods</w:t>
      </w:r>
    </w:p>
    <w:p w14:paraId="71DAF9A8" w14:textId="36975924" w:rsidR="00977120" w:rsidRDefault="0044348F" w:rsidP="00A240C6">
      <w:pPr>
        <w:spacing w:after="0"/>
        <w:rPr>
          <w:rFonts w:ascii="Arial" w:hAnsi="Arial" w:cs="Arial"/>
        </w:rPr>
      </w:pPr>
      <w:r w:rsidRPr="0044348F">
        <w:rPr>
          <w:rFonts w:ascii="Arial" w:hAnsi="Arial" w:cs="Arial"/>
        </w:rPr>
        <w:t>A total of 4</w:t>
      </w:r>
      <w:r>
        <w:rPr>
          <w:rFonts w:ascii="Arial" w:hAnsi="Arial" w:cs="Arial"/>
        </w:rPr>
        <w:t>2</w:t>
      </w:r>
      <w:r w:rsidRPr="0044348F">
        <w:rPr>
          <w:rFonts w:ascii="Arial" w:hAnsi="Arial" w:cs="Arial"/>
        </w:rPr>
        <w:t xml:space="preserve"> </w:t>
      </w:r>
      <w:r>
        <w:rPr>
          <w:rFonts w:ascii="Arial" w:hAnsi="Arial" w:cs="Arial"/>
        </w:rPr>
        <w:t xml:space="preserve">Holstein </w:t>
      </w:r>
      <w:r w:rsidRPr="0044348F">
        <w:rPr>
          <w:rFonts w:ascii="Arial" w:hAnsi="Arial" w:cs="Arial"/>
        </w:rPr>
        <w:t xml:space="preserve">cows </w:t>
      </w:r>
      <w:r w:rsidR="004D0BC2">
        <w:rPr>
          <w:rFonts w:ascii="Arial" w:hAnsi="Arial" w:cs="Arial"/>
        </w:rPr>
        <w:t>(</w:t>
      </w:r>
      <w:r w:rsidR="00075F5D">
        <w:rPr>
          <w:rFonts w:ascii="Arial" w:hAnsi="Arial" w:cs="Arial"/>
        </w:rPr>
        <w:t xml:space="preserve">mean </w:t>
      </w:r>
      <w:r w:rsidR="004D0BC2">
        <w:rPr>
          <w:rFonts w:ascii="Arial" w:hAnsi="Arial" w:cs="Arial"/>
        </w:rPr>
        <w:t xml:space="preserve">parity </w:t>
      </w:r>
      <w:r w:rsidR="00075F5D">
        <w:rPr>
          <w:rFonts w:ascii="Arial" w:hAnsi="Arial" w:cs="Arial"/>
        </w:rPr>
        <w:t xml:space="preserve">and days in milk </w:t>
      </w:r>
      <w:r w:rsidR="004D0BC2">
        <w:rPr>
          <w:rFonts w:ascii="Arial" w:hAnsi="Arial" w:cs="Arial"/>
        </w:rPr>
        <w:t>3.6 and 131</w:t>
      </w:r>
      <w:r w:rsidR="00075F5D">
        <w:rPr>
          <w:rFonts w:ascii="Arial" w:hAnsi="Arial" w:cs="Arial"/>
        </w:rPr>
        <w:t>, respectively</w:t>
      </w:r>
      <w:r w:rsidR="004D0BC2">
        <w:rPr>
          <w:rFonts w:ascii="Arial" w:hAnsi="Arial" w:cs="Arial"/>
        </w:rPr>
        <w:t xml:space="preserve">) </w:t>
      </w:r>
      <w:r>
        <w:rPr>
          <w:rFonts w:ascii="Arial" w:hAnsi="Arial" w:cs="Arial"/>
        </w:rPr>
        <w:t>were</w:t>
      </w:r>
      <w:r w:rsidRPr="0044348F">
        <w:rPr>
          <w:rFonts w:ascii="Arial" w:hAnsi="Arial" w:cs="Arial"/>
        </w:rPr>
        <w:t xml:space="preserve"> individually fed using Calan gates for </w:t>
      </w:r>
      <w:r>
        <w:rPr>
          <w:rFonts w:ascii="Arial" w:hAnsi="Arial" w:cs="Arial"/>
        </w:rPr>
        <w:t>12</w:t>
      </w:r>
      <w:r w:rsidRPr="0044348F">
        <w:rPr>
          <w:rFonts w:ascii="Arial" w:hAnsi="Arial" w:cs="Arial"/>
        </w:rPr>
        <w:t xml:space="preserve"> weeks to provide measurements of </w:t>
      </w:r>
      <w:r>
        <w:rPr>
          <w:rFonts w:ascii="Arial" w:hAnsi="Arial" w:cs="Arial"/>
        </w:rPr>
        <w:t xml:space="preserve">daily DMI and milk yield and weekly milk composition and body weight.  Cows were </w:t>
      </w:r>
      <w:r w:rsidR="00F05C21">
        <w:rPr>
          <w:rFonts w:ascii="Arial" w:hAnsi="Arial" w:cs="Arial"/>
        </w:rPr>
        <w:t>offered</w:t>
      </w:r>
      <w:r>
        <w:rPr>
          <w:rFonts w:ascii="Arial" w:hAnsi="Arial" w:cs="Arial"/>
        </w:rPr>
        <w:t xml:space="preserve"> a 16% CP diet during a 3</w:t>
      </w:r>
      <w:r w:rsidR="00075F5D">
        <w:rPr>
          <w:rFonts w:ascii="Arial" w:hAnsi="Arial" w:cs="Arial"/>
        </w:rPr>
        <w:t>-</w:t>
      </w:r>
      <w:r>
        <w:rPr>
          <w:rFonts w:ascii="Arial" w:hAnsi="Arial" w:cs="Arial"/>
        </w:rPr>
        <w:t xml:space="preserve">wk covariate period and then changed to one of 2 diets (n=21 each) formulated to provide 90% (14% CP) or </w:t>
      </w:r>
      <w:r w:rsidR="0030124F">
        <w:rPr>
          <w:rFonts w:ascii="Arial" w:hAnsi="Arial" w:cs="Arial"/>
        </w:rPr>
        <w:t>105% (1</w:t>
      </w:r>
      <w:r>
        <w:rPr>
          <w:rFonts w:ascii="Arial" w:hAnsi="Arial" w:cs="Arial"/>
        </w:rPr>
        <w:t xml:space="preserve">8% CP) </w:t>
      </w:r>
      <w:r w:rsidR="00B82BC9">
        <w:rPr>
          <w:rFonts w:ascii="Arial" w:hAnsi="Arial" w:cs="Arial"/>
        </w:rPr>
        <w:t xml:space="preserve">of </w:t>
      </w:r>
      <w:r>
        <w:rPr>
          <w:rFonts w:ascii="Arial" w:hAnsi="Arial" w:cs="Arial"/>
        </w:rPr>
        <w:t xml:space="preserve">MP requirements (Reynolds et al., 2016) </w:t>
      </w:r>
      <w:r w:rsidR="00075F5D">
        <w:rPr>
          <w:rFonts w:ascii="Arial" w:hAnsi="Arial" w:cs="Arial"/>
        </w:rPr>
        <w:t xml:space="preserve">for a further </w:t>
      </w:r>
      <w:r>
        <w:rPr>
          <w:rFonts w:ascii="Arial" w:hAnsi="Arial" w:cs="Arial"/>
        </w:rPr>
        <w:t>9 weeks.  Residual MP</w:t>
      </w:r>
      <w:r w:rsidR="00BE31E8">
        <w:rPr>
          <w:rFonts w:ascii="Arial" w:hAnsi="Arial" w:cs="Arial"/>
        </w:rPr>
        <w:t>I</w:t>
      </w:r>
      <w:r>
        <w:rPr>
          <w:rFonts w:ascii="Arial" w:hAnsi="Arial" w:cs="Arial"/>
        </w:rPr>
        <w:t xml:space="preserve"> was calculated as </w:t>
      </w:r>
      <w:r w:rsidR="00B82BC9">
        <w:rPr>
          <w:rFonts w:ascii="Arial" w:hAnsi="Arial" w:cs="Arial"/>
        </w:rPr>
        <w:t xml:space="preserve">measured </w:t>
      </w:r>
      <w:r>
        <w:rPr>
          <w:rFonts w:ascii="Arial" w:hAnsi="Arial" w:cs="Arial"/>
        </w:rPr>
        <w:t>MP</w:t>
      </w:r>
      <w:r w:rsidR="00043DE3">
        <w:rPr>
          <w:rFonts w:ascii="Arial" w:hAnsi="Arial" w:cs="Arial"/>
        </w:rPr>
        <w:t>I</w:t>
      </w:r>
      <w:r>
        <w:rPr>
          <w:rFonts w:ascii="Arial" w:hAnsi="Arial" w:cs="Arial"/>
        </w:rPr>
        <w:t xml:space="preserve"> minus MP requirements (</w:t>
      </w:r>
      <w:r w:rsidRPr="0044348F">
        <w:rPr>
          <w:rFonts w:ascii="Arial" w:hAnsi="Arial" w:cs="Arial"/>
        </w:rPr>
        <w:t>milk protein production, maintenance, body weight change, and gestation</w:t>
      </w:r>
      <w:r>
        <w:rPr>
          <w:rFonts w:ascii="Arial" w:hAnsi="Arial" w:cs="Arial"/>
        </w:rPr>
        <w:t>)</w:t>
      </w:r>
      <w:r w:rsidRPr="0044348F">
        <w:rPr>
          <w:rFonts w:ascii="Arial" w:hAnsi="Arial" w:cs="Arial"/>
        </w:rPr>
        <w:t xml:space="preserve"> </w:t>
      </w:r>
      <w:r>
        <w:rPr>
          <w:rFonts w:ascii="Arial" w:hAnsi="Arial" w:cs="Arial"/>
        </w:rPr>
        <w:t xml:space="preserve">using </w:t>
      </w:r>
      <w:r w:rsidR="004D0BC2">
        <w:rPr>
          <w:rFonts w:ascii="Arial" w:hAnsi="Arial" w:cs="Arial"/>
        </w:rPr>
        <w:t xml:space="preserve">weekly averages and </w:t>
      </w:r>
      <w:r>
        <w:rPr>
          <w:rFonts w:ascii="Arial" w:hAnsi="Arial" w:cs="Arial"/>
        </w:rPr>
        <w:t xml:space="preserve">Feed into Milk (FiM; Thomas, 2004).  Residual </w:t>
      </w:r>
      <w:r w:rsidR="00043DE3">
        <w:rPr>
          <w:rFonts w:ascii="Arial" w:hAnsi="Arial" w:cs="Arial"/>
        </w:rPr>
        <w:t>ME</w:t>
      </w:r>
      <w:r>
        <w:rPr>
          <w:rFonts w:ascii="Arial" w:hAnsi="Arial" w:cs="Arial"/>
        </w:rPr>
        <w:t xml:space="preserve"> </w:t>
      </w:r>
      <w:r w:rsidR="00BE31E8">
        <w:rPr>
          <w:rFonts w:ascii="Arial" w:hAnsi="Arial" w:cs="Arial"/>
        </w:rPr>
        <w:t xml:space="preserve">intake </w:t>
      </w:r>
      <w:r>
        <w:rPr>
          <w:rFonts w:ascii="Arial" w:hAnsi="Arial" w:cs="Arial"/>
        </w:rPr>
        <w:t>(ME</w:t>
      </w:r>
      <w:r w:rsidR="00BE31E8">
        <w:rPr>
          <w:rFonts w:ascii="Arial" w:hAnsi="Arial" w:cs="Arial"/>
        </w:rPr>
        <w:t>I</w:t>
      </w:r>
      <w:r>
        <w:rPr>
          <w:rFonts w:ascii="Arial" w:hAnsi="Arial" w:cs="Arial"/>
        </w:rPr>
        <w:t>) as a measure of FE was also calculated using ME</w:t>
      </w:r>
      <w:r w:rsidR="00043DE3">
        <w:rPr>
          <w:rFonts w:ascii="Arial" w:hAnsi="Arial" w:cs="Arial"/>
        </w:rPr>
        <w:t xml:space="preserve">I </w:t>
      </w:r>
      <w:r>
        <w:rPr>
          <w:rFonts w:ascii="Arial" w:hAnsi="Arial" w:cs="Arial"/>
        </w:rPr>
        <w:t xml:space="preserve">and </w:t>
      </w:r>
      <w:r w:rsidR="00043DE3" w:rsidRPr="00043DE3">
        <w:rPr>
          <w:rFonts w:ascii="Arial" w:hAnsi="Arial" w:cs="Arial"/>
        </w:rPr>
        <w:t xml:space="preserve">FiM estimates of </w:t>
      </w:r>
      <w:r w:rsidR="00043DE3">
        <w:rPr>
          <w:rFonts w:ascii="Arial" w:hAnsi="Arial" w:cs="Arial"/>
        </w:rPr>
        <w:t xml:space="preserve">ME </w:t>
      </w:r>
      <w:r>
        <w:rPr>
          <w:rFonts w:ascii="Arial" w:hAnsi="Arial" w:cs="Arial"/>
        </w:rPr>
        <w:t xml:space="preserve">requirement.  </w:t>
      </w:r>
      <w:r w:rsidR="00C65A79">
        <w:rPr>
          <w:rFonts w:ascii="Arial" w:hAnsi="Arial" w:cs="Arial"/>
        </w:rPr>
        <w:t>Pearson correlation</w:t>
      </w:r>
      <w:r w:rsidR="00075F5D">
        <w:rPr>
          <w:rFonts w:ascii="Arial" w:hAnsi="Arial" w:cs="Arial"/>
        </w:rPr>
        <w:t>s</w:t>
      </w:r>
      <w:r w:rsidR="00C65A79">
        <w:rPr>
          <w:rFonts w:ascii="Arial" w:hAnsi="Arial" w:cs="Arial"/>
        </w:rPr>
        <w:t xml:space="preserve"> of efficiency </w:t>
      </w:r>
      <w:r w:rsidR="00075F5D">
        <w:rPr>
          <w:rFonts w:ascii="Arial" w:hAnsi="Arial" w:cs="Arial"/>
        </w:rPr>
        <w:t>estimate</w:t>
      </w:r>
      <w:r w:rsidR="00C65A79">
        <w:rPr>
          <w:rFonts w:ascii="Arial" w:hAnsi="Arial" w:cs="Arial"/>
        </w:rPr>
        <w:t xml:space="preserve">s and production parameters were determined using SAS.  </w:t>
      </w:r>
      <w:r w:rsidR="001E6E3E">
        <w:rPr>
          <w:rFonts w:ascii="Arial" w:hAnsi="Arial" w:cs="Arial"/>
        </w:rPr>
        <w:t xml:space="preserve">Weekly averages </w:t>
      </w:r>
      <w:r w:rsidR="00A73147" w:rsidRPr="00A73147">
        <w:rPr>
          <w:rFonts w:ascii="Arial" w:hAnsi="Arial" w:cs="Arial"/>
        </w:rPr>
        <w:t xml:space="preserve">were analysed using Mixed Models procedures testing fixed effects of </w:t>
      </w:r>
      <w:r w:rsidR="001A79EC">
        <w:rPr>
          <w:rFonts w:ascii="Arial" w:hAnsi="Arial" w:cs="Arial"/>
        </w:rPr>
        <w:t xml:space="preserve">diet CP, </w:t>
      </w:r>
      <w:r w:rsidR="001E6E3E">
        <w:rPr>
          <w:rFonts w:ascii="Arial" w:hAnsi="Arial" w:cs="Arial"/>
        </w:rPr>
        <w:t>week</w:t>
      </w:r>
      <w:r w:rsidR="00A73147" w:rsidRPr="00A73147">
        <w:rPr>
          <w:rFonts w:ascii="Arial" w:hAnsi="Arial" w:cs="Arial"/>
        </w:rPr>
        <w:t xml:space="preserve">, and their interaction and random effects of </w:t>
      </w:r>
      <w:r w:rsidR="001A79EC">
        <w:rPr>
          <w:rFonts w:ascii="Arial" w:hAnsi="Arial" w:cs="Arial"/>
        </w:rPr>
        <w:t>cow</w:t>
      </w:r>
      <w:r w:rsidR="00A73147" w:rsidRPr="00A73147">
        <w:rPr>
          <w:rFonts w:ascii="Arial" w:hAnsi="Arial" w:cs="Arial"/>
        </w:rPr>
        <w:t xml:space="preserve">, with </w:t>
      </w:r>
      <w:r w:rsidR="001E6E3E">
        <w:rPr>
          <w:rFonts w:ascii="Arial" w:hAnsi="Arial" w:cs="Arial"/>
        </w:rPr>
        <w:t>week</w:t>
      </w:r>
      <w:r w:rsidR="00A73147" w:rsidRPr="00A73147">
        <w:rPr>
          <w:rFonts w:ascii="Arial" w:hAnsi="Arial" w:cs="Arial"/>
        </w:rPr>
        <w:t xml:space="preserve"> as a repeated effect.  </w:t>
      </w:r>
      <w:r w:rsidR="001A79EC">
        <w:rPr>
          <w:rFonts w:ascii="Arial" w:hAnsi="Arial" w:cs="Arial"/>
        </w:rPr>
        <w:t xml:space="preserve">The </w:t>
      </w:r>
      <w:r w:rsidR="00B82BC9">
        <w:rPr>
          <w:rFonts w:ascii="Arial" w:hAnsi="Arial" w:cs="Arial"/>
        </w:rPr>
        <w:t xml:space="preserve">mixed </w:t>
      </w:r>
      <w:r w:rsidR="001A79EC">
        <w:rPr>
          <w:rFonts w:ascii="Arial" w:hAnsi="Arial" w:cs="Arial"/>
        </w:rPr>
        <w:t xml:space="preserve">model also included </w:t>
      </w:r>
      <w:r w:rsidR="001E6E3E">
        <w:rPr>
          <w:rFonts w:ascii="Arial" w:hAnsi="Arial" w:cs="Arial"/>
        </w:rPr>
        <w:t xml:space="preserve">average </w:t>
      </w:r>
      <w:r w:rsidR="001A79EC">
        <w:rPr>
          <w:rFonts w:ascii="Arial" w:hAnsi="Arial" w:cs="Arial"/>
        </w:rPr>
        <w:t>protein intake, milk yield, milk fat, protein, lactose, urea, and somatic cell concentrations, body weight (</w:t>
      </w:r>
      <w:r w:rsidR="00A73147" w:rsidRPr="00A73147">
        <w:rPr>
          <w:rFonts w:ascii="Arial" w:hAnsi="Arial" w:cs="Arial"/>
        </w:rPr>
        <w:t>BWT</w:t>
      </w:r>
      <w:r w:rsidR="001A79EC">
        <w:rPr>
          <w:rFonts w:ascii="Arial" w:hAnsi="Arial" w:cs="Arial"/>
        </w:rPr>
        <w:t>)</w:t>
      </w:r>
      <w:r w:rsidR="001E6E3E">
        <w:rPr>
          <w:rFonts w:ascii="Arial" w:hAnsi="Arial" w:cs="Arial"/>
        </w:rPr>
        <w:t>, and parity</w:t>
      </w:r>
      <w:r w:rsidR="001A79EC">
        <w:rPr>
          <w:rFonts w:ascii="Arial" w:hAnsi="Arial" w:cs="Arial"/>
        </w:rPr>
        <w:t xml:space="preserve"> as covariates.  </w:t>
      </w:r>
    </w:p>
    <w:p w14:paraId="7B629400" w14:textId="77777777" w:rsidR="00A73147" w:rsidRPr="008F244C" w:rsidRDefault="00A73147" w:rsidP="00A240C6">
      <w:pPr>
        <w:spacing w:after="0"/>
        <w:rPr>
          <w:rFonts w:ascii="Arial" w:hAnsi="Arial" w:cs="Arial"/>
        </w:rPr>
      </w:pPr>
    </w:p>
    <w:p w14:paraId="2D30622B" w14:textId="3582B929" w:rsidR="005F6F2F" w:rsidRPr="000725C9" w:rsidRDefault="0018720B" w:rsidP="00A240C6">
      <w:pPr>
        <w:spacing w:after="0"/>
        <w:rPr>
          <w:rFonts w:ascii="Arial" w:hAnsi="Arial" w:cs="Arial"/>
          <w:b/>
          <w:bCs/>
        </w:rPr>
      </w:pPr>
      <w:r w:rsidRPr="000725C9">
        <w:rPr>
          <w:rFonts w:ascii="Arial" w:hAnsi="Arial" w:cs="Arial"/>
          <w:b/>
          <w:bCs/>
        </w:rPr>
        <w:t>Results</w:t>
      </w:r>
    </w:p>
    <w:p w14:paraId="71596AEB" w14:textId="359D1D61" w:rsidR="00DD2DDE" w:rsidRDefault="00693418" w:rsidP="00A240C6">
      <w:pPr>
        <w:spacing w:after="0"/>
        <w:rPr>
          <w:rFonts w:ascii="Arial" w:hAnsi="Arial" w:cs="Arial"/>
        </w:rPr>
      </w:pPr>
      <w:r>
        <w:rPr>
          <w:rFonts w:ascii="Arial" w:hAnsi="Arial" w:cs="Arial"/>
        </w:rPr>
        <w:t>Within treatment diets, relative variation for residual MP</w:t>
      </w:r>
      <w:r w:rsidR="00BE31E8">
        <w:rPr>
          <w:rFonts w:ascii="Arial" w:hAnsi="Arial" w:cs="Arial"/>
        </w:rPr>
        <w:t>I</w:t>
      </w:r>
      <w:r>
        <w:rPr>
          <w:rFonts w:ascii="Arial" w:hAnsi="Arial" w:cs="Arial"/>
        </w:rPr>
        <w:t xml:space="preserve"> </w:t>
      </w:r>
      <w:r w:rsidR="00B82BC9">
        <w:rPr>
          <w:rFonts w:ascii="Arial" w:hAnsi="Arial" w:cs="Arial"/>
        </w:rPr>
        <w:t xml:space="preserve">between cows </w:t>
      </w:r>
      <w:r>
        <w:rPr>
          <w:rFonts w:ascii="Arial" w:hAnsi="Arial" w:cs="Arial"/>
        </w:rPr>
        <w:t>was similar to variation for NUE and residual ME</w:t>
      </w:r>
      <w:r w:rsidR="00BE31E8">
        <w:rPr>
          <w:rFonts w:ascii="Arial" w:hAnsi="Arial" w:cs="Arial"/>
        </w:rPr>
        <w:t>I</w:t>
      </w:r>
      <w:r>
        <w:rPr>
          <w:rFonts w:ascii="Arial" w:hAnsi="Arial" w:cs="Arial"/>
        </w:rPr>
        <w:t xml:space="preserve">.  </w:t>
      </w:r>
      <w:r w:rsidR="001E6E3E">
        <w:rPr>
          <w:rFonts w:ascii="Arial" w:hAnsi="Arial" w:cs="Arial"/>
        </w:rPr>
        <w:t xml:space="preserve">Pearson correlation </w:t>
      </w:r>
      <w:r w:rsidR="002F449B">
        <w:rPr>
          <w:rFonts w:ascii="Arial" w:hAnsi="Arial" w:cs="Arial"/>
        </w:rPr>
        <w:t>analysis showed significant correlations between residual MP</w:t>
      </w:r>
      <w:r w:rsidR="00BE31E8">
        <w:rPr>
          <w:rFonts w:ascii="Arial" w:hAnsi="Arial" w:cs="Arial"/>
        </w:rPr>
        <w:t>I</w:t>
      </w:r>
      <w:r w:rsidR="002F449B">
        <w:rPr>
          <w:rFonts w:ascii="Arial" w:hAnsi="Arial" w:cs="Arial"/>
        </w:rPr>
        <w:t xml:space="preserve"> and NUE (-0.710; P &lt; 0.001; Figure 1)</w:t>
      </w:r>
      <w:r w:rsidR="00B82BC9">
        <w:rPr>
          <w:rFonts w:ascii="Arial" w:hAnsi="Arial" w:cs="Arial"/>
        </w:rPr>
        <w:t xml:space="preserve"> and </w:t>
      </w:r>
      <w:r w:rsidR="002F449B">
        <w:rPr>
          <w:rFonts w:ascii="Arial" w:hAnsi="Arial" w:cs="Arial"/>
        </w:rPr>
        <w:t>residual ME</w:t>
      </w:r>
      <w:r w:rsidR="00BE31E8">
        <w:rPr>
          <w:rFonts w:ascii="Arial" w:hAnsi="Arial" w:cs="Arial"/>
        </w:rPr>
        <w:t>I</w:t>
      </w:r>
      <w:r w:rsidR="002F449B">
        <w:rPr>
          <w:rFonts w:ascii="Arial" w:hAnsi="Arial" w:cs="Arial"/>
        </w:rPr>
        <w:t xml:space="preserve"> (0.836; P &lt; 0.001).  Residual MP</w:t>
      </w:r>
      <w:r w:rsidR="00BE31E8">
        <w:rPr>
          <w:rFonts w:ascii="Arial" w:hAnsi="Arial" w:cs="Arial"/>
        </w:rPr>
        <w:t>I</w:t>
      </w:r>
      <w:r w:rsidR="002F449B">
        <w:rPr>
          <w:rFonts w:ascii="Arial" w:hAnsi="Arial" w:cs="Arial"/>
        </w:rPr>
        <w:t xml:space="preserve"> was greater (P &lt; 0.0</w:t>
      </w:r>
      <w:r w:rsidR="007C2A6D">
        <w:rPr>
          <w:rFonts w:ascii="Arial" w:hAnsi="Arial" w:cs="Arial"/>
        </w:rPr>
        <w:t>12</w:t>
      </w:r>
      <w:r w:rsidR="002F449B">
        <w:rPr>
          <w:rFonts w:ascii="Arial" w:hAnsi="Arial" w:cs="Arial"/>
        </w:rPr>
        <w:t>) for the 18% CP diet than the 14% CP diet (2</w:t>
      </w:r>
      <w:r w:rsidR="00A71329">
        <w:rPr>
          <w:rFonts w:ascii="Arial" w:hAnsi="Arial" w:cs="Arial"/>
        </w:rPr>
        <w:t>66</w:t>
      </w:r>
      <w:r w:rsidR="002F449B">
        <w:rPr>
          <w:rFonts w:ascii="Arial" w:hAnsi="Arial" w:cs="Arial"/>
        </w:rPr>
        <w:t xml:space="preserve"> vs </w:t>
      </w:r>
      <w:r w:rsidR="00A71329">
        <w:rPr>
          <w:rFonts w:ascii="Arial" w:hAnsi="Arial" w:cs="Arial"/>
        </w:rPr>
        <w:t>35</w:t>
      </w:r>
      <w:r w:rsidR="002F449B">
        <w:rPr>
          <w:rFonts w:ascii="Arial" w:hAnsi="Arial" w:cs="Arial"/>
        </w:rPr>
        <w:t xml:space="preserve"> g/d, respectively</w:t>
      </w:r>
      <w:r w:rsidR="00A71329">
        <w:rPr>
          <w:rFonts w:ascii="Arial" w:hAnsi="Arial" w:cs="Arial"/>
        </w:rPr>
        <w:t>; SEM = 48</w:t>
      </w:r>
      <w:r w:rsidR="002F449B">
        <w:rPr>
          <w:rFonts w:ascii="Arial" w:hAnsi="Arial" w:cs="Arial"/>
        </w:rPr>
        <w:t>), reflecting greater MP</w:t>
      </w:r>
      <w:r w:rsidR="00BE31E8">
        <w:rPr>
          <w:rFonts w:ascii="Arial" w:hAnsi="Arial" w:cs="Arial"/>
        </w:rPr>
        <w:t>I</w:t>
      </w:r>
      <w:r w:rsidR="002F449B">
        <w:rPr>
          <w:rFonts w:ascii="Arial" w:hAnsi="Arial" w:cs="Arial"/>
        </w:rPr>
        <w:t xml:space="preserve"> relative to requirement for the higher CP diet</w:t>
      </w:r>
      <w:r>
        <w:rPr>
          <w:rFonts w:ascii="Arial" w:hAnsi="Arial" w:cs="Arial"/>
        </w:rPr>
        <w:t xml:space="preserve">, with covariate effects </w:t>
      </w:r>
      <w:r w:rsidR="007C2A6D">
        <w:rPr>
          <w:rFonts w:ascii="Arial" w:hAnsi="Arial" w:cs="Arial"/>
        </w:rPr>
        <w:t xml:space="preserve">(P &lt; 0.007) </w:t>
      </w:r>
      <w:r>
        <w:rPr>
          <w:rFonts w:ascii="Arial" w:hAnsi="Arial" w:cs="Arial"/>
        </w:rPr>
        <w:t>of protein intake, milk yield, milk protein</w:t>
      </w:r>
      <w:r w:rsidR="00A71329">
        <w:rPr>
          <w:rFonts w:ascii="Arial" w:hAnsi="Arial" w:cs="Arial"/>
        </w:rPr>
        <w:t>, fat,</w:t>
      </w:r>
      <w:r>
        <w:rPr>
          <w:rFonts w:ascii="Arial" w:hAnsi="Arial" w:cs="Arial"/>
        </w:rPr>
        <w:t xml:space="preserve"> and urea concentration</w:t>
      </w:r>
      <w:r w:rsidR="00A71329">
        <w:rPr>
          <w:rFonts w:ascii="Arial" w:hAnsi="Arial" w:cs="Arial"/>
        </w:rPr>
        <w:t>, and BWT</w:t>
      </w:r>
      <w:r w:rsidR="002F449B">
        <w:rPr>
          <w:rFonts w:ascii="Arial" w:hAnsi="Arial" w:cs="Arial"/>
        </w:rPr>
        <w:t xml:space="preserve">.  </w:t>
      </w:r>
      <w:r w:rsidR="00A71329">
        <w:rPr>
          <w:rFonts w:ascii="Arial" w:hAnsi="Arial" w:cs="Arial"/>
        </w:rPr>
        <w:t>R</w:t>
      </w:r>
      <w:r w:rsidR="00AC215A">
        <w:rPr>
          <w:rFonts w:ascii="Arial" w:hAnsi="Arial" w:cs="Arial"/>
        </w:rPr>
        <w:t>esidual ME</w:t>
      </w:r>
      <w:r w:rsidR="00BE31E8">
        <w:rPr>
          <w:rFonts w:ascii="Arial" w:hAnsi="Arial" w:cs="Arial"/>
        </w:rPr>
        <w:t>I</w:t>
      </w:r>
      <w:r w:rsidR="00AC215A">
        <w:rPr>
          <w:rFonts w:ascii="Arial" w:hAnsi="Arial" w:cs="Arial"/>
        </w:rPr>
        <w:t xml:space="preserve"> </w:t>
      </w:r>
      <w:r w:rsidR="00A71329">
        <w:rPr>
          <w:rFonts w:ascii="Arial" w:hAnsi="Arial" w:cs="Arial"/>
        </w:rPr>
        <w:t xml:space="preserve">was </w:t>
      </w:r>
      <w:r w:rsidR="002E01A4">
        <w:rPr>
          <w:rFonts w:ascii="Arial" w:hAnsi="Arial" w:cs="Arial"/>
        </w:rPr>
        <w:t>lower</w:t>
      </w:r>
      <w:r w:rsidR="00AC215A">
        <w:rPr>
          <w:rFonts w:ascii="Arial" w:hAnsi="Arial" w:cs="Arial"/>
        </w:rPr>
        <w:t xml:space="preserve"> (P </w:t>
      </w:r>
      <w:r w:rsidR="002E01A4">
        <w:rPr>
          <w:rFonts w:ascii="Arial" w:hAnsi="Arial" w:cs="Arial"/>
        </w:rPr>
        <w:t>&lt; 0.001)</w:t>
      </w:r>
      <w:r w:rsidR="002F449B">
        <w:rPr>
          <w:rFonts w:ascii="Arial" w:hAnsi="Arial" w:cs="Arial"/>
        </w:rPr>
        <w:t xml:space="preserve"> </w:t>
      </w:r>
      <w:r w:rsidR="003655FD">
        <w:rPr>
          <w:rFonts w:ascii="Arial" w:hAnsi="Arial" w:cs="Arial"/>
        </w:rPr>
        <w:t>for the 18%</w:t>
      </w:r>
      <w:r w:rsidR="00AC215A">
        <w:rPr>
          <w:rFonts w:ascii="Arial" w:hAnsi="Arial" w:cs="Arial"/>
        </w:rPr>
        <w:t xml:space="preserve"> CP </w:t>
      </w:r>
      <w:r w:rsidR="003655FD">
        <w:rPr>
          <w:rFonts w:ascii="Arial" w:hAnsi="Arial" w:cs="Arial"/>
        </w:rPr>
        <w:t>treatment</w:t>
      </w:r>
      <w:r w:rsidR="00AC215A">
        <w:rPr>
          <w:rFonts w:ascii="Arial" w:hAnsi="Arial" w:cs="Arial"/>
        </w:rPr>
        <w:t xml:space="preserve"> (-</w:t>
      </w:r>
      <w:r w:rsidR="003655FD">
        <w:rPr>
          <w:rFonts w:ascii="Arial" w:hAnsi="Arial" w:cs="Arial"/>
        </w:rPr>
        <w:t xml:space="preserve">29.9 and 33.5 </w:t>
      </w:r>
      <w:r w:rsidR="00AC215A">
        <w:rPr>
          <w:rFonts w:ascii="Arial" w:hAnsi="Arial" w:cs="Arial"/>
        </w:rPr>
        <w:t>MJ/d for 18 and 14% CP diets, respectively</w:t>
      </w:r>
      <w:r w:rsidR="003655FD">
        <w:rPr>
          <w:rFonts w:ascii="Arial" w:hAnsi="Arial" w:cs="Arial"/>
        </w:rPr>
        <w:t>), reflecting the increase in milk solids yield with higher diet CP</w:t>
      </w:r>
      <w:r w:rsidR="00AC215A">
        <w:rPr>
          <w:rFonts w:ascii="Arial" w:hAnsi="Arial" w:cs="Arial"/>
        </w:rPr>
        <w:t xml:space="preserve">.  </w:t>
      </w:r>
      <w:r w:rsidR="00591EA3">
        <w:rPr>
          <w:rFonts w:ascii="Arial" w:hAnsi="Arial" w:cs="Arial"/>
        </w:rPr>
        <w:t>Using mean</w:t>
      </w:r>
      <w:r w:rsidR="00043DE3">
        <w:rPr>
          <w:rFonts w:ascii="Arial" w:hAnsi="Arial" w:cs="Arial"/>
        </w:rPr>
        <w:t>s</w:t>
      </w:r>
      <w:r w:rsidR="00591EA3">
        <w:rPr>
          <w:rFonts w:ascii="Arial" w:hAnsi="Arial" w:cs="Arial"/>
        </w:rPr>
        <w:t xml:space="preserve"> for </w:t>
      </w:r>
      <w:r w:rsidR="00591EA3">
        <w:rPr>
          <w:rFonts w:ascii="Arial" w:hAnsi="Arial" w:cs="Arial"/>
        </w:rPr>
        <w:lastRenderedPageBreak/>
        <w:t xml:space="preserve">the last 3 weeks of </w:t>
      </w:r>
      <w:r w:rsidR="007C2A6D">
        <w:rPr>
          <w:rFonts w:ascii="Arial" w:hAnsi="Arial" w:cs="Arial"/>
        </w:rPr>
        <w:t>measure</w:t>
      </w:r>
      <w:r w:rsidR="00591EA3">
        <w:rPr>
          <w:rFonts w:ascii="Arial" w:hAnsi="Arial" w:cs="Arial"/>
        </w:rPr>
        <w:t>ment</w:t>
      </w:r>
      <w:r w:rsidR="007C2A6D">
        <w:rPr>
          <w:rFonts w:ascii="Arial" w:hAnsi="Arial" w:cs="Arial"/>
        </w:rPr>
        <w:t>s</w:t>
      </w:r>
      <w:r w:rsidR="00591EA3">
        <w:rPr>
          <w:rFonts w:ascii="Arial" w:hAnsi="Arial" w:cs="Arial"/>
        </w:rPr>
        <w:t>,</w:t>
      </w:r>
      <w:r w:rsidR="00AC215A">
        <w:rPr>
          <w:rFonts w:ascii="Arial" w:hAnsi="Arial" w:cs="Arial"/>
        </w:rPr>
        <w:t xml:space="preserve"> the overall relationship between residual MP</w:t>
      </w:r>
      <w:r w:rsidR="00BE31E8">
        <w:rPr>
          <w:rFonts w:ascii="Arial" w:hAnsi="Arial" w:cs="Arial"/>
        </w:rPr>
        <w:t>I</w:t>
      </w:r>
      <w:r w:rsidR="00AC215A">
        <w:rPr>
          <w:rFonts w:ascii="Arial" w:hAnsi="Arial" w:cs="Arial"/>
        </w:rPr>
        <w:t xml:space="preserve"> and residual ME</w:t>
      </w:r>
      <w:r w:rsidR="00BE31E8">
        <w:rPr>
          <w:rFonts w:ascii="Arial" w:hAnsi="Arial" w:cs="Arial"/>
        </w:rPr>
        <w:t>I</w:t>
      </w:r>
      <w:r w:rsidR="00AC215A">
        <w:rPr>
          <w:rFonts w:ascii="Arial" w:hAnsi="Arial" w:cs="Arial"/>
        </w:rPr>
        <w:t xml:space="preserve"> </w:t>
      </w:r>
      <w:r w:rsidR="00591EA3">
        <w:rPr>
          <w:rFonts w:ascii="Arial" w:hAnsi="Arial" w:cs="Arial"/>
        </w:rPr>
        <w:t>had a</w:t>
      </w:r>
      <w:r w:rsidR="00AC215A">
        <w:rPr>
          <w:rFonts w:ascii="Arial" w:hAnsi="Arial" w:cs="Arial"/>
        </w:rPr>
        <w:t xml:space="preserve"> relatively low</w:t>
      </w:r>
      <w:r>
        <w:rPr>
          <w:rFonts w:ascii="Arial" w:hAnsi="Arial" w:cs="Arial"/>
        </w:rPr>
        <w:t xml:space="preserve"> R</w:t>
      </w:r>
      <w:r>
        <w:rPr>
          <w:rFonts w:ascii="Arial" w:hAnsi="Arial" w:cs="Arial"/>
          <w:vertAlign w:val="superscript"/>
        </w:rPr>
        <w:t>2</w:t>
      </w:r>
      <w:r>
        <w:rPr>
          <w:rFonts w:ascii="Arial" w:hAnsi="Arial" w:cs="Arial"/>
        </w:rPr>
        <w:t xml:space="preserve"> </w:t>
      </w:r>
      <w:r w:rsidR="00591EA3">
        <w:rPr>
          <w:rFonts w:ascii="Arial" w:hAnsi="Arial" w:cs="Arial"/>
        </w:rPr>
        <w:t>(</w:t>
      </w:r>
      <w:r>
        <w:rPr>
          <w:rFonts w:ascii="Arial" w:hAnsi="Arial" w:cs="Arial"/>
        </w:rPr>
        <w:t>0.3</w:t>
      </w:r>
      <w:r w:rsidR="00591EA3">
        <w:rPr>
          <w:rFonts w:ascii="Arial" w:hAnsi="Arial" w:cs="Arial"/>
        </w:rPr>
        <w:t>67</w:t>
      </w:r>
      <w:r>
        <w:rPr>
          <w:rFonts w:ascii="Arial" w:hAnsi="Arial" w:cs="Arial"/>
        </w:rPr>
        <w:t>)</w:t>
      </w:r>
      <w:r w:rsidR="00043DE3">
        <w:rPr>
          <w:rFonts w:ascii="Arial" w:hAnsi="Arial" w:cs="Arial"/>
        </w:rPr>
        <w:t xml:space="preserve">, </w:t>
      </w:r>
      <w:r w:rsidR="007C2A6D">
        <w:rPr>
          <w:rFonts w:ascii="Arial" w:hAnsi="Arial" w:cs="Arial"/>
        </w:rPr>
        <w:t xml:space="preserve">but </w:t>
      </w:r>
      <w:r w:rsidR="00AC215A">
        <w:rPr>
          <w:rFonts w:ascii="Arial" w:hAnsi="Arial" w:cs="Arial"/>
        </w:rPr>
        <w:t xml:space="preserve">within diet CP </w:t>
      </w:r>
      <w:r w:rsidR="00591EA3">
        <w:rPr>
          <w:rFonts w:ascii="Arial" w:hAnsi="Arial" w:cs="Arial"/>
        </w:rPr>
        <w:t>treatments</w:t>
      </w:r>
      <w:r w:rsidR="00AC215A">
        <w:rPr>
          <w:rFonts w:ascii="Arial" w:hAnsi="Arial" w:cs="Arial"/>
        </w:rPr>
        <w:t xml:space="preserve"> </w:t>
      </w:r>
      <w:r w:rsidR="00591EA3">
        <w:rPr>
          <w:rFonts w:ascii="Arial" w:hAnsi="Arial" w:cs="Arial"/>
        </w:rPr>
        <w:t>there w</w:t>
      </w:r>
      <w:r w:rsidR="007C2A6D">
        <w:rPr>
          <w:rFonts w:ascii="Arial" w:hAnsi="Arial" w:cs="Arial"/>
        </w:rPr>
        <w:t>ere</w:t>
      </w:r>
      <w:r w:rsidR="00591EA3">
        <w:rPr>
          <w:rFonts w:ascii="Arial" w:hAnsi="Arial" w:cs="Arial"/>
        </w:rPr>
        <w:t xml:space="preserve"> positive</w:t>
      </w:r>
      <w:r w:rsidR="00AC215A">
        <w:rPr>
          <w:rFonts w:ascii="Arial" w:hAnsi="Arial" w:cs="Arial"/>
        </w:rPr>
        <w:t xml:space="preserve"> relationship</w:t>
      </w:r>
      <w:r w:rsidR="007C2A6D">
        <w:rPr>
          <w:rFonts w:ascii="Arial" w:hAnsi="Arial" w:cs="Arial"/>
        </w:rPr>
        <w:t>s</w:t>
      </w:r>
      <w:r w:rsidR="00AC215A">
        <w:rPr>
          <w:rFonts w:ascii="Arial" w:hAnsi="Arial" w:cs="Arial"/>
        </w:rPr>
        <w:t xml:space="preserve"> </w:t>
      </w:r>
      <w:r w:rsidR="00EA282E">
        <w:rPr>
          <w:rFonts w:ascii="Arial" w:hAnsi="Arial" w:cs="Arial"/>
        </w:rPr>
        <w:t xml:space="preserve">with </w:t>
      </w:r>
      <w:r w:rsidR="00043DE3">
        <w:rPr>
          <w:rFonts w:ascii="Arial" w:hAnsi="Arial" w:cs="Arial"/>
        </w:rPr>
        <w:t xml:space="preserve">higher </w:t>
      </w:r>
      <w:bookmarkStart w:id="0" w:name="_Hlk182773825"/>
      <w:r>
        <w:rPr>
          <w:rFonts w:ascii="Arial" w:hAnsi="Arial" w:cs="Arial"/>
        </w:rPr>
        <w:t>R</w:t>
      </w:r>
      <w:r w:rsidRPr="00693418">
        <w:rPr>
          <w:rFonts w:ascii="Arial" w:hAnsi="Arial" w:cs="Arial"/>
          <w:vertAlign w:val="superscript"/>
        </w:rPr>
        <w:t>2</w:t>
      </w:r>
      <w:r>
        <w:rPr>
          <w:rFonts w:ascii="Arial" w:hAnsi="Arial" w:cs="Arial"/>
        </w:rPr>
        <w:t xml:space="preserve"> </w:t>
      </w:r>
      <w:r w:rsidR="00043DE3">
        <w:rPr>
          <w:rFonts w:ascii="Arial" w:hAnsi="Arial" w:cs="Arial"/>
        </w:rPr>
        <w:t>values (</w:t>
      </w:r>
      <w:r>
        <w:rPr>
          <w:rFonts w:ascii="Arial" w:hAnsi="Arial" w:cs="Arial"/>
        </w:rPr>
        <w:t>0.</w:t>
      </w:r>
      <w:r w:rsidR="00591EA3">
        <w:rPr>
          <w:rFonts w:ascii="Arial" w:hAnsi="Arial" w:cs="Arial"/>
        </w:rPr>
        <w:t xml:space="preserve">874 and 0.691 for </w:t>
      </w:r>
      <w:bookmarkEnd w:id="0"/>
      <w:r w:rsidR="00591EA3">
        <w:rPr>
          <w:rFonts w:ascii="Arial" w:hAnsi="Arial" w:cs="Arial"/>
        </w:rPr>
        <w:t xml:space="preserve">14 and </w:t>
      </w:r>
      <w:r w:rsidR="00AC215A">
        <w:rPr>
          <w:rFonts w:ascii="Arial" w:hAnsi="Arial" w:cs="Arial"/>
        </w:rPr>
        <w:t>18% CP</w:t>
      </w:r>
      <w:r w:rsidR="00591EA3">
        <w:rPr>
          <w:rFonts w:ascii="Arial" w:hAnsi="Arial" w:cs="Arial"/>
        </w:rPr>
        <w:t xml:space="preserve">, </w:t>
      </w:r>
      <w:r w:rsidR="00EA282E">
        <w:rPr>
          <w:rFonts w:ascii="Arial" w:hAnsi="Arial" w:cs="Arial"/>
        </w:rPr>
        <w:t>respectively</w:t>
      </w:r>
      <w:r w:rsidR="007C2A6D">
        <w:rPr>
          <w:rFonts w:ascii="Arial" w:hAnsi="Arial" w:cs="Arial"/>
        </w:rPr>
        <w:t>)</w:t>
      </w:r>
      <w:r w:rsidR="00591EA3">
        <w:rPr>
          <w:rFonts w:ascii="Arial" w:hAnsi="Arial" w:cs="Arial"/>
        </w:rPr>
        <w:t>.</w:t>
      </w:r>
      <w:r w:rsidR="00AC215A">
        <w:rPr>
          <w:rFonts w:ascii="Arial" w:hAnsi="Arial" w:cs="Arial"/>
        </w:rPr>
        <w:t xml:space="preserve"> </w:t>
      </w:r>
      <w:r w:rsidR="00CC2527">
        <w:rPr>
          <w:rFonts w:ascii="Arial" w:hAnsi="Arial" w:cs="Arial"/>
        </w:rPr>
        <w:t xml:space="preserve"> This is similar to the findings of Lui and VandeHaar (2020), who </w:t>
      </w:r>
      <w:r w:rsidR="00EA282E">
        <w:rPr>
          <w:rFonts w:ascii="Arial" w:hAnsi="Arial" w:cs="Arial"/>
        </w:rPr>
        <w:t xml:space="preserve">also observed </w:t>
      </w:r>
      <w:r w:rsidR="00CC2527">
        <w:rPr>
          <w:rFonts w:ascii="Arial" w:hAnsi="Arial" w:cs="Arial"/>
        </w:rPr>
        <w:t xml:space="preserve">a </w:t>
      </w:r>
      <w:r w:rsidR="00EA282E">
        <w:rPr>
          <w:rFonts w:ascii="Arial" w:hAnsi="Arial" w:cs="Arial"/>
        </w:rPr>
        <w:t xml:space="preserve">higher </w:t>
      </w:r>
      <w:r w:rsidR="00CC2527">
        <w:rPr>
          <w:rFonts w:ascii="Arial" w:hAnsi="Arial" w:cs="Arial"/>
        </w:rPr>
        <w:t xml:space="preserve">correlation between residual DMI and NUE within diet CP treatment groups.  </w:t>
      </w:r>
    </w:p>
    <w:p w14:paraId="082BE1C5" w14:textId="77777777" w:rsidR="002F449B" w:rsidRPr="00553C11" w:rsidRDefault="002F449B" w:rsidP="00A240C6">
      <w:pPr>
        <w:spacing w:after="0"/>
        <w:rPr>
          <w:rFonts w:ascii="Arial" w:hAnsi="Arial" w:cs="Arial"/>
        </w:rPr>
      </w:pPr>
    </w:p>
    <w:p w14:paraId="3C264501" w14:textId="77777777" w:rsidR="00693418" w:rsidRDefault="0018720B" w:rsidP="00693418">
      <w:pPr>
        <w:spacing w:after="0"/>
        <w:rPr>
          <w:rFonts w:ascii="Arial" w:hAnsi="Arial" w:cs="Arial"/>
          <w:b/>
          <w:bCs/>
        </w:rPr>
      </w:pPr>
      <w:r w:rsidRPr="000725C9">
        <w:rPr>
          <w:rFonts w:ascii="Arial" w:hAnsi="Arial" w:cs="Arial"/>
          <w:b/>
          <w:bCs/>
        </w:rPr>
        <w:t>Conclusion</w:t>
      </w:r>
    </w:p>
    <w:p w14:paraId="51945787" w14:textId="77777777" w:rsidR="00693418" w:rsidRDefault="00693418" w:rsidP="00693418">
      <w:pPr>
        <w:spacing w:after="0"/>
        <w:rPr>
          <w:rFonts w:ascii="Arial" w:hAnsi="Arial" w:cs="Arial"/>
          <w:b/>
          <w:bCs/>
        </w:rPr>
      </w:pPr>
    </w:p>
    <w:p w14:paraId="118BD841" w14:textId="0F55CF92" w:rsidR="00693418" w:rsidRPr="00693418" w:rsidRDefault="00693418" w:rsidP="00693418">
      <w:pPr>
        <w:spacing w:after="0"/>
        <w:rPr>
          <w:rFonts w:ascii="Arial" w:hAnsi="Arial" w:cs="Arial"/>
        </w:rPr>
      </w:pPr>
      <w:r>
        <w:rPr>
          <w:rFonts w:ascii="Arial" w:hAnsi="Arial" w:cs="Arial"/>
        </w:rPr>
        <w:t>The correlation between residual MP</w:t>
      </w:r>
      <w:r w:rsidR="00BE31E8">
        <w:rPr>
          <w:rFonts w:ascii="Arial" w:hAnsi="Arial" w:cs="Arial"/>
        </w:rPr>
        <w:t>I</w:t>
      </w:r>
      <w:r w:rsidR="00CC2527">
        <w:rPr>
          <w:rFonts w:ascii="Arial" w:hAnsi="Arial" w:cs="Arial"/>
        </w:rPr>
        <w:t>, residual ME</w:t>
      </w:r>
      <w:r w:rsidR="00BE31E8">
        <w:rPr>
          <w:rFonts w:ascii="Arial" w:hAnsi="Arial" w:cs="Arial"/>
        </w:rPr>
        <w:t>I</w:t>
      </w:r>
      <w:r w:rsidR="00CC2527">
        <w:rPr>
          <w:rFonts w:ascii="Arial" w:hAnsi="Arial" w:cs="Arial"/>
        </w:rPr>
        <w:t xml:space="preserve">, and NUE efficiency </w:t>
      </w:r>
      <w:r w:rsidR="0030124F">
        <w:rPr>
          <w:rFonts w:ascii="Arial" w:hAnsi="Arial" w:cs="Arial"/>
        </w:rPr>
        <w:t>indicates</w:t>
      </w:r>
      <w:r w:rsidR="00CC2527">
        <w:rPr>
          <w:rFonts w:ascii="Arial" w:hAnsi="Arial" w:cs="Arial"/>
        </w:rPr>
        <w:t xml:space="preserve"> that milk yield and protein concentration relative to DM and protein intake are shared primary determinants.   Although residual MP</w:t>
      </w:r>
      <w:r w:rsidR="00BE31E8">
        <w:rPr>
          <w:rFonts w:ascii="Arial" w:hAnsi="Arial" w:cs="Arial"/>
        </w:rPr>
        <w:t>I</w:t>
      </w:r>
      <w:r w:rsidR="00CC2527">
        <w:rPr>
          <w:rFonts w:ascii="Arial" w:hAnsi="Arial" w:cs="Arial"/>
        </w:rPr>
        <w:t xml:space="preserve"> is a better reflection of the biological basis of differences in NUE between cows, these results suggest that it can be reliably estimated using </w:t>
      </w:r>
      <w:r w:rsidR="00043DE3">
        <w:rPr>
          <w:rFonts w:ascii="Arial" w:hAnsi="Arial" w:cs="Arial"/>
        </w:rPr>
        <w:t>measurable</w:t>
      </w:r>
      <w:r w:rsidR="0030124F">
        <w:rPr>
          <w:rFonts w:ascii="Arial" w:hAnsi="Arial" w:cs="Arial"/>
        </w:rPr>
        <w:t xml:space="preserve"> </w:t>
      </w:r>
      <w:r w:rsidR="00CC2527">
        <w:rPr>
          <w:rFonts w:ascii="Arial" w:hAnsi="Arial" w:cs="Arial"/>
        </w:rPr>
        <w:t xml:space="preserve">parameters (N intake and milk N yield).  The correlation between NUE and milk yield, milk protein concentration, and </w:t>
      </w:r>
      <w:r w:rsidR="001A0B16">
        <w:rPr>
          <w:rFonts w:ascii="Arial" w:hAnsi="Arial" w:cs="Arial"/>
        </w:rPr>
        <w:t>feed efficiency suggests that continued genetic selection for these traits will contribute to improved breeding value for NUE.</w:t>
      </w:r>
    </w:p>
    <w:p w14:paraId="0CE1E011" w14:textId="42EEC683" w:rsidR="00042792" w:rsidRPr="00693418" w:rsidRDefault="008B60C7" w:rsidP="00693418">
      <w:pPr>
        <w:spacing w:after="0"/>
        <w:rPr>
          <w:rFonts w:ascii="Arial" w:hAnsi="Arial" w:cs="Arial"/>
          <w:b/>
          <w:bCs/>
        </w:rPr>
      </w:pPr>
      <w:r w:rsidRPr="008B60C7">
        <w:rPr>
          <w:rFonts w:ascii="Arial" w:hAnsi="Arial" w:cs="Arial"/>
        </w:rPr>
        <w:t>.</w:t>
      </w:r>
    </w:p>
    <w:p w14:paraId="0829574A" w14:textId="458BC014" w:rsidR="001E6E3E" w:rsidRDefault="001E6E3E" w:rsidP="004507BF">
      <w:pPr>
        <w:jc w:val="center"/>
        <w:rPr>
          <w:rFonts w:ascii="Arial" w:hAnsi="Arial" w:cs="Arial"/>
          <w:b/>
          <w:bCs/>
          <w:noProof/>
        </w:rPr>
      </w:pPr>
      <w:r>
        <w:rPr>
          <w:rFonts w:ascii="Arial" w:hAnsi="Arial" w:cs="Arial"/>
          <w:b/>
          <w:bCs/>
          <w:noProof/>
        </w:rPr>
        <w:drawing>
          <wp:inline distT="0" distB="0" distL="0" distR="0" wp14:anchorId="6F05BA79" wp14:editId="440312A2">
            <wp:extent cx="4752833" cy="2757805"/>
            <wp:effectExtent l="0" t="0" r="0" b="4445"/>
            <wp:docPr id="3105271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55095" cy="2759118"/>
                    </a:xfrm>
                    <a:prstGeom prst="rect">
                      <a:avLst/>
                    </a:prstGeom>
                    <a:noFill/>
                  </pic:spPr>
                </pic:pic>
              </a:graphicData>
            </a:graphic>
          </wp:inline>
        </w:drawing>
      </w:r>
    </w:p>
    <w:p w14:paraId="28CD0891" w14:textId="5BB94A6E" w:rsidR="001F04C0" w:rsidRPr="004507BF" w:rsidRDefault="00042792" w:rsidP="001E6E3E">
      <w:pPr>
        <w:rPr>
          <w:rFonts w:ascii="Arial" w:hAnsi="Arial" w:cs="Arial"/>
          <w:b/>
          <w:bCs/>
        </w:rPr>
      </w:pPr>
      <w:r w:rsidRPr="00EE68C6">
        <w:rPr>
          <w:rFonts w:ascii="Arial" w:hAnsi="Arial" w:cs="Arial"/>
          <w:b/>
          <w:bCs/>
          <w:sz w:val="20"/>
          <w:szCs w:val="20"/>
        </w:rPr>
        <w:t>Figure 1:</w:t>
      </w:r>
      <w:r w:rsidRPr="00EE68C6">
        <w:rPr>
          <w:rFonts w:ascii="Arial" w:hAnsi="Arial" w:cs="Arial"/>
          <w:sz w:val="20"/>
          <w:szCs w:val="20"/>
        </w:rPr>
        <w:t xml:space="preserve"> </w:t>
      </w:r>
      <w:r w:rsidR="001E6E3E">
        <w:rPr>
          <w:rFonts w:ascii="Arial" w:hAnsi="Arial" w:cs="Arial"/>
          <w:sz w:val="20"/>
          <w:szCs w:val="20"/>
        </w:rPr>
        <w:t xml:space="preserve">Relationship between residual metabolizable protein (MP) </w:t>
      </w:r>
      <w:r w:rsidR="00F4709E">
        <w:rPr>
          <w:rFonts w:ascii="Arial" w:hAnsi="Arial" w:cs="Arial"/>
          <w:sz w:val="20"/>
          <w:szCs w:val="20"/>
        </w:rPr>
        <w:t xml:space="preserve">intake </w:t>
      </w:r>
      <w:r w:rsidR="001E6E3E">
        <w:rPr>
          <w:rFonts w:ascii="Arial" w:hAnsi="Arial" w:cs="Arial"/>
          <w:sz w:val="20"/>
          <w:szCs w:val="20"/>
        </w:rPr>
        <w:t>and N use efficiency (NUE) in lactating Holstein cows</w:t>
      </w:r>
      <w:r w:rsidRPr="00EE68C6">
        <w:rPr>
          <w:rFonts w:ascii="Arial" w:hAnsi="Arial" w:cs="Arial"/>
          <w:sz w:val="20"/>
          <w:szCs w:val="20"/>
        </w:rPr>
        <w:t xml:space="preserve">. </w:t>
      </w:r>
      <w:r w:rsidR="00043DE3">
        <w:rPr>
          <w:rFonts w:ascii="Arial" w:hAnsi="Arial" w:cs="Arial"/>
          <w:sz w:val="20"/>
          <w:szCs w:val="20"/>
        </w:rPr>
        <w:t xml:space="preserve"> Data are averages for the last 3 weeks of treatments.</w:t>
      </w:r>
    </w:p>
    <w:p w14:paraId="3548527C" w14:textId="7292A305" w:rsidR="00330E29" w:rsidRPr="000725C9" w:rsidRDefault="0018720B" w:rsidP="00A240C6">
      <w:pPr>
        <w:spacing w:after="0"/>
        <w:rPr>
          <w:rFonts w:ascii="Arial" w:hAnsi="Arial" w:cs="Arial"/>
          <w:b/>
          <w:bCs/>
        </w:rPr>
      </w:pPr>
      <w:r w:rsidRPr="000725C9">
        <w:rPr>
          <w:rFonts w:ascii="Arial" w:hAnsi="Arial" w:cs="Arial"/>
          <w:b/>
          <w:bCs/>
        </w:rPr>
        <w:t>Acknowledgments</w:t>
      </w:r>
    </w:p>
    <w:p w14:paraId="5ED4E8BA" w14:textId="2A70B1C4" w:rsidR="00F529A0" w:rsidRDefault="001A0B16" w:rsidP="00F529A0">
      <w:pPr>
        <w:spacing w:after="0"/>
        <w:rPr>
          <w:rFonts w:ascii="Arial" w:hAnsi="Arial" w:cs="Arial"/>
          <w:sz w:val="20"/>
          <w:szCs w:val="20"/>
        </w:rPr>
      </w:pPr>
      <w:r>
        <w:rPr>
          <w:rFonts w:ascii="Arial" w:hAnsi="Arial" w:cs="Arial"/>
          <w:sz w:val="20"/>
          <w:szCs w:val="20"/>
        </w:rPr>
        <w:t>Funding</w:t>
      </w:r>
      <w:r w:rsidR="00AD47DF" w:rsidRPr="00AD47DF">
        <w:rPr>
          <w:rFonts w:ascii="Arial" w:hAnsi="Arial" w:cs="Arial"/>
          <w:sz w:val="20"/>
          <w:szCs w:val="20"/>
        </w:rPr>
        <w:t xml:space="preserve"> from </w:t>
      </w:r>
      <w:r>
        <w:rPr>
          <w:rFonts w:ascii="Arial" w:hAnsi="Arial" w:cs="Arial"/>
          <w:sz w:val="20"/>
          <w:szCs w:val="20"/>
        </w:rPr>
        <w:t>Defra (</w:t>
      </w:r>
      <w:r w:rsidRPr="001A0B16">
        <w:rPr>
          <w:rFonts w:ascii="Arial" w:hAnsi="Arial" w:cs="Arial"/>
          <w:sz w:val="20"/>
          <w:szCs w:val="20"/>
        </w:rPr>
        <w:t>SCF0232</w:t>
      </w:r>
      <w:r>
        <w:rPr>
          <w:rFonts w:ascii="Arial" w:hAnsi="Arial" w:cs="Arial"/>
          <w:sz w:val="20"/>
          <w:szCs w:val="20"/>
        </w:rPr>
        <w:t xml:space="preserve">) and the contributions of A. K. Jones </w:t>
      </w:r>
      <w:r w:rsidR="003C1DBE">
        <w:rPr>
          <w:rFonts w:ascii="Arial" w:hAnsi="Arial" w:cs="Arial"/>
          <w:sz w:val="20"/>
          <w:szCs w:val="20"/>
        </w:rPr>
        <w:t xml:space="preserve">and </w:t>
      </w:r>
      <w:r>
        <w:rPr>
          <w:rFonts w:ascii="Arial" w:hAnsi="Arial" w:cs="Arial"/>
          <w:sz w:val="20"/>
          <w:szCs w:val="20"/>
        </w:rPr>
        <w:t>technical staff at the Centre for Dairy Research are gratefully acknowledged</w:t>
      </w:r>
      <w:r w:rsidR="00F529A0">
        <w:rPr>
          <w:rFonts w:ascii="Arial" w:hAnsi="Arial" w:cs="Arial"/>
          <w:sz w:val="20"/>
          <w:szCs w:val="20"/>
        </w:rPr>
        <w:t>.</w:t>
      </w:r>
    </w:p>
    <w:p w14:paraId="33E5F228" w14:textId="77777777" w:rsidR="00F529A0" w:rsidRPr="00AD47DF" w:rsidRDefault="00F529A0" w:rsidP="00F529A0">
      <w:pPr>
        <w:spacing w:after="0"/>
        <w:rPr>
          <w:rFonts w:ascii="Arial" w:hAnsi="Arial" w:cs="Arial"/>
          <w:sz w:val="20"/>
          <w:szCs w:val="20"/>
        </w:rPr>
      </w:pPr>
    </w:p>
    <w:p w14:paraId="0B477984" w14:textId="5076B8BB" w:rsidR="0018720B" w:rsidRDefault="0018720B" w:rsidP="00A240C6">
      <w:pPr>
        <w:spacing w:after="0"/>
        <w:rPr>
          <w:rFonts w:ascii="Arial" w:hAnsi="Arial" w:cs="Arial"/>
          <w:b/>
          <w:bCs/>
        </w:rPr>
      </w:pPr>
      <w:r w:rsidRPr="00A240C6">
        <w:rPr>
          <w:rFonts w:ascii="Arial" w:hAnsi="Arial" w:cs="Arial"/>
          <w:b/>
          <w:bCs/>
        </w:rPr>
        <w:t>References</w:t>
      </w:r>
    </w:p>
    <w:p w14:paraId="73F03236" w14:textId="2CC24F18" w:rsidR="001A0B16" w:rsidRDefault="001A0B16" w:rsidP="00A240C6">
      <w:pPr>
        <w:spacing w:after="0"/>
        <w:rPr>
          <w:rFonts w:ascii="Arial" w:hAnsi="Arial" w:cs="Arial"/>
        </w:rPr>
      </w:pPr>
      <w:r w:rsidRPr="001A0B16">
        <w:rPr>
          <w:rFonts w:ascii="Arial" w:hAnsi="Arial" w:cs="Arial"/>
        </w:rPr>
        <w:t>Liu, E.</w:t>
      </w:r>
      <w:r w:rsidR="00E07CC3">
        <w:rPr>
          <w:rFonts w:ascii="Arial" w:hAnsi="Arial" w:cs="Arial"/>
        </w:rPr>
        <w:t>,</w:t>
      </w:r>
      <w:r w:rsidRPr="001A0B16">
        <w:rPr>
          <w:rFonts w:ascii="Arial" w:hAnsi="Arial" w:cs="Arial"/>
        </w:rPr>
        <w:t xml:space="preserve"> VandeHaar</w:t>
      </w:r>
      <w:r w:rsidR="00E07CC3">
        <w:rPr>
          <w:rFonts w:ascii="Arial" w:hAnsi="Arial" w:cs="Arial"/>
        </w:rPr>
        <w:t>, M.J</w:t>
      </w:r>
      <w:r w:rsidRPr="001A0B16">
        <w:rPr>
          <w:rFonts w:ascii="Arial" w:hAnsi="Arial" w:cs="Arial"/>
        </w:rPr>
        <w:t>. 2020. J</w:t>
      </w:r>
      <w:r w:rsidR="00E07CC3">
        <w:rPr>
          <w:rFonts w:ascii="Arial" w:hAnsi="Arial" w:cs="Arial"/>
        </w:rPr>
        <w:t>ournal of D</w:t>
      </w:r>
      <w:r w:rsidRPr="001A0B16">
        <w:rPr>
          <w:rFonts w:ascii="Arial" w:hAnsi="Arial" w:cs="Arial"/>
        </w:rPr>
        <w:t>airy Sci</w:t>
      </w:r>
      <w:r w:rsidR="00E07CC3">
        <w:rPr>
          <w:rFonts w:ascii="Arial" w:hAnsi="Arial" w:cs="Arial"/>
        </w:rPr>
        <w:t xml:space="preserve">ence, </w:t>
      </w:r>
      <w:r w:rsidRPr="001A0B16">
        <w:rPr>
          <w:rFonts w:ascii="Arial" w:hAnsi="Arial" w:cs="Arial"/>
        </w:rPr>
        <w:t>103</w:t>
      </w:r>
      <w:r w:rsidR="00E07CC3">
        <w:rPr>
          <w:rFonts w:ascii="Arial" w:hAnsi="Arial" w:cs="Arial"/>
        </w:rPr>
        <w:t xml:space="preserve">, </w:t>
      </w:r>
      <w:r w:rsidRPr="001A0B16">
        <w:rPr>
          <w:rFonts w:ascii="Arial" w:hAnsi="Arial" w:cs="Arial"/>
        </w:rPr>
        <w:t xml:space="preserve">3177–3190.  </w:t>
      </w:r>
    </w:p>
    <w:p w14:paraId="59D13ED1" w14:textId="37745D14" w:rsidR="00062132" w:rsidRDefault="00062132" w:rsidP="00A240C6">
      <w:pPr>
        <w:spacing w:after="0"/>
        <w:rPr>
          <w:rFonts w:ascii="Arial" w:hAnsi="Arial" w:cs="Arial"/>
        </w:rPr>
      </w:pPr>
      <w:r>
        <w:rPr>
          <w:rFonts w:ascii="Arial" w:hAnsi="Arial" w:cs="Arial"/>
        </w:rPr>
        <w:t xml:space="preserve">Reynolds, C. K., </w:t>
      </w:r>
      <w:r w:rsidR="00E07CC3">
        <w:rPr>
          <w:rFonts w:ascii="Arial" w:hAnsi="Arial" w:cs="Arial"/>
        </w:rPr>
        <w:t>Crompton, L. A., Humphries, D. A., Jones, A. K</w:t>
      </w:r>
      <w:r w:rsidRPr="00062132">
        <w:rPr>
          <w:rFonts w:ascii="Arial" w:hAnsi="Arial" w:cs="Arial"/>
        </w:rPr>
        <w:t xml:space="preserve">. </w:t>
      </w:r>
      <w:r w:rsidR="00E07CC3">
        <w:rPr>
          <w:rFonts w:ascii="Arial" w:hAnsi="Arial" w:cs="Arial"/>
        </w:rPr>
        <w:t xml:space="preserve"> </w:t>
      </w:r>
      <w:r>
        <w:rPr>
          <w:rFonts w:ascii="Arial" w:hAnsi="Arial" w:cs="Arial"/>
        </w:rPr>
        <w:t xml:space="preserve">2016. </w:t>
      </w:r>
      <w:r w:rsidRPr="00062132">
        <w:rPr>
          <w:rFonts w:ascii="Arial" w:hAnsi="Arial" w:cs="Arial"/>
        </w:rPr>
        <w:t>Proceedings of the 5th International Symposium on Energy and Protein Metabolism</w:t>
      </w:r>
      <w:r w:rsidR="00E07CC3">
        <w:rPr>
          <w:rFonts w:ascii="Arial" w:hAnsi="Arial" w:cs="Arial"/>
        </w:rPr>
        <w:t xml:space="preserve"> (</w:t>
      </w:r>
      <w:proofErr w:type="spellStart"/>
      <w:r w:rsidR="00E07CC3" w:rsidRPr="00E07CC3">
        <w:rPr>
          <w:rFonts w:ascii="Arial" w:hAnsi="Arial" w:cs="Arial"/>
        </w:rPr>
        <w:t>Skomial</w:t>
      </w:r>
      <w:proofErr w:type="spellEnd"/>
      <w:r w:rsidR="00E07CC3" w:rsidRPr="00E07CC3">
        <w:rPr>
          <w:rFonts w:ascii="Arial" w:hAnsi="Arial" w:cs="Arial"/>
        </w:rPr>
        <w:t xml:space="preserve">, </w:t>
      </w:r>
      <w:r w:rsidR="00E07CC3">
        <w:rPr>
          <w:rFonts w:ascii="Arial" w:hAnsi="Arial" w:cs="Arial"/>
        </w:rPr>
        <w:t xml:space="preserve">J. </w:t>
      </w:r>
      <w:r w:rsidR="00E07CC3" w:rsidRPr="00E07CC3">
        <w:rPr>
          <w:rFonts w:ascii="Arial" w:hAnsi="Arial" w:cs="Arial"/>
        </w:rPr>
        <w:t>and Lapierre</w:t>
      </w:r>
      <w:r w:rsidR="00E07CC3">
        <w:rPr>
          <w:rFonts w:ascii="Arial" w:hAnsi="Arial" w:cs="Arial"/>
        </w:rPr>
        <w:t>, H.</w:t>
      </w:r>
      <w:r w:rsidR="00E07CC3" w:rsidRPr="00E07CC3">
        <w:rPr>
          <w:rFonts w:ascii="Arial" w:hAnsi="Arial" w:cs="Arial"/>
        </w:rPr>
        <w:t>)</w:t>
      </w:r>
      <w:r w:rsidRPr="00062132">
        <w:rPr>
          <w:rFonts w:ascii="Arial" w:hAnsi="Arial" w:cs="Arial"/>
        </w:rPr>
        <w:t>, EAAP Publ. No. 137, Wageningen Academic Publishers, The Netherlands, 263-264.</w:t>
      </w:r>
    </w:p>
    <w:p w14:paraId="4E490CB6" w14:textId="60B28555" w:rsidR="00062132" w:rsidRDefault="00062132" w:rsidP="00A240C6">
      <w:pPr>
        <w:spacing w:after="0"/>
        <w:rPr>
          <w:rFonts w:ascii="Arial" w:hAnsi="Arial" w:cs="Arial"/>
        </w:rPr>
      </w:pPr>
      <w:r>
        <w:rPr>
          <w:rFonts w:ascii="Arial" w:hAnsi="Arial" w:cs="Arial"/>
        </w:rPr>
        <w:t xml:space="preserve">Thomas, C. 2004.  </w:t>
      </w:r>
      <w:r w:rsidRPr="00062132">
        <w:rPr>
          <w:rFonts w:ascii="Arial" w:hAnsi="Arial" w:cs="Arial"/>
        </w:rPr>
        <w:t>Feed into Milk: A New Applied Feeding System for Dairy Cows</w:t>
      </w:r>
      <w:r>
        <w:rPr>
          <w:rFonts w:ascii="Arial" w:hAnsi="Arial" w:cs="Arial"/>
        </w:rPr>
        <w:t>.  University of Nottingham Press</w:t>
      </w:r>
      <w:r w:rsidR="0030124F">
        <w:rPr>
          <w:rFonts w:ascii="Arial" w:hAnsi="Arial" w:cs="Arial"/>
        </w:rPr>
        <w:t xml:space="preserve">, </w:t>
      </w:r>
      <w:r w:rsidR="00E07CC3">
        <w:rPr>
          <w:rFonts w:ascii="Arial" w:hAnsi="Arial" w:cs="Arial"/>
        </w:rPr>
        <w:t xml:space="preserve">Nottingham, </w:t>
      </w:r>
      <w:r w:rsidR="0030124F">
        <w:rPr>
          <w:rFonts w:ascii="Arial" w:hAnsi="Arial" w:cs="Arial"/>
        </w:rPr>
        <w:t>UK</w:t>
      </w:r>
      <w:r>
        <w:rPr>
          <w:rFonts w:ascii="Arial" w:hAnsi="Arial" w:cs="Arial"/>
        </w:rPr>
        <w:t>.</w:t>
      </w:r>
    </w:p>
    <w:p w14:paraId="79BF01D4" w14:textId="77777777" w:rsidR="00062132" w:rsidRPr="001A0B16" w:rsidRDefault="00062132" w:rsidP="00A240C6">
      <w:pPr>
        <w:spacing w:after="0"/>
        <w:rPr>
          <w:rFonts w:ascii="Arial" w:hAnsi="Arial" w:cs="Arial"/>
        </w:rPr>
      </w:pPr>
    </w:p>
    <w:p w14:paraId="3DBB274C" w14:textId="77777777" w:rsidR="001A0B16" w:rsidRPr="00A240C6" w:rsidRDefault="001A0B16" w:rsidP="00A240C6">
      <w:pPr>
        <w:spacing w:after="0"/>
        <w:rPr>
          <w:rFonts w:ascii="Arial" w:hAnsi="Arial" w:cs="Arial"/>
          <w:b/>
          <w:bCs/>
        </w:rPr>
      </w:pPr>
    </w:p>
    <w:p w14:paraId="62F41690" w14:textId="03908703" w:rsidR="00330E29" w:rsidRPr="00070A53" w:rsidRDefault="00330E29" w:rsidP="001A0B16">
      <w:pPr>
        <w:autoSpaceDE w:val="0"/>
        <w:autoSpaceDN w:val="0"/>
        <w:spacing w:after="0"/>
        <w:ind w:left="480" w:hanging="480"/>
        <w:divId w:val="1049648491"/>
        <w:rPr>
          <w:rFonts w:ascii="Arial" w:hAnsi="Arial" w:cs="Arial"/>
          <w:color w:val="000000"/>
        </w:rPr>
      </w:pPr>
    </w:p>
    <w:sectPr w:rsidR="00330E29" w:rsidRPr="00070A5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0E8264C"/>
    <w:multiLevelType w:val="hybridMultilevel"/>
    <w:tmpl w:val="B478D0EA"/>
    <w:lvl w:ilvl="0" w:tplc="3C862CCC">
      <w:start w:val="1"/>
      <w:numFmt w:val="decimal"/>
      <w:lvlText w:val="%1."/>
      <w:lvlJc w:val="left"/>
      <w:pPr>
        <w:ind w:left="1020" w:hanging="360"/>
      </w:pPr>
    </w:lvl>
    <w:lvl w:ilvl="1" w:tplc="F208C454">
      <w:start w:val="1"/>
      <w:numFmt w:val="decimal"/>
      <w:lvlText w:val="%2."/>
      <w:lvlJc w:val="left"/>
      <w:pPr>
        <w:ind w:left="1020" w:hanging="360"/>
      </w:pPr>
    </w:lvl>
    <w:lvl w:ilvl="2" w:tplc="71DA3B4E">
      <w:start w:val="1"/>
      <w:numFmt w:val="decimal"/>
      <w:lvlText w:val="%3."/>
      <w:lvlJc w:val="left"/>
      <w:pPr>
        <w:ind w:left="1020" w:hanging="360"/>
      </w:pPr>
    </w:lvl>
    <w:lvl w:ilvl="3" w:tplc="6CCAE3B8">
      <w:start w:val="1"/>
      <w:numFmt w:val="decimal"/>
      <w:lvlText w:val="%4."/>
      <w:lvlJc w:val="left"/>
      <w:pPr>
        <w:ind w:left="1020" w:hanging="360"/>
      </w:pPr>
    </w:lvl>
    <w:lvl w:ilvl="4" w:tplc="A8DED2B0">
      <w:start w:val="1"/>
      <w:numFmt w:val="decimal"/>
      <w:lvlText w:val="%5."/>
      <w:lvlJc w:val="left"/>
      <w:pPr>
        <w:ind w:left="1020" w:hanging="360"/>
      </w:pPr>
    </w:lvl>
    <w:lvl w:ilvl="5" w:tplc="3BEC5BF6">
      <w:start w:val="1"/>
      <w:numFmt w:val="decimal"/>
      <w:lvlText w:val="%6."/>
      <w:lvlJc w:val="left"/>
      <w:pPr>
        <w:ind w:left="1020" w:hanging="360"/>
      </w:pPr>
    </w:lvl>
    <w:lvl w:ilvl="6" w:tplc="5FFE089C">
      <w:start w:val="1"/>
      <w:numFmt w:val="decimal"/>
      <w:lvlText w:val="%7."/>
      <w:lvlJc w:val="left"/>
      <w:pPr>
        <w:ind w:left="1020" w:hanging="360"/>
      </w:pPr>
    </w:lvl>
    <w:lvl w:ilvl="7" w:tplc="99CA7422">
      <w:start w:val="1"/>
      <w:numFmt w:val="decimal"/>
      <w:lvlText w:val="%8."/>
      <w:lvlJc w:val="left"/>
      <w:pPr>
        <w:ind w:left="1020" w:hanging="360"/>
      </w:pPr>
    </w:lvl>
    <w:lvl w:ilvl="8" w:tplc="BF8018DE">
      <w:start w:val="1"/>
      <w:numFmt w:val="decimal"/>
      <w:lvlText w:val="%9."/>
      <w:lvlJc w:val="left"/>
      <w:pPr>
        <w:ind w:left="1020" w:hanging="360"/>
      </w:pPr>
    </w:lvl>
  </w:abstractNum>
  <w:num w:numId="1" w16cid:durableId="10009349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D9D"/>
    <w:rsid w:val="00033CCA"/>
    <w:rsid w:val="00042792"/>
    <w:rsid w:val="00043DE3"/>
    <w:rsid w:val="00045453"/>
    <w:rsid w:val="000507D0"/>
    <w:rsid w:val="00053671"/>
    <w:rsid w:val="00053A80"/>
    <w:rsid w:val="0005705F"/>
    <w:rsid w:val="00062132"/>
    <w:rsid w:val="000668AC"/>
    <w:rsid w:val="00070A53"/>
    <w:rsid w:val="000725C9"/>
    <w:rsid w:val="00075F5D"/>
    <w:rsid w:val="00095785"/>
    <w:rsid w:val="000D7CD2"/>
    <w:rsid w:val="000D7F85"/>
    <w:rsid w:val="000E30D8"/>
    <w:rsid w:val="000E41A1"/>
    <w:rsid w:val="000F3BC3"/>
    <w:rsid w:val="001216BC"/>
    <w:rsid w:val="00151C6A"/>
    <w:rsid w:val="0017502B"/>
    <w:rsid w:val="0018720B"/>
    <w:rsid w:val="001878D3"/>
    <w:rsid w:val="00187BB4"/>
    <w:rsid w:val="001A0684"/>
    <w:rsid w:val="001A0B16"/>
    <w:rsid w:val="001A79EC"/>
    <w:rsid w:val="001D04E7"/>
    <w:rsid w:val="001D4FDA"/>
    <w:rsid w:val="001E54E0"/>
    <w:rsid w:val="001E6E3E"/>
    <w:rsid w:val="001F04C0"/>
    <w:rsid w:val="001F1B0A"/>
    <w:rsid w:val="0020016C"/>
    <w:rsid w:val="00220907"/>
    <w:rsid w:val="00224AF2"/>
    <w:rsid w:val="00233C86"/>
    <w:rsid w:val="002519C8"/>
    <w:rsid w:val="00274585"/>
    <w:rsid w:val="00284178"/>
    <w:rsid w:val="002C4605"/>
    <w:rsid w:val="002D12B5"/>
    <w:rsid w:val="002D5686"/>
    <w:rsid w:val="002D7B04"/>
    <w:rsid w:val="002E01A4"/>
    <w:rsid w:val="002E0364"/>
    <w:rsid w:val="002E0801"/>
    <w:rsid w:val="002E4F96"/>
    <w:rsid w:val="002F0B94"/>
    <w:rsid w:val="002F449B"/>
    <w:rsid w:val="0030124F"/>
    <w:rsid w:val="00306CA4"/>
    <w:rsid w:val="00330E29"/>
    <w:rsid w:val="0034789E"/>
    <w:rsid w:val="00353E4E"/>
    <w:rsid w:val="003624FD"/>
    <w:rsid w:val="003655FD"/>
    <w:rsid w:val="003716E9"/>
    <w:rsid w:val="003925E5"/>
    <w:rsid w:val="003A32D1"/>
    <w:rsid w:val="003C1DBE"/>
    <w:rsid w:val="003D0B61"/>
    <w:rsid w:val="003E4499"/>
    <w:rsid w:val="003F007D"/>
    <w:rsid w:val="0040446A"/>
    <w:rsid w:val="00410CF9"/>
    <w:rsid w:val="004176C7"/>
    <w:rsid w:val="004210BD"/>
    <w:rsid w:val="004356B2"/>
    <w:rsid w:val="0044348F"/>
    <w:rsid w:val="004507BF"/>
    <w:rsid w:val="00456204"/>
    <w:rsid w:val="0046161D"/>
    <w:rsid w:val="00463641"/>
    <w:rsid w:val="00471EA5"/>
    <w:rsid w:val="00476218"/>
    <w:rsid w:val="00477F35"/>
    <w:rsid w:val="004A5815"/>
    <w:rsid w:val="004D0BC2"/>
    <w:rsid w:val="004D1662"/>
    <w:rsid w:val="004D2713"/>
    <w:rsid w:val="004D6E07"/>
    <w:rsid w:val="004F14A9"/>
    <w:rsid w:val="00501137"/>
    <w:rsid w:val="005169BE"/>
    <w:rsid w:val="0051777C"/>
    <w:rsid w:val="00522E3E"/>
    <w:rsid w:val="0053670D"/>
    <w:rsid w:val="00553C11"/>
    <w:rsid w:val="00555E8A"/>
    <w:rsid w:val="00591EA3"/>
    <w:rsid w:val="00597EB0"/>
    <w:rsid w:val="005A2792"/>
    <w:rsid w:val="005B7F9E"/>
    <w:rsid w:val="005E53BD"/>
    <w:rsid w:val="005F5C15"/>
    <w:rsid w:val="005F6F2F"/>
    <w:rsid w:val="0060759B"/>
    <w:rsid w:val="00635749"/>
    <w:rsid w:val="00645508"/>
    <w:rsid w:val="006538F8"/>
    <w:rsid w:val="00654F04"/>
    <w:rsid w:val="006558E0"/>
    <w:rsid w:val="0066084C"/>
    <w:rsid w:val="00667B6F"/>
    <w:rsid w:val="006719C7"/>
    <w:rsid w:val="006904DB"/>
    <w:rsid w:val="00693418"/>
    <w:rsid w:val="006A2BC1"/>
    <w:rsid w:val="006A46EE"/>
    <w:rsid w:val="006A49A8"/>
    <w:rsid w:val="006A7101"/>
    <w:rsid w:val="006B4F89"/>
    <w:rsid w:val="006C548D"/>
    <w:rsid w:val="006D309F"/>
    <w:rsid w:val="006E2A32"/>
    <w:rsid w:val="00702181"/>
    <w:rsid w:val="0070575F"/>
    <w:rsid w:val="00713C5A"/>
    <w:rsid w:val="00714E50"/>
    <w:rsid w:val="0071527F"/>
    <w:rsid w:val="00723B8B"/>
    <w:rsid w:val="00723E93"/>
    <w:rsid w:val="0074264F"/>
    <w:rsid w:val="00747121"/>
    <w:rsid w:val="007969C3"/>
    <w:rsid w:val="00796F16"/>
    <w:rsid w:val="007A12BE"/>
    <w:rsid w:val="007A526A"/>
    <w:rsid w:val="007B6131"/>
    <w:rsid w:val="007C2A6D"/>
    <w:rsid w:val="007C6194"/>
    <w:rsid w:val="007E4224"/>
    <w:rsid w:val="00803508"/>
    <w:rsid w:val="00807482"/>
    <w:rsid w:val="00816477"/>
    <w:rsid w:val="0082231D"/>
    <w:rsid w:val="008309EB"/>
    <w:rsid w:val="0084237A"/>
    <w:rsid w:val="00867BF2"/>
    <w:rsid w:val="00895C74"/>
    <w:rsid w:val="008A529A"/>
    <w:rsid w:val="008B60C7"/>
    <w:rsid w:val="008B7CE1"/>
    <w:rsid w:val="008C3073"/>
    <w:rsid w:val="008D324B"/>
    <w:rsid w:val="008E2B96"/>
    <w:rsid w:val="008F244C"/>
    <w:rsid w:val="00900FF9"/>
    <w:rsid w:val="00903EFB"/>
    <w:rsid w:val="00911007"/>
    <w:rsid w:val="00917757"/>
    <w:rsid w:val="00920CDA"/>
    <w:rsid w:val="0092491B"/>
    <w:rsid w:val="00950241"/>
    <w:rsid w:val="00952546"/>
    <w:rsid w:val="00961FB0"/>
    <w:rsid w:val="00965976"/>
    <w:rsid w:val="00975786"/>
    <w:rsid w:val="00977120"/>
    <w:rsid w:val="00981974"/>
    <w:rsid w:val="00981D9D"/>
    <w:rsid w:val="009975C0"/>
    <w:rsid w:val="009B36AE"/>
    <w:rsid w:val="009C1487"/>
    <w:rsid w:val="009C2599"/>
    <w:rsid w:val="009C5AE6"/>
    <w:rsid w:val="00A240C6"/>
    <w:rsid w:val="00A44C85"/>
    <w:rsid w:val="00A62249"/>
    <w:rsid w:val="00A62CB8"/>
    <w:rsid w:val="00A71329"/>
    <w:rsid w:val="00A73147"/>
    <w:rsid w:val="00A82BE2"/>
    <w:rsid w:val="00A90A70"/>
    <w:rsid w:val="00AA5E6C"/>
    <w:rsid w:val="00AA5F61"/>
    <w:rsid w:val="00AC215A"/>
    <w:rsid w:val="00AD47DF"/>
    <w:rsid w:val="00B04F1B"/>
    <w:rsid w:val="00B114F2"/>
    <w:rsid w:val="00B4669F"/>
    <w:rsid w:val="00B612E5"/>
    <w:rsid w:val="00B757E8"/>
    <w:rsid w:val="00B7785C"/>
    <w:rsid w:val="00B8064F"/>
    <w:rsid w:val="00B82BC9"/>
    <w:rsid w:val="00B93085"/>
    <w:rsid w:val="00B93EE1"/>
    <w:rsid w:val="00B95BE8"/>
    <w:rsid w:val="00BA2C97"/>
    <w:rsid w:val="00BD1AEB"/>
    <w:rsid w:val="00BE31E8"/>
    <w:rsid w:val="00BF178C"/>
    <w:rsid w:val="00C12F25"/>
    <w:rsid w:val="00C17622"/>
    <w:rsid w:val="00C433AB"/>
    <w:rsid w:val="00C436BA"/>
    <w:rsid w:val="00C50260"/>
    <w:rsid w:val="00C54C78"/>
    <w:rsid w:val="00C63ECE"/>
    <w:rsid w:val="00C65A79"/>
    <w:rsid w:val="00CC2527"/>
    <w:rsid w:val="00CE1075"/>
    <w:rsid w:val="00CF1F7E"/>
    <w:rsid w:val="00D034DF"/>
    <w:rsid w:val="00D10F30"/>
    <w:rsid w:val="00D200BD"/>
    <w:rsid w:val="00D44F3F"/>
    <w:rsid w:val="00D64831"/>
    <w:rsid w:val="00D65F45"/>
    <w:rsid w:val="00D6712B"/>
    <w:rsid w:val="00D918A8"/>
    <w:rsid w:val="00DD06D9"/>
    <w:rsid w:val="00DD2DDE"/>
    <w:rsid w:val="00DD4BAC"/>
    <w:rsid w:val="00DE4CAD"/>
    <w:rsid w:val="00DF0D30"/>
    <w:rsid w:val="00E03152"/>
    <w:rsid w:val="00E07CC3"/>
    <w:rsid w:val="00E32255"/>
    <w:rsid w:val="00E47EFB"/>
    <w:rsid w:val="00E50B86"/>
    <w:rsid w:val="00E5441C"/>
    <w:rsid w:val="00EA282E"/>
    <w:rsid w:val="00EA33B1"/>
    <w:rsid w:val="00EC6888"/>
    <w:rsid w:val="00ED6757"/>
    <w:rsid w:val="00ED7F35"/>
    <w:rsid w:val="00EE68C6"/>
    <w:rsid w:val="00F022D3"/>
    <w:rsid w:val="00F0569C"/>
    <w:rsid w:val="00F05C21"/>
    <w:rsid w:val="00F12325"/>
    <w:rsid w:val="00F17FBB"/>
    <w:rsid w:val="00F23B9A"/>
    <w:rsid w:val="00F25269"/>
    <w:rsid w:val="00F4709E"/>
    <w:rsid w:val="00F529A0"/>
    <w:rsid w:val="00F73EFC"/>
    <w:rsid w:val="00FD51F3"/>
    <w:rsid w:val="00FE57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D337A9"/>
  <w15:chartTrackingRefBased/>
  <w15:docId w15:val="{FC62325C-792F-45F9-A295-2E2226326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1D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1D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1D9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1D9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1D9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1D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1D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1D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1D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1D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1D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1D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1D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1D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1D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1D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1D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1D9D"/>
    <w:rPr>
      <w:rFonts w:eastAsiaTheme="majorEastAsia" w:cstheme="majorBidi"/>
      <w:color w:val="272727" w:themeColor="text1" w:themeTint="D8"/>
    </w:rPr>
  </w:style>
  <w:style w:type="paragraph" w:styleId="Title">
    <w:name w:val="Title"/>
    <w:basedOn w:val="Normal"/>
    <w:next w:val="Normal"/>
    <w:link w:val="TitleChar"/>
    <w:uiPriority w:val="10"/>
    <w:qFormat/>
    <w:rsid w:val="00981D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1D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1D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1D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1D9D"/>
    <w:pPr>
      <w:spacing w:before="160"/>
      <w:jc w:val="center"/>
    </w:pPr>
    <w:rPr>
      <w:i/>
      <w:iCs/>
      <w:color w:val="404040" w:themeColor="text1" w:themeTint="BF"/>
    </w:rPr>
  </w:style>
  <w:style w:type="character" w:customStyle="1" w:styleId="QuoteChar">
    <w:name w:val="Quote Char"/>
    <w:basedOn w:val="DefaultParagraphFont"/>
    <w:link w:val="Quote"/>
    <w:uiPriority w:val="29"/>
    <w:rsid w:val="00981D9D"/>
    <w:rPr>
      <w:i/>
      <w:iCs/>
      <w:color w:val="404040" w:themeColor="text1" w:themeTint="BF"/>
    </w:rPr>
  </w:style>
  <w:style w:type="paragraph" w:styleId="ListParagraph">
    <w:name w:val="List Paragraph"/>
    <w:basedOn w:val="Normal"/>
    <w:uiPriority w:val="34"/>
    <w:qFormat/>
    <w:rsid w:val="00981D9D"/>
    <w:pPr>
      <w:ind w:left="720"/>
      <w:contextualSpacing/>
    </w:pPr>
  </w:style>
  <w:style w:type="character" w:styleId="IntenseEmphasis">
    <w:name w:val="Intense Emphasis"/>
    <w:basedOn w:val="DefaultParagraphFont"/>
    <w:uiPriority w:val="21"/>
    <w:qFormat/>
    <w:rsid w:val="00981D9D"/>
    <w:rPr>
      <w:i/>
      <w:iCs/>
      <w:color w:val="0F4761" w:themeColor="accent1" w:themeShade="BF"/>
    </w:rPr>
  </w:style>
  <w:style w:type="paragraph" w:styleId="IntenseQuote">
    <w:name w:val="Intense Quote"/>
    <w:basedOn w:val="Normal"/>
    <w:next w:val="Normal"/>
    <w:link w:val="IntenseQuoteChar"/>
    <w:uiPriority w:val="30"/>
    <w:qFormat/>
    <w:rsid w:val="00981D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1D9D"/>
    <w:rPr>
      <w:i/>
      <w:iCs/>
      <w:color w:val="0F4761" w:themeColor="accent1" w:themeShade="BF"/>
    </w:rPr>
  </w:style>
  <w:style w:type="character" w:styleId="IntenseReference">
    <w:name w:val="Intense Reference"/>
    <w:basedOn w:val="DefaultParagraphFont"/>
    <w:uiPriority w:val="32"/>
    <w:qFormat/>
    <w:rsid w:val="00981D9D"/>
    <w:rPr>
      <w:b/>
      <w:bCs/>
      <w:smallCaps/>
      <w:color w:val="0F4761" w:themeColor="accent1" w:themeShade="BF"/>
      <w:spacing w:val="5"/>
    </w:rPr>
  </w:style>
  <w:style w:type="character" w:styleId="PlaceholderText">
    <w:name w:val="Placeholder Text"/>
    <w:basedOn w:val="DefaultParagraphFont"/>
    <w:uiPriority w:val="99"/>
    <w:semiHidden/>
    <w:rsid w:val="00BD1AEB"/>
    <w:rPr>
      <w:color w:val="666666"/>
    </w:rPr>
  </w:style>
  <w:style w:type="paragraph" w:styleId="Revision">
    <w:name w:val="Revision"/>
    <w:hidden/>
    <w:uiPriority w:val="99"/>
    <w:semiHidden/>
    <w:rsid w:val="00667B6F"/>
    <w:pPr>
      <w:spacing w:after="0" w:line="240" w:lineRule="auto"/>
    </w:pPr>
  </w:style>
  <w:style w:type="character" w:styleId="CommentReference">
    <w:name w:val="annotation reference"/>
    <w:basedOn w:val="DefaultParagraphFont"/>
    <w:uiPriority w:val="99"/>
    <w:semiHidden/>
    <w:unhideWhenUsed/>
    <w:rsid w:val="00667B6F"/>
    <w:rPr>
      <w:sz w:val="16"/>
      <w:szCs w:val="16"/>
    </w:rPr>
  </w:style>
  <w:style w:type="paragraph" w:styleId="CommentText">
    <w:name w:val="annotation text"/>
    <w:basedOn w:val="Normal"/>
    <w:link w:val="CommentTextChar"/>
    <w:uiPriority w:val="99"/>
    <w:unhideWhenUsed/>
    <w:rsid w:val="00667B6F"/>
    <w:pPr>
      <w:spacing w:line="240" w:lineRule="auto"/>
    </w:pPr>
    <w:rPr>
      <w:sz w:val="20"/>
      <w:szCs w:val="20"/>
    </w:rPr>
  </w:style>
  <w:style w:type="character" w:customStyle="1" w:styleId="CommentTextChar">
    <w:name w:val="Comment Text Char"/>
    <w:basedOn w:val="DefaultParagraphFont"/>
    <w:link w:val="CommentText"/>
    <w:uiPriority w:val="99"/>
    <w:rsid w:val="00667B6F"/>
    <w:rPr>
      <w:sz w:val="20"/>
      <w:szCs w:val="20"/>
    </w:rPr>
  </w:style>
  <w:style w:type="paragraph" w:styleId="CommentSubject">
    <w:name w:val="annotation subject"/>
    <w:basedOn w:val="CommentText"/>
    <w:next w:val="CommentText"/>
    <w:link w:val="CommentSubjectChar"/>
    <w:uiPriority w:val="99"/>
    <w:semiHidden/>
    <w:unhideWhenUsed/>
    <w:rsid w:val="00667B6F"/>
    <w:rPr>
      <w:b/>
      <w:bCs/>
    </w:rPr>
  </w:style>
  <w:style w:type="character" w:customStyle="1" w:styleId="CommentSubjectChar">
    <w:name w:val="Comment Subject Char"/>
    <w:basedOn w:val="CommentTextChar"/>
    <w:link w:val="CommentSubject"/>
    <w:uiPriority w:val="99"/>
    <w:semiHidden/>
    <w:rsid w:val="00667B6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6854229">
      <w:bodyDiv w:val="1"/>
      <w:marLeft w:val="0"/>
      <w:marRight w:val="0"/>
      <w:marTop w:val="0"/>
      <w:marBottom w:val="0"/>
      <w:divBdr>
        <w:top w:val="none" w:sz="0" w:space="0" w:color="auto"/>
        <w:left w:val="none" w:sz="0" w:space="0" w:color="auto"/>
        <w:bottom w:val="none" w:sz="0" w:space="0" w:color="auto"/>
        <w:right w:val="none" w:sz="0" w:space="0" w:color="auto"/>
      </w:divBdr>
      <w:divsChild>
        <w:div w:id="1049648491">
          <w:marLeft w:val="480"/>
          <w:marRight w:val="0"/>
          <w:marTop w:val="0"/>
          <w:marBottom w:val="0"/>
          <w:divBdr>
            <w:top w:val="none" w:sz="0" w:space="0" w:color="auto"/>
            <w:left w:val="none" w:sz="0" w:space="0" w:color="auto"/>
            <w:bottom w:val="none" w:sz="0" w:space="0" w:color="auto"/>
            <w:right w:val="none" w:sz="0" w:space="0" w:color="auto"/>
          </w:divBdr>
        </w:div>
        <w:div w:id="451629817">
          <w:marLeft w:val="480"/>
          <w:marRight w:val="0"/>
          <w:marTop w:val="0"/>
          <w:marBottom w:val="0"/>
          <w:divBdr>
            <w:top w:val="none" w:sz="0" w:space="0" w:color="auto"/>
            <w:left w:val="none" w:sz="0" w:space="0" w:color="auto"/>
            <w:bottom w:val="none" w:sz="0" w:space="0" w:color="auto"/>
            <w:right w:val="none" w:sz="0" w:space="0" w:color="auto"/>
          </w:divBdr>
        </w:div>
        <w:div w:id="919488765">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48B75AE-26BB-4C41-A86F-1FE55C1A8DBA}">
  <we:reference id="f78a3046-9e99-4300-aa2b-5814002b01a2" version="1.55.1.0" store="EXCatalog" storeType="EXCatalog"/>
  <we:alternateReferences>
    <we:reference id="WA104382081" version="1.55.1.0" store="en-GB" storeType="OMEX"/>
  </we:alternateReferences>
  <we:properties>
    <we:property name="MENDELEY_CITATIONS" value="[{&quot;citationID&quot;:&quot;MENDELEY_CITATION_b7175f6d-674a-40fc-a2c3-3d146801f120&quot;,&quot;properties&quot;:{&quot;noteIndex&quot;:0},&quot;isEdited&quot;:false,&quot;manualOverride&quot;:{&quot;isManuallyOverridden&quot;:false,&quot;citeprocText&quot;:&quot;(Lüscher et al., 2014)&quot;,&quot;manualOverrideText&quot;:&quot;&quot;},&quot;citationItems&quot;:[{&quot;id&quot;:&quot;8c22ecef-50ca-3203-b6be-7d1faa5aa639&quot;,&quot;itemData&quot;:{&quot;type&quot;:&quot;article&quot;,&quot;id&quot;:&quot;8c22ecef-50ca-3203-b6be-7d1faa5aa639&quot;,&quot;title&quot;:&quot;Potential of legume-based grassland-livestock systems in Europe: A review&quot;,&quot;author&quot;:[{&quot;family&quot;:&quot;Lüscher&quot;,&quot;given&quot;:&quot;A.&quot;,&quot;parse-names&quot;:false,&quot;dropping-particle&quot;:&quot;&quot;,&quot;non-dropping-particle&quot;:&quot;&quot;},{&quot;family&quot;:&quot;Mueller-Harvey&quot;,&quot;given&quot;:&quot;I.&quot;,&quot;parse-names&quot;:false,&quot;dropping-particle&quot;:&quot;&quot;,&quot;non-dropping-particle&quot;:&quot;&quot;},{&quot;family&quot;:&quot;Soussana&quot;,&quot;given&quot;:&quot;J. F.&quot;,&quot;parse-names&quot;:false,&quot;dropping-particle&quot;:&quot;&quot;,&quot;non-dropping-particle&quot;:&quot;&quot;},{&quot;family&quot;:&quot;Rees&quot;,&quot;given&quot;:&quot;R. M.&quot;,&quot;parse-names&quot;:false,&quot;dropping-particle&quot;:&quot;&quot;,&quot;non-dropping-particle&quot;:&quot;&quot;},{&quot;family&quot;:&quot;Peyraud&quot;,&quot;given&quot;:&quot;J. L.&quot;,&quot;parse-names&quot;:false,&quot;dropping-particle&quot;:&quot;&quot;,&quot;non-dropping-particle&quot;:&quot;&quot;}],&quot;container-title&quot;:&quot;Grass and Forage Science&quot;,&quot;DOI&quot;:&quot;10.1111/gfs.12124&quot;,&quot;ISSN&quot;:&quot;13652494&quot;,&quot;issued&quot;:{&quot;date-parts&quot;:[[2014]]},&quot;page&quot;:&quot;206-228&quot;,&quot;abstract&quot;:&quot;European grassland-based livestock production systems face the challenge of producing more meat and milk to meet increasing world demands and to achieve this using fewer resources. Legumes offer great potential for achieving these objectives. They have numerous features that can act together at different stages in the soil-plant-animal-atmosphere system, and these are most effective in mixed swards with a legume proportion of 30-50%. The resulting benefits include reduced dependence on fossil energy and industrial N-fertilizer, lower quantities of harmful emissions to the environment (greenhouse gases and nitrate), lower production costs, higher productivity and increased protein self-sufficiency. Some legume species offer opportunities for improving animal health with less medication, due to the presence of bioactive secondary metabolites. In addition, legumes may offer an adaptation option to rising atmospheric CO2 concentrations and climate change. Legumes generate these benefits at the level of the managed land-area unit and also at the level of the final product unit. However, legumes suffer from some limitations, and suggestions are made for future research to exploit more fully the opportunities that legumes can offer. In conclusion, the development of legume-based grassland-livestock systems undoubtedly constitutes one of the pillars for more sustainable and competitive ruminant production systems, and it can be expected that forage legumes will become more important in the future. © 2014 The Authors. Grass and Forage Science Published by John Wiley &amp; Sons Ltd.&quot;,&quot;publisher&quot;:&quot;Blackwell Publishing Ltd&quot;,&quot;issue&quot;:&quot;2&quot;,&quot;volume&quot;:&quot;69&quot;,&quot;container-title-short&quot;:&quot;&quot;},&quot;isTemporary&quot;:false}],&quot;citationTag&quot;:&quot;MENDELEY_CITATION_v3_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&quot;},{&quot;citationID&quot;:&quot;MENDELEY_CITATION_f1d5a7d5-83ad-4113-b699-20f5a5a2cb0f&quot;,&quot;properties&quot;:{&quot;noteIndex&quot;:0},&quot;isEdited&quot;:false,&quot;manualOverride&quot;:{&quot;isManuallyOverridden&quot;:false,&quot;citeprocText&quot;:&quot;(Khan et al., 2023)&quot;,&quot;manualOverrideText&quot;:&quot;&quot;},&quot;citationItems&quot;:[{&quot;id&quot;:&quot;1a4f9ef6-05aa-35ff-9da2-533ed8c965cf&quot;,&quot;itemData&quot;:{&quot;type&quot;:&quot;article-journal&quot;,&quot;id&quot;:&quot;1a4f9ef6-05aa-35ff-9da2-533ed8c965cf&quot;,&quot;title&quot;:&quot;Effects of multispecies and monoculture forages on nutrient digestibility and fermentation responses using an in vitro rumen simulation technique (RUSITEC)&quot;,&quot;author&quot;:[{&quot;family&quot;:&quot;Khan&quot;,&quot;given&quot;:&quot;A.S.&quot;,&quot;parse-names&quot;:false,&quot;dropping-particle&quot;:&quot;&quot;,&quot;non-dropping-particle&quot;:&quot;&quot;},{&quot;family&quot;:&quot;Finn&quot;,&quot;given&quot;:&quot;J.A.&quot;,&quot;parse-names&quot;:false,&quot;dropping-particle&quot;:&quot;&quot;,&quot;non-dropping-particle&quot;:&quot;&quot;},{&quot;family&quot;:&quot;Menezes&quot;,&quot;given&quot;:&quot;A.B.D.&quot;,&quot;parse-names&quot;:false,&quot;dropping-particle&quot;:&quot;&quot;,&quot;non-dropping-particle&quot;:&quot;&quot;},{&quot;family&quot;:&quot;Kirwan&quot;,&quot;given&quot;:&quot;S.F.&quot;,&quot;parse-names&quot;:false,&quot;dropping-particle&quot;:&quot;&quot;,&quot;non-dropping-particle&quot;:&quot;&quot;},{&quot;family&quot;:&quot;Waters&quot;,&quot;given&quot;:&quot;S.M.&quot;,&quot;parse-names&quot;:false,&quot;dropping-particle&quot;:&quot;&quot;,&quot;non-dropping-particle&quot;:&quot;&quot;},{&quot;family&quot;:&quot;Krol&quot;,&quot;given&quot;:&quot;D.J.&quot;,&quot;parse-names&quot;:false,&quot;dropping-particle&quot;:&quot;&quot;,&quot;non-dropping-particle&quot;:&quot;&quot;}],&quot;container-title&quot;:&quot;Animal - Open Space&quot;,&quot;DOI&quot;:&quot;10.1016/j.anopes.2023.100052&quot;,&quot;ISSN&quot;:&quot;27726940&quot;,&quot;issued&quot;:{&quot;date-parts&quot;:[[2023,12]]},&quot;page&quot;:&quot;100052&quot;,&quot;abstract&quot;:&quot;Enteric methane (CH4) emissions are a major contributor to global greenhouse gas emissions. A number of different CH4 mitigation strategies have been proposed, and the inclusion of alternative forages into grazing systems could be a practical and feasible option. Multispecies swards comprise a mixture of forage species and can increase grassland productivity, reduce nitrogen fertiliser requirements, and reduce fertiliser-associated nitrous oxide emissions. This study investigated the potential benefit of multispecies swards in reducing ruminal CH4 production. Using the in vitro rumen simulation technique, we compared the effects of different forages (perennial ryegrass, timothy, red clover, white clover, chicory, ribwort plantain and their equi-proportional mixture) on CH4 and gas production, ruminal fermentation parameters and nutrient digestibility. We also compared these responses to perennial ryegrass produced with a higher nitrogen application rate (300 N). The experiment was conducted over 21 d, with the initial 14 d allowed for dietary adaptation. Over the subsequent 7 d, there were significant effects of forage type on CH4 production, ruminal fermentation and digestibility. Ribwort plantain, chicory and white clover showed lower CH4 production; with chicory producing 73% and 57% less CH4 (mmol d−1) compared to 300 N perennial ryegrass and 150 N perennial ryegrass incubation, respectively. Chicory had 72% lower CH4 produced per gram of organic matter digested (mmol g−1) than that of 300 N perennial ryegrass. Chicory and 300 N perennial ryegrass had greater (P &lt; 0.01) organic matter and nutrient digestibility (DM, CP, NDF, and ADF) than other forages. Greater ammonia nitrogen concentration was observed in chicory and both clover species, compared to the other forage species (P &lt; 0.01). In general, the response of the six-species mixture was not significantly different to the average response of the six component monocultures. Thus, from these data, the performance of multispecies swards for these responses (in general) was predictable from the performance of the component monocultures. These results showed that different grassland forages, especially chicory and white clover, have the potential to reduce ruminal CH4 emissions and could be a promising anti-methanogenic alternative to chemical CH4 inhibitors and feed additives. More generally, the relatively wide variation in CH4 abatement potential across a small sample of plant species suggests the merit of wider screening to identify grassland species with high CH4 abatement potential in vitro.&quot;,&quot;publisher&quot;:&quot;Elsevier BV&quot;,&quot;volume&quot;:&quot;2&quot;,&quot;container-title-short&quot;:&quot;&quot;},&quot;isTemporary&quot;:false}],&quot;citationTag&quot;:&quot;MENDELEY_CITATION_v3_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&quot;},{&quot;citationID&quot;:&quot;MENDELEY_CITATION_807b151f-0efd-44af-89a9-afa2ef566f63&quot;,&quot;properties&quot;:{&quot;noteIndex&quot;:0},&quot;isEdited&quot;:false,&quot;manualOverride&quot;:{&quot;isManuallyOverridden&quot;:true,&quot;citeprocText&quot;:&quot;(Finn et al., 2018)&quot;,&quot;manualOverrideText&quot;:&quot;Finn et al. (2018)&quot;},&quot;citationTag&quot;:&quot;MENDELEY_CITATION_v3_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&quot;,&quot;citationItems&quot;:[{&quot;id&quot;:&quot;bec9eec9-9857-387f-a303-7b290cfda715&quot;,&quot;itemData&quot;:{&quot;type&quot;:&quot;article-journal&quot;,&quot;id&quot;:&quot;bec9eec9-9857-387f-a303-7b290cfda715&quot;,&quot;title&quot;:&quot;Greater gains in annual yields from increased plant diversity than losses from experimental drought in two temperate grasslands&quot;,&quot;author&quot;:[{&quot;family&quot;:&quot;Finn&quot;,&quot;given&quot;:&quot;J. A.&quot;,&quot;parse-names&quot;:false,&quot;dropping-particle&quot;:&quot;&quot;,&quot;non-dropping-particle&quot;:&quot;&quot;},{&quot;family&quot;:&quot;Suter&quot;,&quot;given&quot;:&quot;M.&quot;,&quot;parse-names&quot;:false,&quot;dropping-particle&quot;:&quot;&quot;,&quot;non-dropping-particle&quot;:&quot;&quot;},{&quot;family&quot;:&quot;Haughey&quot;,&quot;given&quot;:&quot;E.&quot;,&quot;parse-names&quot;:false,&quot;dropping-particle&quot;:&quot;&quot;,&quot;non-dropping-particle&quot;:&quot;&quot;},{&quot;family&quot;:&quot;Hofer&quot;,&quot;given&quot;:&quot;D.&quot;,&quot;parse-names&quot;:false,&quot;dropping-particle&quot;:&quot;&quot;,&quot;non-dropping-particle&quot;:&quot;&quot;},{&quot;family&quot;:&quot;Lüscher&quot;,&quot;given&quot;:&quot;A.&quot;,&quot;parse-names&quot;:false,&quot;dropping-particle&quot;:&quot;&quot;,&quot;non-dropping-particle&quot;:&quot;&quot;}],&quot;container-title&quot;:&quot;Agriculture, Ecosystems and Environment&quot;,&quot;container-title-short&quot;:&quot;Agric Ecosyst Environ&quot;,&quot;DOI&quot;:&quot;10.1016/j.agee.2018.02.014&quot;,&quot;ISSN&quot;:&quot;01678809&quot;,&quot;issued&quot;:{&quot;date-parts&quot;:[[2018,4,15]]},&quot;page&quot;:&quot;149-153&quot;,&quot;abstract&quot;:&quot;Climate change is predicted to result in more severe weather events, including drought, which will affect forage production in agricultural grasslands. We evaluated the effects of an experimentally imposed drought on yields of monocultures and mixtures of intensively managed grassland communities comprising four species with contrasting functional traits (Lolium perenne L., Cichorium intybus L., Trifolium repens L., Trifolium pratense L.). Complete exclusion of precipitation was implemented in a common field experiment at two sites, resulting in an experimental drought at Wexford (Ireland) and Zürich (Switzerland). In the individual harvest at the end of the drought event, very strong yield reductions (up to −87%) occurred across all communities. In contrast, drought effects on annual yields of averaged monocultures and the equi-proportional four-species mixture were only −9% and −12%, respectively. These losses were much smaller than the yield advantage due to mixtures, which were 31% under drought and 34% under rainfed conditions. The large effect of mixtures on annual yield is attributed to complementarity among species with contrasting functional traits, and to mixture effects being active over the whole growing season and under drought. We attribute these relatively small drought effects on annual yield to the immediate recovery in harvest yields when soil water supply increased after the drought (resilience), the buffering effect of soil water at the beginning of rain exclusion, and the relatively long growing season that diluted the short-term effect of the drought event.&quot;,&quot;publisher&quot;:&quot;Elsevier B.V.&quot;,&quot;volume&quot;:&quot;258&quot;},&quot;isTemporary&quot;:false}]}]"/>
    <we:property name="MENDELEY_CITATIONS_LOCALE_CODE" value="&quot;en-US&quot;"/>
    <we:property name="MENDELEY_CITATIONS_STYLE" value="{&quot;id&quot;:&quot;https://www.zotero.org/styles/frontiers-in-microbiology&quot;,&quot;title&quot;:&quot;Frontiers in Microbiology&quot;,&quot;format&quot;:&quot;author-date&quot;,&quot;defaultLocale&quot;:&quot;en-US&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963003-0D08-4DBE-A791-FBA1A2EC0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853</Words>
  <Characters>4866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Raniel Valencia</dc:creator>
  <cp:keywords/>
  <dc:description/>
  <cp:lastModifiedBy>Chris Reynolds</cp:lastModifiedBy>
  <cp:revision>3</cp:revision>
  <dcterms:created xsi:type="dcterms:W3CDTF">2024-12-19T09:44:00Z</dcterms:created>
  <dcterms:modified xsi:type="dcterms:W3CDTF">2024-12-19T09:56:00Z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1a30e68f-e742-441f-a332-8046f5902ad0</vt:lpwstr>
  </property>
</Properties>
</file>