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37C79B" w14:textId="63615207" w:rsidR="007B30E3" w:rsidRDefault="007B30E3">
      <w:pPr>
        <w:rPr>
          <w:b/>
          <w:bCs/>
          <w:lang w:val="en-US"/>
        </w:rPr>
      </w:pPr>
      <w:r>
        <w:rPr>
          <w:b/>
          <w:bCs/>
          <w:lang w:val="en-US"/>
        </w:rPr>
        <w:t>Application</w:t>
      </w:r>
    </w:p>
    <w:p w14:paraId="28AC1FC7" w14:textId="2763E1B9" w:rsidR="00F8574C" w:rsidRPr="00F8574C" w:rsidRDefault="00F8574C">
      <w:pPr>
        <w:rPr>
          <w:bCs/>
          <w:lang w:val="en-US"/>
        </w:rPr>
      </w:pPr>
      <w:r w:rsidRPr="00F8574C">
        <w:rPr>
          <w:bCs/>
          <w:lang w:val="en-US"/>
        </w:rPr>
        <w:t>Understanding the dynamics of respiratory microbiota across various sites in the respiratory tract during viral challenge with BoHV-1 offers significant insights into the pathogenesis of bovine respiratory disease (BRD).</w:t>
      </w:r>
    </w:p>
    <w:p w14:paraId="5E9F33D1" w14:textId="0E7CE3C4" w:rsidR="007B30E3" w:rsidRDefault="007B30E3">
      <w:pPr>
        <w:rPr>
          <w:b/>
          <w:bCs/>
          <w:lang w:val="en-US"/>
        </w:rPr>
      </w:pPr>
      <w:r>
        <w:rPr>
          <w:b/>
          <w:bCs/>
          <w:lang w:val="en-US"/>
        </w:rPr>
        <w:t>Introduction</w:t>
      </w:r>
    </w:p>
    <w:p w14:paraId="167B5498" w14:textId="2D8D34E4" w:rsidR="007B30E3" w:rsidRPr="00F8574C" w:rsidRDefault="00F8574C" w:rsidP="00F8574C">
      <w:pPr>
        <w:jc w:val="both"/>
        <w:rPr>
          <w:bCs/>
          <w:lang w:val="en-US"/>
        </w:rPr>
      </w:pPr>
      <w:r w:rsidRPr="00F8574C">
        <w:rPr>
          <w:bCs/>
          <w:lang w:val="en-US"/>
        </w:rPr>
        <w:t>B</w:t>
      </w:r>
      <w:r w:rsidR="00664BDB">
        <w:rPr>
          <w:bCs/>
          <w:lang w:val="en-US"/>
        </w:rPr>
        <w:t xml:space="preserve">RD is </w:t>
      </w:r>
      <w:r w:rsidRPr="00F8574C">
        <w:rPr>
          <w:bCs/>
          <w:lang w:val="en-US"/>
        </w:rPr>
        <w:t xml:space="preserve">multifactorial </w:t>
      </w:r>
      <w:r w:rsidR="00664BDB">
        <w:rPr>
          <w:bCs/>
          <w:lang w:val="en-US"/>
        </w:rPr>
        <w:t>and causes</w:t>
      </w:r>
      <w:r w:rsidRPr="00F8574C">
        <w:rPr>
          <w:bCs/>
          <w:lang w:val="en-US"/>
        </w:rPr>
        <w:t xml:space="preserve"> morbidity and mortality in cattle of all ages. Viral and bacterial infectious agents, in addition to psychological stress </w:t>
      </w:r>
      <w:r w:rsidR="00914C6C">
        <w:rPr>
          <w:bCs/>
          <w:lang w:val="en-US"/>
        </w:rPr>
        <w:t xml:space="preserve">caused by </w:t>
      </w:r>
      <w:r w:rsidRPr="00F8574C">
        <w:rPr>
          <w:bCs/>
          <w:lang w:val="en-US"/>
        </w:rPr>
        <w:t xml:space="preserve">management and environmental factors contribute to disease onset. The </w:t>
      </w:r>
      <w:r w:rsidR="00914C6C">
        <w:rPr>
          <w:bCs/>
          <w:lang w:val="en-US"/>
        </w:rPr>
        <w:t xml:space="preserve">composition of the </w:t>
      </w:r>
      <w:r w:rsidRPr="00F8574C">
        <w:rPr>
          <w:bCs/>
          <w:lang w:val="en-US"/>
        </w:rPr>
        <w:t xml:space="preserve">bovine respiratory tract </w:t>
      </w:r>
      <w:r w:rsidR="00914C6C">
        <w:rPr>
          <w:bCs/>
          <w:lang w:val="en-US"/>
        </w:rPr>
        <w:t xml:space="preserve">microbiome </w:t>
      </w:r>
      <w:proofErr w:type="gramStart"/>
      <w:r w:rsidRPr="00F8574C">
        <w:rPr>
          <w:bCs/>
          <w:lang w:val="en-US"/>
        </w:rPr>
        <w:t>has been shown</w:t>
      </w:r>
      <w:proofErr w:type="gramEnd"/>
      <w:r w:rsidRPr="00F8574C">
        <w:rPr>
          <w:bCs/>
          <w:lang w:val="en-US"/>
        </w:rPr>
        <w:t xml:space="preserve"> to play a role in respiratory health. Studies have utilized 16S rRNA gene sequencing to characterize the cattle respiratory microbiome (Johnston et al., 2017; McDaneld et al., 2018; </w:t>
      </w:r>
      <w:r w:rsidR="00914C6C">
        <w:rPr>
          <w:bCs/>
          <w:lang w:val="en-US"/>
        </w:rPr>
        <w:t>Centen</w:t>
      </w:r>
      <w:r w:rsidR="005D206F">
        <w:rPr>
          <w:bCs/>
          <w:lang w:val="en-US"/>
        </w:rPr>
        <w:t xml:space="preserve">o-Martinez et al., 2022). </w:t>
      </w:r>
      <w:r w:rsidRPr="00F8574C">
        <w:rPr>
          <w:bCs/>
          <w:lang w:val="en-US"/>
        </w:rPr>
        <w:t>Despite current research,</w:t>
      </w:r>
      <w:r w:rsidR="00914C6C">
        <w:rPr>
          <w:bCs/>
          <w:lang w:val="en-US"/>
        </w:rPr>
        <w:t xml:space="preserve"> there is</w:t>
      </w:r>
      <w:r w:rsidRPr="00F8574C">
        <w:rPr>
          <w:bCs/>
          <w:lang w:val="en-US"/>
        </w:rPr>
        <w:t xml:space="preserve"> a lack of data </w:t>
      </w:r>
      <w:r w:rsidR="00914C6C">
        <w:rPr>
          <w:bCs/>
          <w:lang w:val="en-US"/>
        </w:rPr>
        <w:t xml:space="preserve">concerning </w:t>
      </w:r>
      <w:r w:rsidRPr="00F8574C">
        <w:rPr>
          <w:bCs/>
          <w:lang w:val="en-US"/>
        </w:rPr>
        <w:t xml:space="preserve">the </w:t>
      </w:r>
      <w:r w:rsidR="00914C6C">
        <w:rPr>
          <w:bCs/>
          <w:lang w:val="en-US"/>
        </w:rPr>
        <w:t xml:space="preserve">perturbations </w:t>
      </w:r>
      <w:r w:rsidRPr="00F8574C">
        <w:rPr>
          <w:bCs/>
          <w:lang w:val="en-US"/>
        </w:rPr>
        <w:t xml:space="preserve">to </w:t>
      </w:r>
      <w:r w:rsidR="00914C6C">
        <w:rPr>
          <w:bCs/>
          <w:lang w:val="en-US"/>
        </w:rPr>
        <w:t xml:space="preserve">the </w:t>
      </w:r>
      <w:r w:rsidRPr="00F8574C">
        <w:rPr>
          <w:bCs/>
          <w:lang w:val="en-US"/>
        </w:rPr>
        <w:t xml:space="preserve">respiratory microbiota </w:t>
      </w:r>
      <w:proofErr w:type="gramStart"/>
      <w:r w:rsidRPr="00F8574C">
        <w:rPr>
          <w:bCs/>
          <w:lang w:val="en-US"/>
        </w:rPr>
        <w:t>as a result</w:t>
      </w:r>
      <w:proofErr w:type="gramEnd"/>
      <w:r w:rsidRPr="00F8574C">
        <w:rPr>
          <w:bCs/>
          <w:lang w:val="en-US"/>
        </w:rPr>
        <w:t xml:space="preserve"> of viral infection. Bovine herpesvirus 1 (BoHV-1), a double stranded DNA virus, is a key pathogen associated with BRD. Therefore, </w:t>
      </w:r>
      <w:r w:rsidR="00914C6C">
        <w:rPr>
          <w:bCs/>
          <w:lang w:val="en-US"/>
        </w:rPr>
        <w:t xml:space="preserve">the </w:t>
      </w:r>
      <w:r w:rsidRPr="00F8574C">
        <w:rPr>
          <w:bCs/>
          <w:lang w:val="en-US"/>
        </w:rPr>
        <w:t>objective</w:t>
      </w:r>
      <w:r w:rsidR="00914C6C">
        <w:rPr>
          <w:bCs/>
          <w:lang w:val="en-US"/>
        </w:rPr>
        <w:t xml:space="preserve"> of this study</w:t>
      </w:r>
      <w:r w:rsidRPr="00F8574C">
        <w:rPr>
          <w:bCs/>
          <w:lang w:val="en-US"/>
        </w:rPr>
        <w:t xml:space="preserve"> was to characterise the bacterial microbiota of </w:t>
      </w:r>
      <w:r w:rsidR="00CA719A">
        <w:rPr>
          <w:bCs/>
          <w:lang w:val="en-US"/>
        </w:rPr>
        <w:t xml:space="preserve">the nasal cavity and pharyngeal tonsil </w:t>
      </w:r>
      <w:r w:rsidRPr="00F8574C">
        <w:rPr>
          <w:bCs/>
          <w:lang w:val="en-US"/>
        </w:rPr>
        <w:t>of dairy calves following experimental infection with a specific BRD-associated virus, BoHV-1.</w:t>
      </w:r>
    </w:p>
    <w:p w14:paraId="1F63B1C6" w14:textId="2CD6BF6B" w:rsidR="007B30E3" w:rsidRDefault="007B30E3">
      <w:pPr>
        <w:rPr>
          <w:b/>
          <w:bCs/>
          <w:lang w:val="en-US"/>
        </w:rPr>
      </w:pPr>
      <w:r>
        <w:rPr>
          <w:b/>
          <w:bCs/>
          <w:lang w:val="en-US"/>
        </w:rPr>
        <w:t>Materials and Methods</w:t>
      </w:r>
    </w:p>
    <w:p w14:paraId="457A3C45" w14:textId="2C7D6D60" w:rsidR="00F8574C" w:rsidRPr="00F8574C" w:rsidRDefault="00F8574C" w:rsidP="00F8574C">
      <w:pPr>
        <w:jc w:val="both"/>
        <w:rPr>
          <w:bCs/>
          <w:lang w:val="en-US"/>
        </w:rPr>
      </w:pPr>
      <w:r w:rsidRPr="00F8574C">
        <w:rPr>
          <w:bCs/>
          <w:lang w:val="en-US"/>
        </w:rPr>
        <w:t>Holstein-Friesian bull calves (mean age (SD) = 149.2 (23.8) days; mean weight (SD) = 174.6 (21.3) kg) were either administered BoHV-1 inoculate (1 × 107/mL × 8.5 mL) (n = 12)</w:t>
      </w:r>
      <w:r w:rsidR="00B55B34">
        <w:rPr>
          <w:bCs/>
          <w:lang w:val="en-US"/>
        </w:rPr>
        <w:t xml:space="preserve"> (challenged)</w:t>
      </w:r>
      <w:r w:rsidRPr="00F8574C">
        <w:rPr>
          <w:bCs/>
          <w:lang w:val="en-US"/>
        </w:rPr>
        <w:t xml:space="preserve"> or were mock challenged with sterile phosphate buffered saline</w:t>
      </w:r>
      <w:r w:rsidR="00B55B34">
        <w:rPr>
          <w:bCs/>
          <w:lang w:val="en-US"/>
        </w:rPr>
        <w:t xml:space="preserve"> (control)</w:t>
      </w:r>
      <w:r w:rsidRPr="00F8574C">
        <w:rPr>
          <w:bCs/>
          <w:lang w:val="en-US"/>
        </w:rPr>
        <w:t xml:space="preserve"> (n = 6). Clinical signs </w:t>
      </w:r>
      <w:proofErr w:type="gramStart"/>
      <w:r w:rsidRPr="00F8574C">
        <w:rPr>
          <w:bCs/>
          <w:lang w:val="en-US"/>
        </w:rPr>
        <w:t>were monitored and scored daily,</w:t>
      </w:r>
      <w:proofErr w:type="gramEnd"/>
      <w:r w:rsidRPr="00F8574C">
        <w:rPr>
          <w:bCs/>
          <w:lang w:val="en-US"/>
        </w:rPr>
        <w:t xml:space="preserve"> and nasal swabs were collected from each animal until euthanasia at day (d) 6 post-challenge. </w:t>
      </w:r>
      <w:r w:rsidR="001E553A">
        <w:rPr>
          <w:bCs/>
          <w:lang w:val="en-US"/>
        </w:rPr>
        <w:t>P</w:t>
      </w:r>
      <w:r w:rsidRPr="00F8574C">
        <w:rPr>
          <w:bCs/>
          <w:lang w:val="en-US"/>
        </w:rPr>
        <w:t>haryngeal tonsil tissue</w:t>
      </w:r>
      <w:r w:rsidR="0081286C">
        <w:rPr>
          <w:bCs/>
          <w:lang w:val="en-US"/>
        </w:rPr>
        <w:t xml:space="preserve"> (PGT)</w:t>
      </w:r>
      <w:r w:rsidRPr="00F8574C">
        <w:rPr>
          <w:bCs/>
          <w:lang w:val="en-US"/>
        </w:rPr>
        <w:t xml:space="preserve"> samples </w:t>
      </w:r>
      <w:proofErr w:type="gramStart"/>
      <w:r w:rsidRPr="00F8574C">
        <w:rPr>
          <w:bCs/>
          <w:lang w:val="en-US"/>
        </w:rPr>
        <w:t>were collected</w:t>
      </w:r>
      <w:proofErr w:type="gramEnd"/>
      <w:r w:rsidR="005D206F">
        <w:rPr>
          <w:bCs/>
          <w:lang w:val="en-US"/>
        </w:rPr>
        <w:t xml:space="preserve"> from all animals </w:t>
      </w:r>
      <w:r w:rsidR="001E553A">
        <w:rPr>
          <w:bCs/>
          <w:lang w:val="en-US"/>
        </w:rPr>
        <w:t xml:space="preserve">at </w:t>
      </w:r>
      <w:r w:rsidRPr="00F8574C">
        <w:rPr>
          <w:bCs/>
          <w:lang w:val="en-US"/>
        </w:rPr>
        <w:t>post-mortem.</w:t>
      </w:r>
      <w:r w:rsidR="00C55B33" w:rsidRPr="00C55B33">
        <w:t xml:space="preserve"> </w:t>
      </w:r>
      <w:r w:rsidR="00CC4484">
        <w:rPr>
          <w:bCs/>
          <w:lang w:val="en-US"/>
        </w:rPr>
        <w:t xml:space="preserve">Based on clinical scores and quantification of BoHV-1 virus by qPCR, nasal samples collected on d0, d4 and d6 post-challenge </w:t>
      </w:r>
      <w:proofErr w:type="gramStart"/>
      <w:r w:rsidR="00CC4484">
        <w:rPr>
          <w:bCs/>
          <w:lang w:val="en-US"/>
        </w:rPr>
        <w:t>were selected</w:t>
      </w:r>
      <w:proofErr w:type="gramEnd"/>
      <w:r w:rsidR="00CC4484">
        <w:rPr>
          <w:bCs/>
          <w:lang w:val="en-US"/>
        </w:rPr>
        <w:t xml:space="preserve"> for bacterial 16S gene amplicon analysis. Total </w:t>
      </w:r>
      <w:r w:rsidRPr="00F8574C">
        <w:rPr>
          <w:bCs/>
          <w:lang w:val="en-US"/>
        </w:rPr>
        <w:t xml:space="preserve">DNA </w:t>
      </w:r>
      <w:proofErr w:type="gramStart"/>
      <w:r w:rsidRPr="00F8574C">
        <w:rPr>
          <w:bCs/>
          <w:lang w:val="en-US"/>
        </w:rPr>
        <w:t>was extracted</w:t>
      </w:r>
      <w:proofErr w:type="gramEnd"/>
      <w:r w:rsidRPr="00F8574C">
        <w:rPr>
          <w:bCs/>
          <w:lang w:val="en-US"/>
        </w:rPr>
        <w:t xml:space="preserve"> from </w:t>
      </w:r>
      <w:r w:rsidR="005D206F">
        <w:rPr>
          <w:bCs/>
          <w:lang w:val="en-US"/>
        </w:rPr>
        <w:t xml:space="preserve">nasal and pharyngeal tonsil </w:t>
      </w:r>
      <w:r w:rsidR="00C55B33">
        <w:rPr>
          <w:bCs/>
          <w:lang w:val="en-US"/>
        </w:rPr>
        <w:t xml:space="preserve">samples </w:t>
      </w:r>
      <w:r w:rsidRPr="00F8574C">
        <w:rPr>
          <w:bCs/>
          <w:lang w:val="en-US"/>
        </w:rPr>
        <w:t>and</w:t>
      </w:r>
      <w:r w:rsidR="00CC4484">
        <w:rPr>
          <w:bCs/>
          <w:lang w:val="en-US"/>
        </w:rPr>
        <w:t xml:space="preserve"> full-length bacterial 16S gene amplicon sequencing was conducted </w:t>
      </w:r>
      <w:r w:rsidRPr="00F8574C">
        <w:rPr>
          <w:bCs/>
          <w:lang w:val="en-US"/>
        </w:rPr>
        <w:t>on the Oxf</w:t>
      </w:r>
      <w:r w:rsidR="00CC4484">
        <w:rPr>
          <w:bCs/>
          <w:lang w:val="en-US"/>
        </w:rPr>
        <w:t xml:space="preserve">ord Nanopore Technologies </w:t>
      </w:r>
      <w:r w:rsidRPr="00F8574C">
        <w:rPr>
          <w:bCs/>
          <w:lang w:val="en-US"/>
        </w:rPr>
        <w:t xml:space="preserve">MinION Mk1C </w:t>
      </w:r>
      <w:r w:rsidR="00CC4484">
        <w:rPr>
          <w:bCs/>
          <w:lang w:val="en-US"/>
        </w:rPr>
        <w:t xml:space="preserve">sequencing </w:t>
      </w:r>
      <w:r w:rsidRPr="00F8574C">
        <w:rPr>
          <w:bCs/>
          <w:lang w:val="en-US"/>
        </w:rPr>
        <w:t xml:space="preserve">device. </w:t>
      </w:r>
      <w:r w:rsidR="00CC4484">
        <w:rPr>
          <w:bCs/>
          <w:lang w:val="en-US"/>
        </w:rPr>
        <w:t xml:space="preserve">Fastq files </w:t>
      </w:r>
      <w:proofErr w:type="gramStart"/>
      <w:r w:rsidR="00CC4484">
        <w:rPr>
          <w:bCs/>
          <w:lang w:val="en-US"/>
        </w:rPr>
        <w:t>were generated</w:t>
      </w:r>
      <w:proofErr w:type="gramEnd"/>
      <w:r w:rsidR="00CC4484">
        <w:rPr>
          <w:bCs/>
          <w:lang w:val="en-US"/>
        </w:rPr>
        <w:t xml:space="preserve"> during the sequencing run using GUPPY base-caller algorithm within the </w:t>
      </w:r>
      <w:proofErr w:type="spellStart"/>
      <w:r w:rsidR="00CC4484">
        <w:rPr>
          <w:bCs/>
          <w:lang w:val="en-US"/>
        </w:rPr>
        <w:t>Minknow</w:t>
      </w:r>
      <w:proofErr w:type="spellEnd"/>
      <w:r w:rsidR="00CC4484">
        <w:rPr>
          <w:bCs/>
          <w:lang w:val="en-US"/>
        </w:rPr>
        <w:t xml:space="preserve"> software that was installed on the </w:t>
      </w:r>
      <w:r w:rsidR="00B55B34">
        <w:rPr>
          <w:bCs/>
          <w:lang w:val="en-US"/>
        </w:rPr>
        <w:t>device</w:t>
      </w:r>
      <w:r w:rsidR="00CC4484">
        <w:rPr>
          <w:bCs/>
          <w:lang w:val="en-US"/>
        </w:rPr>
        <w:t xml:space="preserve">. </w:t>
      </w:r>
      <w:r w:rsidRPr="00F8574C">
        <w:rPr>
          <w:bCs/>
          <w:lang w:val="en-US"/>
        </w:rPr>
        <w:t xml:space="preserve">Clinical </w:t>
      </w:r>
      <w:r w:rsidR="00CC4484">
        <w:rPr>
          <w:bCs/>
          <w:lang w:val="en-US"/>
        </w:rPr>
        <w:t xml:space="preserve">score </w:t>
      </w:r>
      <w:r w:rsidRPr="00F8574C">
        <w:rPr>
          <w:bCs/>
          <w:lang w:val="en-US"/>
        </w:rPr>
        <w:t>da</w:t>
      </w:r>
      <w:r w:rsidR="001E553A">
        <w:rPr>
          <w:bCs/>
          <w:lang w:val="en-US"/>
        </w:rPr>
        <w:t xml:space="preserve">ta were analysed using SAS (9.4). </w:t>
      </w:r>
      <w:r w:rsidRPr="00F8574C">
        <w:rPr>
          <w:bCs/>
          <w:lang w:val="en-US"/>
        </w:rPr>
        <w:t xml:space="preserve">Clinical score data were tested for normality using PROC REG and analysed using </w:t>
      </w:r>
      <w:r w:rsidR="001E553A">
        <w:rPr>
          <w:bCs/>
          <w:lang w:val="en-US"/>
        </w:rPr>
        <w:t>the PROC MIXED procedure of SAS</w:t>
      </w:r>
      <w:r w:rsidR="005D206F">
        <w:rPr>
          <w:bCs/>
          <w:lang w:val="en-US"/>
        </w:rPr>
        <w:t xml:space="preserve"> (9.4)</w:t>
      </w:r>
      <w:r w:rsidR="001E553A">
        <w:rPr>
          <w:bCs/>
          <w:lang w:val="en-US"/>
        </w:rPr>
        <w:t xml:space="preserve">, with </w:t>
      </w:r>
      <w:r w:rsidRPr="00F8574C">
        <w:rPr>
          <w:bCs/>
          <w:lang w:val="en-US"/>
        </w:rPr>
        <w:t xml:space="preserve">time-point </w:t>
      </w:r>
      <w:r w:rsidR="001E553A">
        <w:rPr>
          <w:bCs/>
          <w:lang w:val="en-US"/>
        </w:rPr>
        <w:t xml:space="preserve">as </w:t>
      </w:r>
      <w:r w:rsidR="00914C6C">
        <w:rPr>
          <w:bCs/>
          <w:lang w:val="en-US"/>
        </w:rPr>
        <w:t>the replicate</w:t>
      </w:r>
      <w:r w:rsidR="00CC4484">
        <w:rPr>
          <w:bCs/>
          <w:lang w:val="en-US"/>
        </w:rPr>
        <w:t xml:space="preserve"> measure</w:t>
      </w:r>
      <w:r w:rsidR="00914C6C">
        <w:rPr>
          <w:bCs/>
          <w:lang w:val="en-US"/>
        </w:rPr>
        <w:t>s</w:t>
      </w:r>
      <w:r w:rsidR="00CC4484">
        <w:rPr>
          <w:bCs/>
          <w:lang w:val="en-US"/>
        </w:rPr>
        <w:t>. F</w:t>
      </w:r>
      <w:r w:rsidRPr="00F8574C">
        <w:rPr>
          <w:bCs/>
          <w:lang w:val="en-US"/>
        </w:rPr>
        <w:t xml:space="preserve">astq files </w:t>
      </w:r>
      <w:proofErr w:type="gramStart"/>
      <w:r w:rsidRPr="00F8574C">
        <w:rPr>
          <w:bCs/>
          <w:lang w:val="en-US"/>
        </w:rPr>
        <w:t>were uploaded</w:t>
      </w:r>
      <w:proofErr w:type="gramEnd"/>
      <w:r w:rsidRPr="00F8574C">
        <w:rPr>
          <w:bCs/>
          <w:lang w:val="en-US"/>
        </w:rPr>
        <w:t xml:space="preserve"> to the EPI2ME platform and analysed using the Fastq 16s workflow (v.2022.01.07). Results from the EPI2ME analysis </w:t>
      </w:r>
      <w:proofErr w:type="gramStart"/>
      <w:r w:rsidRPr="00F8574C">
        <w:rPr>
          <w:bCs/>
          <w:lang w:val="en-US"/>
        </w:rPr>
        <w:t>were input</w:t>
      </w:r>
      <w:proofErr w:type="gramEnd"/>
      <w:r w:rsidRPr="00F8574C">
        <w:rPr>
          <w:bCs/>
          <w:lang w:val="en-US"/>
        </w:rPr>
        <w:t xml:space="preserve"> into R and alpha diversity analysis</w:t>
      </w:r>
      <w:r w:rsidR="00914C6C">
        <w:rPr>
          <w:bCs/>
          <w:lang w:val="en-US"/>
        </w:rPr>
        <w:t xml:space="preserve"> was</w:t>
      </w:r>
      <w:r w:rsidRPr="00F8574C">
        <w:rPr>
          <w:bCs/>
          <w:lang w:val="en-US"/>
        </w:rPr>
        <w:t xml:space="preserve"> performed using the phyloseq (v1.40.0) package.</w:t>
      </w:r>
    </w:p>
    <w:p w14:paraId="35CAF992" w14:textId="7F94A8B8" w:rsidR="007B30E3" w:rsidRDefault="007B30E3">
      <w:pPr>
        <w:rPr>
          <w:b/>
          <w:bCs/>
          <w:lang w:val="en-US"/>
        </w:rPr>
      </w:pPr>
      <w:r>
        <w:rPr>
          <w:b/>
          <w:bCs/>
          <w:lang w:val="en-US"/>
        </w:rPr>
        <w:t>Results</w:t>
      </w:r>
    </w:p>
    <w:p w14:paraId="5ECA7E18" w14:textId="6CC9566C" w:rsidR="00F8574C" w:rsidRDefault="00F8574C" w:rsidP="00F8574C">
      <w:pPr>
        <w:jc w:val="both"/>
        <w:rPr>
          <w:bCs/>
          <w:lang w:val="en-US"/>
        </w:rPr>
      </w:pPr>
      <w:r w:rsidRPr="00F8574C">
        <w:rPr>
          <w:bCs/>
          <w:lang w:val="en-US"/>
        </w:rPr>
        <w:t xml:space="preserve">There was a significant treatment by time interaction </w:t>
      </w:r>
      <w:r w:rsidR="005D206F">
        <w:rPr>
          <w:bCs/>
          <w:lang w:val="en-US"/>
        </w:rPr>
        <w:t>(P &lt; 0.0001) for clinical score</w:t>
      </w:r>
      <w:r w:rsidR="00C55B33">
        <w:rPr>
          <w:bCs/>
          <w:lang w:val="en-US"/>
        </w:rPr>
        <w:t xml:space="preserve"> and rectal</w:t>
      </w:r>
      <w:r w:rsidR="005D206F">
        <w:rPr>
          <w:bCs/>
          <w:lang w:val="en-US"/>
        </w:rPr>
        <w:t xml:space="preserve"> temperature</w:t>
      </w:r>
      <w:r w:rsidRPr="00F8574C">
        <w:rPr>
          <w:bCs/>
          <w:lang w:val="en-US"/>
        </w:rPr>
        <w:t xml:space="preserve"> between BoHV-1 challenged and con</w:t>
      </w:r>
      <w:r w:rsidR="00C55B33">
        <w:rPr>
          <w:bCs/>
          <w:lang w:val="en-US"/>
        </w:rPr>
        <w:t xml:space="preserve">trol calves. Clinical scores were </w:t>
      </w:r>
      <w:r w:rsidRPr="00F8574C">
        <w:rPr>
          <w:bCs/>
          <w:lang w:val="en-US"/>
        </w:rPr>
        <w:t xml:space="preserve">greater for BoHV-1 challenged calves on d 3, 4, 5, and 6 compared to d -1 (P &lt; 0.001), and were greater for BoHV-1 challenged than control calves on d 4, 5, and 6 (P &lt; 0.05) (Figure 1). </w:t>
      </w:r>
      <w:r w:rsidR="00CC4484">
        <w:rPr>
          <w:bCs/>
          <w:lang w:val="en-US"/>
        </w:rPr>
        <w:t xml:space="preserve">No significant </w:t>
      </w:r>
      <w:r w:rsidRPr="00F8574C">
        <w:rPr>
          <w:bCs/>
          <w:lang w:val="en-US"/>
        </w:rPr>
        <w:t xml:space="preserve">difference (P &gt; 0.05) </w:t>
      </w:r>
      <w:r w:rsidR="00CC4484">
        <w:rPr>
          <w:bCs/>
          <w:lang w:val="en-US"/>
        </w:rPr>
        <w:t xml:space="preserve">was detected in the relative </w:t>
      </w:r>
      <w:r w:rsidRPr="00F8574C">
        <w:rPr>
          <w:bCs/>
          <w:lang w:val="en-US"/>
        </w:rPr>
        <w:t xml:space="preserve">abundance </w:t>
      </w:r>
      <w:r w:rsidR="00CC4484">
        <w:rPr>
          <w:bCs/>
          <w:lang w:val="en-US"/>
        </w:rPr>
        <w:t xml:space="preserve">or </w:t>
      </w:r>
      <w:r w:rsidRPr="00F8574C">
        <w:rPr>
          <w:bCs/>
          <w:lang w:val="en-US"/>
        </w:rPr>
        <w:t xml:space="preserve">diversity </w:t>
      </w:r>
      <w:r w:rsidR="00CC4484">
        <w:rPr>
          <w:bCs/>
          <w:lang w:val="en-US"/>
        </w:rPr>
        <w:t xml:space="preserve">of bacterial genera </w:t>
      </w:r>
      <w:r w:rsidRPr="00F8574C">
        <w:rPr>
          <w:bCs/>
          <w:lang w:val="en-US"/>
        </w:rPr>
        <w:t xml:space="preserve">between the </w:t>
      </w:r>
      <w:proofErr w:type="gramStart"/>
      <w:r w:rsidR="008A394E">
        <w:rPr>
          <w:bCs/>
          <w:lang w:val="en-US"/>
        </w:rPr>
        <w:t>control</w:t>
      </w:r>
      <w:proofErr w:type="gramEnd"/>
      <w:r w:rsidR="008A394E">
        <w:rPr>
          <w:bCs/>
          <w:lang w:val="en-US"/>
        </w:rPr>
        <w:t xml:space="preserve"> and challenged </w:t>
      </w:r>
      <w:r w:rsidR="00CA719A">
        <w:rPr>
          <w:bCs/>
          <w:lang w:val="en-US"/>
        </w:rPr>
        <w:t xml:space="preserve">nasal swab </w:t>
      </w:r>
      <w:r w:rsidR="008A394E">
        <w:rPr>
          <w:bCs/>
          <w:lang w:val="en-US"/>
        </w:rPr>
        <w:t>samples</w:t>
      </w:r>
      <w:r w:rsidRPr="00F8574C">
        <w:rPr>
          <w:bCs/>
          <w:lang w:val="en-US"/>
        </w:rPr>
        <w:t>. A total of 470, 571, and 569</w:t>
      </w:r>
      <w:r w:rsidR="00CC4484">
        <w:rPr>
          <w:bCs/>
          <w:lang w:val="en-US"/>
        </w:rPr>
        <w:t xml:space="preserve"> bacterial</w:t>
      </w:r>
      <w:r w:rsidRPr="00F8574C">
        <w:rPr>
          <w:bCs/>
          <w:lang w:val="en-US"/>
        </w:rPr>
        <w:t xml:space="preserve"> gen</w:t>
      </w:r>
      <w:r w:rsidR="00CC4484">
        <w:rPr>
          <w:bCs/>
          <w:lang w:val="en-US"/>
        </w:rPr>
        <w:t xml:space="preserve">era were detected in </w:t>
      </w:r>
      <w:r w:rsidR="00914C6C">
        <w:rPr>
          <w:bCs/>
          <w:lang w:val="en-US"/>
        </w:rPr>
        <w:t xml:space="preserve">the </w:t>
      </w:r>
      <w:r w:rsidR="00CC4484">
        <w:rPr>
          <w:bCs/>
          <w:lang w:val="en-US"/>
        </w:rPr>
        <w:t>nasal swab samples</w:t>
      </w:r>
      <w:r w:rsidRPr="00F8574C">
        <w:rPr>
          <w:bCs/>
          <w:lang w:val="en-US"/>
        </w:rPr>
        <w:t xml:space="preserve"> collected on d </w:t>
      </w:r>
      <w:proofErr w:type="gramStart"/>
      <w:r w:rsidRPr="00F8574C">
        <w:rPr>
          <w:bCs/>
          <w:lang w:val="en-US"/>
        </w:rPr>
        <w:t>0</w:t>
      </w:r>
      <w:proofErr w:type="gramEnd"/>
      <w:r w:rsidRPr="00F8574C">
        <w:rPr>
          <w:bCs/>
          <w:lang w:val="en-US"/>
        </w:rPr>
        <w:t xml:space="preserve">, </w:t>
      </w:r>
      <w:r w:rsidR="00CC4484">
        <w:rPr>
          <w:bCs/>
          <w:lang w:val="en-US"/>
        </w:rPr>
        <w:t xml:space="preserve">d </w:t>
      </w:r>
      <w:r w:rsidRPr="00F8574C">
        <w:rPr>
          <w:bCs/>
          <w:lang w:val="en-US"/>
        </w:rPr>
        <w:t xml:space="preserve">4, and </w:t>
      </w:r>
      <w:r w:rsidR="00CC4484">
        <w:rPr>
          <w:bCs/>
          <w:lang w:val="en-US"/>
        </w:rPr>
        <w:t xml:space="preserve">d </w:t>
      </w:r>
      <w:r w:rsidRPr="00F8574C">
        <w:rPr>
          <w:bCs/>
          <w:lang w:val="en-US"/>
        </w:rPr>
        <w:t xml:space="preserve">6 respectively. The most prevalent genera identified </w:t>
      </w:r>
      <w:r w:rsidR="00CE2515">
        <w:rPr>
          <w:bCs/>
          <w:lang w:val="en-US"/>
        </w:rPr>
        <w:t xml:space="preserve">in challenged calves </w:t>
      </w:r>
      <w:r w:rsidRPr="00F8574C">
        <w:rPr>
          <w:bCs/>
          <w:lang w:val="en-US"/>
        </w:rPr>
        <w:t>across these days w</w:t>
      </w:r>
      <w:r w:rsidR="00B750B6">
        <w:rPr>
          <w:bCs/>
          <w:lang w:val="en-US"/>
        </w:rPr>
        <w:t xml:space="preserve">ere </w:t>
      </w:r>
      <w:r w:rsidR="00B750B6" w:rsidRPr="008A394E">
        <w:rPr>
          <w:bCs/>
          <w:i/>
          <w:lang w:val="en-US"/>
        </w:rPr>
        <w:t>Moraxella</w:t>
      </w:r>
      <w:r w:rsidR="00B750B6">
        <w:rPr>
          <w:bCs/>
          <w:lang w:val="en-US"/>
        </w:rPr>
        <w:t xml:space="preserve"> (mean (SD)) (25.1 (10.0</w:t>
      </w:r>
      <w:r w:rsidRPr="00F8574C">
        <w:rPr>
          <w:bCs/>
          <w:lang w:val="en-US"/>
        </w:rPr>
        <w:t>)</w:t>
      </w:r>
      <w:r w:rsidR="00B750B6">
        <w:rPr>
          <w:bCs/>
          <w:lang w:val="en-US"/>
        </w:rPr>
        <w:t xml:space="preserve"> %), </w:t>
      </w:r>
      <w:r w:rsidR="00B750B6" w:rsidRPr="008A394E">
        <w:rPr>
          <w:bCs/>
          <w:i/>
          <w:lang w:val="en-US"/>
        </w:rPr>
        <w:t>Pasteurella</w:t>
      </w:r>
      <w:r w:rsidR="00B750B6">
        <w:rPr>
          <w:bCs/>
          <w:lang w:val="en-US"/>
        </w:rPr>
        <w:t xml:space="preserve"> (51.6 (17.0</w:t>
      </w:r>
      <w:r w:rsidRPr="00F8574C">
        <w:rPr>
          <w:bCs/>
          <w:lang w:val="en-US"/>
        </w:rPr>
        <w:t>)</w:t>
      </w:r>
      <w:r w:rsidR="00B750B6">
        <w:rPr>
          <w:bCs/>
          <w:lang w:val="en-US"/>
        </w:rPr>
        <w:t xml:space="preserve"> %</w:t>
      </w:r>
      <w:r w:rsidRPr="00F8574C">
        <w:rPr>
          <w:bCs/>
          <w:lang w:val="en-US"/>
        </w:rPr>
        <w:t xml:space="preserve">), and </w:t>
      </w:r>
      <w:r w:rsidRPr="008A394E">
        <w:rPr>
          <w:bCs/>
          <w:i/>
          <w:lang w:val="en-US"/>
        </w:rPr>
        <w:t>Pasteurella</w:t>
      </w:r>
      <w:r w:rsidRPr="00F8574C">
        <w:rPr>
          <w:bCs/>
          <w:lang w:val="en-US"/>
        </w:rPr>
        <w:t xml:space="preserve"> spp.</w:t>
      </w:r>
      <w:r w:rsidR="00B750B6">
        <w:rPr>
          <w:bCs/>
          <w:lang w:val="en-US"/>
        </w:rPr>
        <w:t xml:space="preserve"> (64.7 (18.4</w:t>
      </w:r>
      <w:r w:rsidR="000C6F22">
        <w:rPr>
          <w:bCs/>
          <w:lang w:val="en-US"/>
        </w:rPr>
        <w:t>)</w:t>
      </w:r>
      <w:r w:rsidR="00B750B6">
        <w:rPr>
          <w:bCs/>
          <w:lang w:val="en-US"/>
        </w:rPr>
        <w:t xml:space="preserve"> %</w:t>
      </w:r>
      <w:r w:rsidR="000C6F22">
        <w:rPr>
          <w:bCs/>
          <w:lang w:val="en-US"/>
        </w:rPr>
        <w:t>)</w:t>
      </w:r>
      <w:r w:rsidR="00914C6C">
        <w:rPr>
          <w:bCs/>
          <w:lang w:val="en-US"/>
        </w:rPr>
        <w:t>,</w:t>
      </w:r>
      <w:r w:rsidR="000C6F22">
        <w:rPr>
          <w:bCs/>
          <w:lang w:val="en-US"/>
        </w:rPr>
        <w:t xml:space="preserve"> respectively. </w:t>
      </w:r>
      <w:r w:rsidR="008A394E">
        <w:rPr>
          <w:bCs/>
          <w:lang w:val="en-US"/>
        </w:rPr>
        <w:t xml:space="preserve">In controls the most prevalent bacterial genera were </w:t>
      </w:r>
      <w:r w:rsidR="00B750B6" w:rsidRPr="008A394E">
        <w:rPr>
          <w:bCs/>
          <w:i/>
          <w:lang w:val="en-US"/>
        </w:rPr>
        <w:t>Moraxella</w:t>
      </w:r>
      <w:r w:rsidR="00B750B6">
        <w:rPr>
          <w:bCs/>
          <w:lang w:val="en-US"/>
        </w:rPr>
        <w:t xml:space="preserve"> (37.2 (10.2</w:t>
      </w:r>
      <w:r w:rsidRPr="00F8574C">
        <w:rPr>
          <w:bCs/>
          <w:lang w:val="en-US"/>
        </w:rPr>
        <w:t>)</w:t>
      </w:r>
      <w:r w:rsidR="00B750B6">
        <w:rPr>
          <w:bCs/>
          <w:lang w:val="en-US"/>
        </w:rPr>
        <w:t xml:space="preserve"> %)</w:t>
      </w:r>
      <w:r w:rsidRPr="00F8574C">
        <w:rPr>
          <w:bCs/>
          <w:lang w:val="en-US"/>
        </w:rPr>
        <w:t>, Pasteurell</w:t>
      </w:r>
      <w:r w:rsidR="00B750B6">
        <w:rPr>
          <w:bCs/>
          <w:lang w:val="en-US"/>
        </w:rPr>
        <w:t>a (38.1 (16.0</w:t>
      </w:r>
      <w:r w:rsidRPr="00F8574C">
        <w:rPr>
          <w:bCs/>
          <w:lang w:val="en-US"/>
        </w:rPr>
        <w:t>)</w:t>
      </w:r>
      <w:r w:rsidR="00B750B6">
        <w:rPr>
          <w:bCs/>
          <w:lang w:val="en-US"/>
        </w:rPr>
        <w:t xml:space="preserve"> %), and </w:t>
      </w:r>
      <w:r w:rsidR="00B750B6" w:rsidRPr="008A394E">
        <w:rPr>
          <w:bCs/>
          <w:i/>
          <w:lang w:val="en-US"/>
        </w:rPr>
        <w:t>Pasteurella</w:t>
      </w:r>
      <w:r w:rsidR="00B750B6">
        <w:rPr>
          <w:bCs/>
          <w:lang w:val="en-US"/>
        </w:rPr>
        <w:t xml:space="preserve"> spp. (30.4 (12.5</w:t>
      </w:r>
      <w:r w:rsidRPr="00F8574C">
        <w:rPr>
          <w:bCs/>
          <w:lang w:val="en-US"/>
        </w:rPr>
        <w:t>)</w:t>
      </w:r>
      <w:r w:rsidR="00B750B6">
        <w:rPr>
          <w:bCs/>
          <w:lang w:val="en-US"/>
        </w:rPr>
        <w:t xml:space="preserve"> %</w:t>
      </w:r>
      <w:r w:rsidRPr="00F8574C">
        <w:rPr>
          <w:bCs/>
          <w:lang w:val="en-US"/>
        </w:rPr>
        <w:t>)</w:t>
      </w:r>
      <w:r w:rsidR="00914C6C">
        <w:rPr>
          <w:bCs/>
          <w:lang w:val="en-US"/>
        </w:rPr>
        <w:t>,</w:t>
      </w:r>
      <w:r w:rsidRPr="00F8574C">
        <w:rPr>
          <w:bCs/>
          <w:lang w:val="en-US"/>
        </w:rPr>
        <w:t xml:space="preserve"> </w:t>
      </w:r>
      <w:r w:rsidR="00917BBB">
        <w:rPr>
          <w:bCs/>
          <w:lang w:val="en-US"/>
        </w:rPr>
        <w:t>respectively. In the PGT</w:t>
      </w:r>
      <w:r w:rsidR="008A394E" w:rsidRPr="00F8574C">
        <w:rPr>
          <w:bCs/>
          <w:lang w:val="en-US"/>
        </w:rPr>
        <w:t>,</w:t>
      </w:r>
      <w:r w:rsidRPr="00F8574C">
        <w:rPr>
          <w:bCs/>
          <w:lang w:val="en-US"/>
        </w:rPr>
        <w:t xml:space="preserve"> 1479 genera </w:t>
      </w:r>
      <w:proofErr w:type="gramStart"/>
      <w:r w:rsidRPr="00F8574C">
        <w:rPr>
          <w:bCs/>
          <w:lang w:val="en-US"/>
        </w:rPr>
        <w:t>were identified</w:t>
      </w:r>
      <w:proofErr w:type="gramEnd"/>
      <w:r w:rsidR="00CC4484">
        <w:rPr>
          <w:bCs/>
          <w:lang w:val="en-US"/>
        </w:rPr>
        <w:t xml:space="preserve"> across all samples</w:t>
      </w:r>
      <w:r w:rsidRPr="00F8574C">
        <w:rPr>
          <w:bCs/>
          <w:lang w:val="en-US"/>
        </w:rPr>
        <w:t xml:space="preserve">. </w:t>
      </w:r>
      <w:r w:rsidR="0081286C">
        <w:rPr>
          <w:bCs/>
          <w:lang w:val="en-US"/>
        </w:rPr>
        <w:t xml:space="preserve">No significant difference </w:t>
      </w:r>
      <w:r w:rsidR="0081286C">
        <w:rPr>
          <w:bCs/>
          <w:lang w:val="en-US"/>
        </w:rPr>
        <w:t xml:space="preserve">(P &gt; 0.05) </w:t>
      </w:r>
      <w:proofErr w:type="gramStart"/>
      <w:r w:rsidR="0081286C">
        <w:rPr>
          <w:bCs/>
          <w:lang w:val="en-US"/>
        </w:rPr>
        <w:t>was detected</w:t>
      </w:r>
      <w:proofErr w:type="gramEnd"/>
      <w:r w:rsidR="0081286C">
        <w:rPr>
          <w:bCs/>
          <w:lang w:val="en-US"/>
        </w:rPr>
        <w:t xml:space="preserve"> in the relative abundance of bacterial genera between challenge and control PGT samples. </w:t>
      </w:r>
      <w:r w:rsidRPr="00F8574C">
        <w:rPr>
          <w:bCs/>
          <w:lang w:val="en-US"/>
        </w:rPr>
        <w:t xml:space="preserve">The most common </w:t>
      </w:r>
      <w:r w:rsidR="00CC4484">
        <w:rPr>
          <w:bCs/>
          <w:lang w:val="en-US"/>
        </w:rPr>
        <w:t xml:space="preserve">bacterial </w:t>
      </w:r>
      <w:r w:rsidRPr="00F8574C">
        <w:rPr>
          <w:bCs/>
          <w:lang w:val="en-US"/>
        </w:rPr>
        <w:t>genera identified in challenged a</w:t>
      </w:r>
      <w:r w:rsidR="00B750B6">
        <w:rPr>
          <w:bCs/>
          <w:lang w:val="en-US"/>
        </w:rPr>
        <w:t xml:space="preserve">nimals were </w:t>
      </w:r>
      <w:r w:rsidR="00B750B6" w:rsidRPr="008A394E">
        <w:rPr>
          <w:bCs/>
          <w:i/>
          <w:lang w:val="en-US"/>
        </w:rPr>
        <w:t>Streptococcus</w:t>
      </w:r>
      <w:r w:rsidR="00B750B6">
        <w:rPr>
          <w:bCs/>
          <w:lang w:val="en-US"/>
        </w:rPr>
        <w:t xml:space="preserve"> (12.4 (4.5</w:t>
      </w:r>
      <w:r w:rsidRPr="00F8574C">
        <w:rPr>
          <w:bCs/>
          <w:lang w:val="en-US"/>
        </w:rPr>
        <w:t>)</w:t>
      </w:r>
      <w:r w:rsidR="00B750B6">
        <w:rPr>
          <w:bCs/>
          <w:lang w:val="en-US"/>
        </w:rPr>
        <w:t xml:space="preserve"> %), </w:t>
      </w:r>
      <w:r w:rsidR="00B750B6" w:rsidRPr="008A394E">
        <w:rPr>
          <w:bCs/>
          <w:i/>
          <w:lang w:val="en-US"/>
        </w:rPr>
        <w:t>Mycoplasmopsis</w:t>
      </w:r>
      <w:r w:rsidR="00B750B6">
        <w:rPr>
          <w:bCs/>
          <w:lang w:val="en-US"/>
        </w:rPr>
        <w:t xml:space="preserve"> (11.8 (5.3</w:t>
      </w:r>
      <w:r w:rsidRPr="00F8574C">
        <w:rPr>
          <w:bCs/>
          <w:lang w:val="en-US"/>
        </w:rPr>
        <w:t>)</w:t>
      </w:r>
      <w:r w:rsidR="00B750B6">
        <w:rPr>
          <w:bCs/>
          <w:lang w:val="en-US"/>
        </w:rPr>
        <w:t xml:space="preserve"> %</w:t>
      </w:r>
      <w:r w:rsidRPr="00F8574C">
        <w:rPr>
          <w:bCs/>
          <w:lang w:val="en-US"/>
        </w:rPr>
        <w:t>),</w:t>
      </w:r>
      <w:r w:rsidR="00B750B6">
        <w:rPr>
          <w:bCs/>
          <w:lang w:val="en-US"/>
        </w:rPr>
        <w:t xml:space="preserve"> </w:t>
      </w:r>
      <w:r w:rsidR="00B750B6" w:rsidRPr="008A394E">
        <w:rPr>
          <w:bCs/>
          <w:i/>
          <w:lang w:val="en-US"/>
        </w:rPr>
        <w:t>Mesomycoplasma</w:t>
      </w:r>
      <w:r w:rsidR="00B750B6">
        <w:rPr>
          <w:bCs/>
          <w:lang w:val="en-US"/>
        </w:rPr>
        <w:t xml:space="preserve"> (7.9 (5.1</w:t>
      </w:r>
      <w:r w:rsidRPr="00F8574C">
        <w:rPr>
          <w:bCs/>
          <w:lang w:val="en-US"/>
        </w:rPr>
        <w:t>)</w:t>
      </w:r>
      <w:r w:rsidR="00B750B6">
        <w:rPr>
          <w:bCs/>
          <w:lang w:val="en-US"/>
        </w:rPr>
        <w:t xml:space="preserve"> %)</w:t>
      </w:r>
      <w:r w:rsidR="00914C6C">
        <w:rPr>
          <w:bCs/>
          <w:lang w:val="en-US"/>
        </w:rPr>
        <w:t>,</w:t>
      </w:r>
      <w:r w:rsidR="00B750B6">
        <w:rPr>
          <w:bCs/>
          <w:lang w:val="en-US"/>
        </w:rPr>
        <w:t xml:space="preserve"> and </w:t>
      </w:r>
      <w:r w:rsidR="00B750B6" w:rsidRPr="008A394E">
        <w:rPr>
          <w:bCs/>
          <w:i/>
          <w:lang w:val="en-US"/>
        </w:rPr>
        <w:t>Pasteurella</w:t>
      </w:r>
      <w:r w:rsidR="00B750B6">
        <w:rPr>
          <w:bCs/>
          <w:lang w:val="en-US"/>
        </w:rPr>
        <w:t xml:space="preserve"> spp. (7.3 (2.4</w:t>
      </w:r>
      <w:r w:rsidRPr="00F8574C">
        <w:rPr>
          <w:bCs/>
          <w:lang w:val="en-US"/>
        </w:rPr>
        <w:t>)</w:t>
      </w:r>
      <w:r w:rsidR="00B750B6">
        <w:rPr>
          <w:bCs/>
          <w:lang w:val="en-US"/>
        </w:rPr>
        <w:t xml:space="preserve"> %</w:t>
      </w:r>
      <w:r w:rsidR="005D206F">
        <w:rPr>
          <w:bCs/>
          <w:lang w:val="en-US"/>
        </w:rPr>
        <w:t>)</w:t>
      </w:r>
      <w:r w:rsidRPr="00F8574C">
        <w:rPr>
          <w:bCs/>
          <w:lang w:val="en-US"/>
        </w:rPr>
        <w:t xml:space="preserve">. </w:t>
      </w:r>
      <w:r w:rsidR="005D206F">
        <w:rPr>
          <w:bCs/>
          <w:lang w:val="en-US"/>
        </w:rPr>
        <w:t xml:space="preserve">In control samples, the most prevalent genera identified were </w:t>
      </w:r>
      <w:r w:rsidR="005D206F" w:rsidRPr="005D206F">
        <w:rPr>
          <w:bCs/>
          <w:i/>
          <w:lang w:val="en-US"/>
        </w:rPr>
        <w:t>Pasteurella</w:t>
      </w:r>
      <w:r w:rsidR="005D206F">
        <w:rPr>
          <w:bCs/>
          <w:lang w:val="en-US"/>
        </w:rPr>
        <w:t xml:space="preserve"> (30.3 (15.5%)), </w:t>
      </w:r>
      <w:r w:rsidR="005D206F" w:rsidRPr="005D206F">
        <w:rPr>
          <w:bCs/>
          <w:i/>
          <w:lang w:val="en-US"/>
        </w:rPr>
        <w:t>Chitinophaga</w:t>
      </w:r>
      <w:r w:rsidR="005D206F">
        <w:rPr>
          <w:bCs/>
          <w:lang w:val="en-US"/>
        </w:rPr>
        <w:t xml:space="preserve"> (16.5 (14.8%)), </w:t>
      </w:r>
      <w:bookmarkStart w:id="0" w:name="_GoBack"/>
      <w:bookmarkEnd w:id="0"/>
      <w:r w:rsidR="005D206F" w:rsidRPr="005D206F">
        <w:rPr>
          <w:bCs/>
          <w:i/>
          <w:lang w:val="en-US"/>
        </w:rPr>
        <w:t>Moraxella</w:t>
      </w:r>
      <w:r w:rsidR="005D206F">
        <w:rPr>
          <w:bCs/>
          <w:lang w:val="en-US"/>
        </w:rPr>
        <w:t xml:space="preserve"> (11.4 (10.3%)), </w:t>
      </w:r>
      <w:r w:rsidR="005D206F" w:rsidRPr="005D206F">
        <w:rPr>
          <w:bCs/>
          <w:i/>
          <w:lang w:val="en-US"/>
        </w:rPr>
        <w:t>Streptococcus</w:t>
      </w:r>
      <w:r w:rsidR="005D206F">
        <w:rPr>
          <w:bCs/>
          <w:lang w:val="en-US"/>
        </w:rPr>
        <w:t xml:space="preserve"> (7.2 (3.9%)) and </w:t>
      </w:r>
      <w:r w:rsidR="005D206F" w:rsidRPr="005D206F">
        <w:rPr>
          <w:bCs/>
          <w:i/>
          <w:lang w:val="en-US"/>
        </w:rPr>
        <w:t xml:space="preserve">Escherichia </w:t>
      </w:r>
      <w:proofErr w:type="spellStart"/>
      <w:r w:rsidR="005D206F">
        <w:rPr>
          <w:bCs/>
          <w:lang w:val="en-US"/>
        </w:rPr>
        <w:t>spp</w:t>
      </w:r>
      <w:proofErr w:type="spellEnd"/>
      <w:r w:rsidR="005D206F">
        <w:rPr>
          <w:bCs/>
          <w:lang w:val="en-US"/>
        </w:rPr>
        <w:t xml:space="preserve"> (6.6 (5.4%)). </w:t>
      </w:r>
    </w:p>
    <w:p w14:paraId="2BA9FF57" w14:textId="33B57403" w:rsidR="00F8574C" w:rsidRDefault="00F8574C" w:rsidP="00F8574C">
      <w:pPr>
        <w:jc w:val="both"/>
        <w:rPr>
          <w:bCs/>
          <w:lang w:val="en-US"/>
        </w:rPr>
      </w:pPr>
    </w:p>
    <w:p w14:paraId="34B6EFE9" w14:textId="77777777" w:rsidR="00C55B33" w:rsidRDefault="00C55B33" w:rsidP="00C55B33">
      <w:pPr>
        <w:pStyle w:val="NormalWeb"/>
        <w:jc w:val="center"/>
      </w:pPr>
      <w:r>
        <w:rPr>
          <w:noProof/>
        </w:rPr>
        <w:drawing>
          <wp:inline distT="0" distB="0" distL="0" distR="0" wp14:anchorId="691EA08C" wp14:editId="267E2E20">
            <wp:extent cx="6148930" cy="3348363"/>
            <wp:effectExtent l="19050" t="19050" r="23495" b="23495"/>
            <wp:docPr id="2" name="Picture 2" descr="C:\Users\stephanie.odonoghue\OneDrive - Teagasc - Agriculture and Food Development Authority\Documents\My Pictures\BoHV1_blood_fig_1a_1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ephanie.odonoghue\OneDrive - Teagasc - Agriculture and Food Development Authority\Documents\My Pictures\BoHV1_blood_fig_1a_1b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815" cy="336790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CEEAB74" w14:textId="2FFD1A99" w:rsidR="00F8574C" w:rsidRPr="00F8574C" w:rsidRDefault="00F8574C" w:rsidP="00F8574C">
      <w:pPr>
        <w:jc w:val="both"/>
        <w:rPr>
          <w:bCs/>
          <w:lang w:val="en-US"/>
        </w:rPr>
      </w:pPr>
      <w:r w:rsidRPr="00F8574C">
        <w:rPr>
          <w:b/>
          <w:bCs/>
          <w:lang w:val="en-US"/>
        </w:rPr>
        <w:t>Figure 1.</w:t>
      </w:r>
      <w:r w:rsidRPr="00F8574C">
        <w:rPr>
          <w:bCs/>
          <w:lang w:val="en-US"/>
        </w:rPr>
        <w:t xml:space="preserve"> Clinical scores</w:t>
      </w:r>
      <w:r w:rsidR="00C55B33">
        <w:rPr>
          <w:bCs/>
          <w:lang w:val="en-US"/>
        </w:rPr>
        <w:t xml:space="preserve"> (</w:t>
      </w:r>
      <w:r w:rsidR="00C55B33" w:rsidRPr="00C55B33">
        <w:rPr>
          <w:b/>
          <w:bCs/>
          <w:lang w:val="en-US"/>
        </w:rPr>
        <w:t>A</w:t>
      </w:r>
      <w:r w:rsidR="00C55B33">
        <w:rPr>
          <w:bCs/>
          <w:lang w:val="en-US"/>
        </w:rPr>
        <w:t>)</w:t>
      </w:r>
      <w:r w:rsidRPr="00F8574C">
        <w:rPr>
          <w:bCs/>
          <w:lang w:val="en-US"/>
        </w:rPr>
        <w:t xml:space="preserve"> </w:t>
      </w:r>
      <w:r w:rsidR="00C55B33">
        <w:rPr>
          <w:bCs/>
          <w:lang w:val="en-US"/>
        </w:rPr>
        <w:t>and rectal temperatures (</w:t>
      </w:r>
      <w:r w:rsidR="00C55B33" w:rsidRPr="00C55B33">
        <w:rPr>
          <w:b/>
          <w:bCs/>
          <w:lang w:val="en-US"/>
        </w:rPr>
        <w:t>B</w:t>
      </w:r>
      <w:r w:rsidR="00C55B33">
        <w:rPr>
          <w:bCs/>
          <w:lang w:val="en-US"/>
        </w:rPr>
        <w:t xml:space="preserve">) </w:t>
      </w:r>
      <w:r w:rsidRPr="00F8574C">
        <w:rPr>
          <w:bCs/>
          <w:lang w:val="en-US"/>
        </w:rPr>
        <w:t>from the BoHV-1 challenged (n = 12) and the control (n = 6) calves during the BoHV-1 challenge study (means and their standard errors are presented). The day</w:t>
      </w:r>
      <w:r w:rsidR="00914C6C">
        <w:rPr>
          <w:bCs/>
          <w:lang w:val="en-US"/>
        </w:rPr>
        <w:t xml:space="preserve"> on which </w:t>
      </w:r>
      <w:r w:rsidRPr="00F8574C">
        <w:rPr>
          <w:bCs/>
          <w:lang w:val="en-US"/>
        </w:rPr>
        <w:t xml:space="preserve">the challenge </w:t>
      </w:r>
      <w:r w:rsidR="00914C6C">
        <w:rPr>
          <w:bCs/>
          <w:lang w:val="en-US"/>
        </w:rPr>
        <w:t xml:space="preserve">as administered </w:t>
      </w:r>
      <w:proofErr w:type="gramStart"/>
      <w:r w:rsidRPr="00F8574C">
        <w:rPr>
          <w:bCs/>
          <w:lang w:val="en-US"/>
        </w:rPr>
        <w:t>is represented</w:t>
      </w:r>
      <w:proofErr w:type="gramEnd"/>
      <w:r w:rsidRPr="00F8574C">
        <w:rPr>
          <w:bCs/>
          <w:lang w:val="en-US"/>
        </w:rPr>
        <w:t xml:space="preserve"> as day 0.</w:t>
      </w:r>
    </w:p>
    <w:p w14:paraId="68E461EC" w14:textId="07F3FEFA" w:rsidR="007B30E3" w:rsidRDefault="007B30E3">
      <w:pPr>
        <w:rPr>
          <w:b/>
          <w:bCs/>
          <w:lang w:val="en-US"/>
        </w:rPr>
      </w:pPr>
      <w:r>
        <w:rPr>
          <w:b/>
          <w:bCs/>
          <w:lang w:val="en-US"/>
        </w:rPr>
        <w:t>Conclusions</w:t>
      </w:r>
    </w:p>
    <w:p w14:paraId="09682895" w14:textId="038236F9" w:rsidR="00F8574C" w:rsidRDefault="00F8574C" w:rsidP="00F8574C">
      <w:pPr>
        <w:jc w:val="both"/>
        <w:rPr>
          <w:bCs/>
          <w:lang w:val="en-US"/>
        </w:rPr>
      </w:pPr>
      <w:r w:rsidRPr="00F8574C">
        <w:rPr>
          <w:bCs/>
          <w:lang w:val="en-US"/>
        </w:rPr>
        <w:t xml:space="preserve">BoHV-1 induced clinical signs of BRD and </w:t>
      </w:r>
      <w:r w:rsidR="00B55B34">
        <w:rPr>
          <w:bCs/>
          <w:lang w:val="en-US"/>
        </w:rPr>
        <w:t xml:space="preserve">allowed for the characterization of </w:t>
      </w:r>
      <w:r w:rsidRPr="00F8574C">
        <w:rPr>
          <w:bCs/>
          <w:lang w:val="en-US"/>
        </w:rPr>
        <w:t xml:space="preserve">the composition of the bacterial microbiome across upper and lower respiratory tract sites. Furthermore, the use of </w:t>
      </w:r>
      <w:r w:rsidR="00914C6C">
        <w:rPr>
          <w:bCs/>
          <w:lang w:val="en-US"/>
        </w:rPr>
        <w:t xml:space="preserve">replicate </w:t>
      </w:r>
      <w:r w:rsidRPr="00F8574C">
        <w:rPr>
          <w:bCs/>
          <w:lang w:val="en-US"/>
        </w:rPr>
        <w:t xml:space="preserve">nasal swab samples </w:t>
      </w:r>
      <w:r w:rsidR="008A394E">
        <w:rPr>
          <w:bCs/>
          <w:lang w:val="en-US"/>
        </w:rPr>
        <w:t xml:space="preserve">across multiple time-points </w:t>
      </w:r>
      <w:r w:rsidRPr="00F8574C">
        <w:rPr>
          <w:bCs/>
          <w:lang w:val="en-US"/>
        </w:rPr>
        <w:t xml:space="preserve">allowed for the examination </w:t>
      </w:r>
      <w:r w:rsidR="00914C6C">
        <w:rPr>
          <w:bCs/>
          <w:lang w:val="en-US"/>
        </w:rPr>
        <w:t xml:space="preserve">of </w:t>
      </w:r>
      <w:r w:rsidRPr="00F8574C">
        <w:rPr>
          <w:bCs/>
          <w:lang w:val="en-US"/>
        </w:rPr>
        <w:t xml:space="preserve">these </w:t>
      </w:r>
      <w:r w:rsidR="00914C6C">
        <w:rPr>
          <w:bCs/>
          <w:lang w:val="en-US"/>
        </w:rPr>
        <w:t xml:space="preserve">bacterial </w:t>
      </w:r>
      <w:r w:rsidRPr="00F8574C">
        <w:rPr>
          <w:bCs/>
          <w:lang w:val="en-US"/>
        </w:rPr>
        <w:t>populations over the course of an active viral infection.</w:t>
      </w:r>
    </w:p>
    <w:p w14:paraId="613806B5" w14:textId="77777777" w:rsidR="001E553A" w:rsidRDefault="001E553A" w:rsidP="00F8574C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Acknowledgements </w:t>
      </w:r>
    </w:p>
    <w:p w14:paraId="0175AE94" w14:textId="478555C3" w:rsidR="00F8574C" w:rsidRPr="00F8574C" w:rsidRDefault="00F8574C" w:rsidP="00F8574C">
      <w:pPr>
        <w:jc w:val="both"/>
        <w:rPr>
          <w:bCs/>
          <w:lang w:val="en-US"/>
        </w:rPr>
      </w:pPr>
      <w:r w:rsidRPr="00F8574C">
        <w:rPr>
          <w:bCs/>
          <w:lang w:val="en-US"/>
        </w:rPr>
        <w:t xml:space="preserve">This project </w:t>
      </w:r>
      <w:proofErr w:type="gramStart"/>
      <w:r w:rsidRPr="00F8574C">
        <w:rPr>
          <w:bCs/>
          <w:lang w:val="en-US"/>
        </w:rPr>
        <w:t>was funde</w:t>
      </w:r>
      <w:r w:rsidR="001E553A">
        <w:rPr>
          <w:bCs/>
          <w:lang w:val="en-US"/>
        </w:rPr>
        <w:t>d</w:t>
      </w:r>
      <w:proofErr w:type="gramEnd"/>
      <w:r w:rsidR="001E553A">
        <w:rPr>
          <w:bCs/>
          <w:lang w:val="en-US"/>
        </w:rPr>
        <w:t xml:space="preserve"> through the </w:t>
      </w:r>
      <w:r w:rsidRPr="00F8574C">
        <w:rPr>
          <w:bCs/>
          <w:lang w:val="en-US"/>
        </w:rPr>
        <w:t>US-Ireland R&amp;D partnership call (RMIS_0033 Project 16/RD/US-ROI/11)</w:t>
      </w:r>
      <w:r w:rsidR="001E553A">
        <w:rPr>
          <w:bCs/>
          <w:lang w:val="en-US"/>
        </w:rPr>
        <w:t xml:space="preserve"> and (2018US-IRL200), and </w:t>
      </w:r>
      <w:r w:rsidRPr="00F8574C">
        <w:rPr>
          <w:bCs/>
          <w:lang w:val="en-US"/>
        </w:rPr>
        <w:t xml:space="preserve">the </w:t>
      </w:r>
      <w:r w:rsidR="001E553A">
        <w:rPr>
          <w:bCs/>
          <w:lang w:val="en-US"/>
        </w:rPr>
        <w:t xml:space="preserve">EU </w:t>
      </w:r>
      <w:r w:rsidRPr="00F8574C">
        <w:rPr>
          <w:bCs/>
          <w:lang w:val="en-US"/>
        </w:rPr>
        <w:t>Horizons 2020 ‘HoloRuminant’ project (grant agreement number: 101000213). SOD is a Teagasc Walsh Scholarship recipient (WS 2020033).</w:t>
      </w:r>
    </w:p>
    <w:p w14:paraId="5FE373C5" w14:textId="77777777" w:rsidR="001E553A" w:rsidRDefault="001E553A">
      <w:pPr>
        <w:rPr>
          <w:b/>
          <w:bCs/>
          <w:lang w:val="en-US"/>
        </w:rPr>
      </w:pPr>
    </w:p>
    <w:p w14:paraId="0ADB320F" w14:textId="40AA49F1" w:rsidR="007B30E3" w:rsidRDefault="007B30E3">
      <w:pPr>
        <w:rPr>
          <w:b/>
          <w:bCs/>
          <w:lang w:val="en-US"/>
        </w:rPr>
      </w:pPr>
      <w:r>
        <w:rPr>
          <w:b/>
          <w:bCs/>
          <w:lang w:val="en-US"/>
        </w:rPr>
        <w:t>References</w:t>
      </w:r>
    </w:p>
    <w:p w14:paraId="0E5EF1D1" w14:textId="56CB90C9" w:rsidR="00F8574C" w:rsidRPr="00F8574C" w:rsidRDefault="00F8574C" w:rsidP="00F8574C">
      <w:pPr>
        <w:rPr>
          <w:bCs/>
          <w:lang w:val="en-US"/>
        </w:rPr>
      </w:pPr>
      <w:r w:rsidRPr="00F8574C">
        <w:rPr>
          <w:bCs/>
          <w:lang w:val="en-US"/>
        </w:rPr>
        <w:t xml:space="preserve">Centeno-Martinez, R.E., Glidden, N., Mohan, S., Davidson, J.L., </w:t>
      </w:r>
      <w:proofErr w:type="spellStart"/>
      <w:r w:rsidRPr="00F8574C">
        <w:rPr>
          <w:bCs/>
          <w:lang w:val="en-US"/>
        </w:rPr>
        <w:t>Fernández-Juricic</w:t>
      </w:r>
      <w:proofErr w:type="spellEnd"/>
      <w:r w:rsidRPr="00F8574C">
        <w:rPr>
          <w:bCs/>
          <w:lang w:val="en-US"/>
        </w:rPr>
        <w:t xml:space="preserve">, E., </w:t>
      </w:r>
      <w:proofErr w:type="spellStart"/>
      <w:r w:rsidRPr="00F8574C">
        <w:rPr>
          <w:bCs/>
          <w:lang w:val="en-US"/>
        </w:rPr>
        <w:t>Boerman</w:t>
      </w:r>
      <w:proofErr w:type="spellEnd"/>
      <w:r w:rsidRPr="00F8574C">
        <w:rPr>
          <w:bCs/>
          <w:lang w:val="en-US"/>
        </w:rPr>
        <w:t xml:space="preserve">, J.P., </w:t>
      </w:r>
      <w:proofErr w:type="spellStart"/>
      <w:r w:rsidRPr="00F8574C">
        <w:rPr>
          <w:bCs/>
          <w:lang w:val="en-US"/>
        </w:rPr>
        <w:t>Schoonmaker</w:t>
      </w:r>
      <w:proofErr w:type="spellEnd"/>
      <w:r w:rsidRPr="00F8574C">
        <w:rPr>
          <w:bCs/>
          <w:lang w:val="en-US"/>
        </w:rPr>
        <w:t xml:space="preserve">, J., Pillai, D., </w:t>
      </w:r>
      <w:proofErr w:type="spellStart"/>
      <w:r w:rsidRPr="00F8574C">
        <w:rPr>
          <w:bCs/>
          <w:lang w:val="en-US"/>
        </w:rPr>
        <w:t>Koziol</w:t>
      </w:r>
      <w:proofErr w:type="spellEnd"/>
      <w:r w:rsidRPr="00F8574C">
        <w:rPr>
          <w:bCs/>
          <w:lang w:val="en-US"/>
        </w:rPr>
        <w:t xml:space="preserve">, J., Ault, A. and </w:t>
      </w:r>
      <w:proofErr w:type="spellStart"/>
      <w:r w:rsidRPr="00F8574C">
        <w:rPr>
          <w:bCs/>
          <w:lang w:val="en-US"/>
        </w:rPr>
        <w:t>Verma</w:t>
      </w:r>
      <w:proofErr w:type="spellEnd"/>
      <w:r w:rsidRPr="00F8574C">
        <w:rPr>
          <w:bCs/>
          <w:lang w:val="en-US"/>
        </w:rPr>
        <w:t>, M.S., 2022. Identification of bovine respiratory disease through the nasal microbiome.</w:t>
      </w:r>
      <w:r w:rsidR="009D7CD7">
        <w:rPr>
          <w:bCs/>
          <w:lang w:val="en-US"/>
        </w:rPr>
        <w:t xml:space="preserve"> Animal microbiome, 4(1), p.15.</w:t>
      </w:r>
    </w:p>
    <w:p w14:paraId="29E99133" w14:textId="285ACA13" w:rsidR="00F8574C" w:rsidRPr="00F8574C" w:rsidRDefault="00F8574C" w:rsidP="00F8574C">
      <w:pPr>
        <w:rPr>
          <w:bCs/>
          <w:lang w:val="en-US"/>
        </w:rPr>
      </w:pPr>
      <w:r w:rsidRPr="00F8574C">
        <w:rPr>
          <w:bCs/>
          <w:lang w:val="en-US"/>
        </w:rPr>
        <w:t xml:space="preserve">Johnston, D., Earley, B., Cormican, P., Murray, G., Kenny, D.A., Waters, S.M., McGee, M., Kelly, A.K. and McCabe, M.S., 2017. Illumina </w:t>
      </w:r>
      <w:proofErr w:type="spellStart"/>
      <w:r w:rsidRPr="00F8574C">
        <w:rPr>
          <w:bCs/>
          <w:lang w:val="en-US"/>
        </w:rPr>
        <w:t>MiSeq</w:t>
      </w:r>
      <w:proofErr w:type="spellEnd"/>
      <w:r w:rsidRPr="00F8574C">
        <w:rPr>
          <w:bCs/>
          <w:lang w:val="en-US"/>
        </w:rPr>
        <w:t xml:space="preserve"> 16S amplicon sequence analysis of bovine respiratory disease associated bacteria in lung and mediastinal lymph node tissue. BMC ve</w:t>
      </w:r>
      <w:r w:rsidR="009D7CD7">
        <w:rPr>
          <w:bCs/>
          <w:lang w:val="en-US"/>
        </w:rPr>
        <w:t>terinary research, 13, pp.1-18.</w:t>
      </w:r>
    </w:p>
    <w:p w14:paraId="22BE2723" w14:textId="56066D23" w:rsidR="00F8574C" w:rsidRPr="00F8574C" w:rsidRDefault="00F8574C" w:rsidP="00F8574C">
      <w:pPr>
        <w:rPr>
          <w:bCs/>
          <w:lang w:val="en-US"/>
        </w:rPr>
      </w:pPr>
      <w:r w:rsidRPr="00F8574C">
        <w:rPr>
          <w:bCs/>
          <w:lang w:val="en-US"/>
        </w:rPr>
        <w:t xml:space="preserve">McDaneld, T.G., Kuehn, L.A. and </w:t>
      </w:r>
      <w:proofErr w:type="spellStart"/>
      <w:r w:rsidRPr="00F8574C">
        <w:rPr>
          <w:bCs/>
          <w:lang w:val="en-US"/>
        </w:rPr>
        <w:t>Keele</w:t>
      </w:r>
      <w:proofErr w:type="spellEnd"/>
      <w:r w:rsidRPr="00F8574C">
        <w:rPr>
          <w:bCs/>
          <w:lang w:val="en-US"/>
        </w:rPr>
        <w:t>, J.W., 2018. Evaluating the microbiome of two sampling locations in the nasal cavity of cattle with bovine respiratory disease complex (BRDC). Journal of animal science, 96(4), pp.1281-1287.</w:t>
      </w:r>
    </w:p>
    <w:sectPr w:rsidR="00F8574C" w:rsidRPr="00F8574C" w:rsidSect="00DD21B5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C046F"/>
    <w:multiLevelType w:val="hybridMultilevel"/>
    <w:tmpl w:val="687E4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0E3"/>
    <w:rsid w:val="000C6F22"/>
    <w:rsid w:val="001516FF"/>
    <w:rsid w:val="001E553A"/>
    <w:rsid w:val="00383DCD"/>
    <w:rsid w:val="00397193"/>
    <w:rsid w:val="005D206F"/>
    <w:rsid w:val="00625B14"/>
    <w:rsid w:val="00664BDB"/>
    <w:rsid w:val="007B30E3"/>
    <w:rsid w:val="0081286C"/>
    <w:rsid w:val="008A394E"/>
    <w:rsid w:val="00914C6C"/>
    <w:rsid w:val="00917BBB"/>
    <w:rsid w:val="00933E8C"/>
    <w:rsid w:val="009D7CD7"/>
    <w:rsid w:val="00B52E4E"/>
    <w:rsid w:val="00B55B34"/>
    <w:rsid w:val="00B750B6"/>
    <w:rsid w:val="00C53AE2"/>
    <w:rsid w:val="00C55B33"/>
    <w:rsid w:val="00C95030"/>
    <w:rsid w:val="00CA719A"/>
    <w:rsid w:val="00CC4484"/>
    <w:rsid w:val="00CE2515"/>
    <w:rsid w:val="00DD21B5"/>
    <w:rsid w:val="00E27EE6"/>
    <w:rsid w:val="00EB6ED5"/>
    <w:rsid w:val="00F8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83A22"/>
  <w15:chartTrackingRefBased/>
  <w15:docId w15:val="{071DFB90-475F-4F62-BAC5-508A4A0B2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0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0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0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0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0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0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0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0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0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0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0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0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0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0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0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0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0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0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0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0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0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0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0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0E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5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E" w:eastAsia="en-I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F3A9E8D51AC34D88BEBDC6697AB1BA" ma:contentTypeVersion="15" ma:contentTypeDescription="Create a new document." ma:contentTypeScope="" ma:versionID="3f40f4d58680edde78558b4b40054ade">
  <xsd:schema xmlns:xsd="http://www.w3.org/2001/XMLSchema" xmlns:xs="http://www.w3.org/2001/XMLSchema" xmlns:p="http://schemas.microsoft.com/office/2006/metadata/properties" xmlns:ns2="563d7928-de39-40eb-aaef-3504eb7eef23" xmlns:ns3="a6522d93-ccde-437d-a793-b289ee708a2f" targetNamespace="http://schemas.microsoft.com/office/2006/metadata/properties" ma:root="true" ma:fieldsID="1bcd67b4f1738204f3ee03097d2407d4" ns2:_="" ns3:_="">
    <xsd:import namespace="563d7928-de39-40eb-aaef-3504eb7eef23"/>
    <xsd:import namespace="a6522d93-ccde-437d-a793-b289ee708a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d7928-de39-40eb-aaef-3504eb7eef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090d37-0cf0-4191-99ae-e11c03e71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22d93-ccde-437d-a793-b289ee708a2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58787e5-1a83-4099-8018-dcd51ec2f4c3}" ma:internalName="TaxCatchAll" ma:showField="CatchAllData" ma:web="a6522d93-ccde-437d-a793-b289ee708a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3d7928-de39-40eb-aaef-3504eb7eef23">
      <Terms xmlns="http://schemas.microsoft.com/office/infopath/2007/PartnerControls"/>
    </lcf76f155ced4ddcb4097134ff3c332f>
    <TaxCatchAll xmlns="a6522d93-ccde-437d-a793-b289ee708a2f" xsi:nil="true"/>
  </documentManagement>
</p:properties>
</file>

<file path=customXml/itemProps1.xml><?xml version="1.0" encoding="utf-8"?>
<ds:datastoreItem xmlns:ds="http://schemas.openxmlformats.org/officeDocument/2006/customXml" ds:itemID="{8CC27604-FE8B-4FDB-9D44-B06F4B2D5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3d7928-de39-40eb-aaef-3504eb7eef23"/>
    <ds:schemaRef ds:uri="a6522d93-ccde-437d-a793-b289ee708a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3D4927-B381-4278-8881-89C86CBE03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1E998D-96EF-4A0A-B53A-07C2AB504375}">
  <ds:schemaRefs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a6522d93-ccde-437d-a793-b289ee708a2f"/>
    <ds:schemaRef ds:uri="563d7928-de39-40eb-aaef-3504eb7eef23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Neil</dc:creator>
  <cp:keywords/>
  <dc:description/>
  <cp:lastModifiedBy>Stephanie ODonoghue (Walsh Scholar)</cp:lastModifiedBy>
  <cp:revision>10</cp:revision>
  <dcterms:created xsi:type="dcterms:W3CDTF">2024-11-25T08:54:00Z</dcterms:created>
  <dcterms:modified xsi:type="dcterms:W3CDTF">2024-11-25T16:17:00Z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0x01010050F3A9E8D51AC34D88BEBDC6697AB1BA</vt:lpwstr>
  </property>
</Properties>
</file>