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493D5" w14:textId="584855AA" w:rsidR="001F4F22" w:rsidRDefault="00BF1A3F" w:rsidP="00064EA8">
      <w:pPr>
        <w:jc w:val="both"/>
        <w:rPr>
          <w:b/>
          <w:sz w:val="20"/>
          <w:szCs w:val="20"/>
        </w:rPr>
      </w:pPr>
      <w:r w:rsidRPr="000506B4">
        <w:rPr>
          <w:b/>
          <w:sz w:val="20"/>
          <w:szCs w:val="20"/>
        </w:rPr>
        <w:t>Application</w:t>
      </w:r>
    </w:p>
    <w:p w14:paraId="5C77E9F7" w14:textId="5D95D9E2" w:rsidR="009B1F43" w:rsidRDefault="009B1F43" w:rsidP="00064EA8">
      <w:pPr>
        <w:jc w:val="both"/>
        <w:rPr>
          <w:sz w:val="20"/>
          <w:szCs w:val="22"/>
        </w:rPr>
      </w:pPr>
      <w:r w:rsidRPr="009B1F43">
        <w:rPr>
          <w:sz w:val="20"/>
          <w:szCs w:val="22"/>
        </w:rPr>
        <w:t xml:space="preserve">Test procedures and cut-off values have a major impact on the interpretation of failure of passive transfer (FPT) of immunity and </w:t>
      </w:r>
      <w:r w:rsidR="00D20224">
        <w:rPr>
          <w:sz w:val="20"/>
          <w:szCs w:val="22"/>
        </w:rPr>
        <w:t>its</w:t>
      </w:r>
      <w:r w:rsidR="000A6F93">
        <w:rPr>
          <w:sz w:val="20"/>
          <w:szCs w:val="22"/>
        </w:rPr>
        <w:t xml:space="preserve"> </w:t>
      </w:r>
      <w:r w:rsidRPr="009B1F43">
        <w:rPr>
          <w:sz w:val="20"/>
          <w:szCs w:val="22"/>
        </w:rPr>
        <w:t xml:space="preserve">associated factors in suckler beef and dairy beef calves. </w:t>
      </w:r>
    </w:p>
    <w:p w14:paraId="3D1AB9E6" w14:textId="77777777" w:rsidR="000A2EF0" w:rsidRDefault="000A2EF0" w:rsidP="00160ECC">
      <w:pPr>
        <w:jc w:val="both"/>
        <w:rPr>
          <w:b/>
          <w:sz w:val="20"/>
          <w:szCs w:val="20"/>
        </w:rPr>
      </w:pPr>
    </w:p>
    <w:p w14:paraId="217AC146" w14:textId="77777777" w:rsidR="001F4F22" w:rsidRDefault="00BF1A3F" w:rsidP="00160ECC">
      <w:pPr>
        <w:jc w:val="both"/>
        <w:rPr>
          <w:b/>
          <w:sz w:val="20"/>
          <w:szCs w:val="20"/>
        </w:rPr>
      </w:pPr>
      <w:r w:rsidRPr="000506B4">
        <w:rPr>
          <w:b/>
          <w:sz w:val="20"/>
          <w:szCs w:val="20"/>
        </w:rPr>
        <w:t>Introduction</w:t>
      </w:r>
    </w:p>
    <w:p w14:paraId="5E4109CB" w14:textId="547F0C40" w:rsidR="00BF1A3F" w:rsidRPr="000506B4" w:rsidRDefault="006F4001" w:rsidP="00160ECC">
      <w:pPr>
        <w:jc w:val="both"/>
        <w:rPr>
          <w:sz w:val="20"/>
          <w:szCs w:val="20"/>
        </w:rPr>
      </w:pPr>
      <w:r>
        <w:rPr>
          <w:sz w:val="20"/>
          <w:szCs w:val="20"/>
        </w:rPr>
        <w:t xml:space="preserve">Calves with FPT have an increased risk </w:t>
      </w:r>
      <w:r w:rsidR="000927D9" w:rsidRPr="00D4391D">
        <w:rPr>
          <w:sz w:val="20"/>
          <w:szCs w:val="20"/>
        </w:rPr>
        <w:t>of</w:t>
      </w:r>
      <w:r w:rsidR="000927D9">
        <w:rPr>
          <w:sz w:val="20"/>
          <w:szCs w:val="20"/>
        </w:rPr>
        <w:t xml:space="preserve"> </w:t>
      </w:r>
      <w:r w:rsidR="000F18E7" w:rsidRPr="00D4391D">
        <w:rPr>
          <w:sz w:val="20"/>
          <w:szCs w:val="20"/>
        </w:rPr>
        <w:t xml:space="preserve">respiratory </w:t>
      </w:r>
      <w:r w:rsidR="000F18E7">
        <w:rPr>
          <w:sz w:val="20"/>
          <w:szCs w:val="20"/>
        </w:rPr>
        <w:t xml:space="preserve">disease, </w:t>
      </w:r>
      <w:r w:rsidR="000F18E7" w:rsidRPr="00D4391D">
        <w:rPr>
          <w:sz w:val="20"/>
          <w:szCs w:val="20"/>
        </w:rPr>
        <w:t xml:space="preserve">diarrhoea, </w:t>
      </w:r>
      <w:r w:rsidR="000F18E7">
        <w:rPr>
          <w:sz w:val="20"/>
          <w:szCs w:val="20"/>
        </w:rPr>
        <w:t xml:space="preserve">poor growth performance, </w:t>
      </w:r>
      <w:r w:rsidR="000F18E7" w:rsidRPr="00D4391D">
        <w:rPr>
          <w:sz w:val="20"/>
          <w:szCs w:val="20"/>
        </w:rPr>
        <w:t>and death</w:t>
      </w:r>
      <w:r w:rsidR="000F18E7">
        <w:rPr>
          <w:sz w:val="20"/>
          <w:szCs w:val="20"/>
        </w:rPr>
        <w:t xml:space="preserve">. </w:t>
      </w:r>
      <w:r w:rsidR="004D0FAB">
        <w:rPr>
          <w:sz w:val="20"/>
          <w:szCs w:val="20"/>
        </w:rPr>
        <w:t>St</w:t>
      </w:r>
      <w:r w:rsidR="00BF1A3F" w:rsidRPr="000506B4">
        <w:rPr>
          <w:sz w:val="20"/>
          <w:szCs w:val="20"/>
        </w:rPr>
        <w:t>ud</w:t>
      </w:r>
      <w:r w:rsidR="000927D9">
        <w:rPr>
          <w:sz w:val="20"/>
          <w:szCs w:val="20"/>
        </w:rPr>
        <w:t xml:space="preserve">ies </w:t>
      </w:r>
      <w:r w:rsidR="00BF1A3F" w:rsidRPr="000506B4">
        <w:rPr>
          <w:sz w:val="20"/>
          <w:szCs w:val="20"/>
        </w:rPr>
        <w:t>describ</w:t>
      </w:r>
      <w:r w:rsidR="004D0FAB">
        <w:rPr>
          <w:sz w:val="20"/>
          <w:szCs w:val="20"/>
        </w:rPr>
        <w:t xml:space="preserve">ing </w:t>
      </w:r>
      <w:r w:rsidR="00BF1A3F" w:rsidRPr="000506B4">
        <w:rPr>
          <w:sz w:val="20"/>
          <w:szCs w:val="20"/>
        </w:rPr>
        <w:t>the factors associated with passive immunity and FPT in Irish suckler beef and dairy calves</w:t>
      </w:r>
      <w:r w:rsidR="004D0FAB">
        <w:rPr>
          <w:sz w:val="20"/>
          <w:szCs w:val="20"/>
        </w:rPr>
        <w:t xml:space="preserve"> are limited</w:t>
      </w:r>
      <w:r w:rsidR="00BF1A3F" w:rsidRPr="000506B4">
        <w:rPr>
          <w:sz w:val="20"/>
          <w:szCs w:val="20"/>
        </w:rPr>
        <w:t>. Th</w:t>
      </w:r>
      <w:r w:rsidR="000927D9">
        <w:rPr>
          <w:sz w:val="20"/>
          <w:szCs w:val="20"/>
        </w:rPr>
        <w:t xml:space="preserve">e study objective was </w:t>
      </w:r>
      <w:r w:rsidR="00B32783">
        <w:rPr>
          <w:sz w:val="20"/>
          <w:szCs w:val="20"/>
        </w:rPr>
        <w:t xml:space="preserve">to </w:t>
      </w:r>
      <w:r w:rsidR="00184EE5">
        <w:rPr>
          <w:sz w:val="20"/>
          <w:szCs w:val="20"/>
        </w:rPr>
        <w:t>assess</w:t>
      </w:r>
      <w:r w:rsidR="005A1E60">
        <w:rPr>
          <w:sz w:val="20"/>
          <w:szCs w:val="20"/>
        </w:rPr>
        <w:t xml:space="preserve"> </w:t>
      </w:r>
      <w:r w:rsidR="00BF1A3F" w:rsidRPr="000506B4">
        <w:rPr>
          <w:sz w:val="20"/>
          <w:szCs w:val="20"/>
        </w:rPr>
        <w:t>dam and calf characteristic</w:t>
      </w:r>
      <w:r w:rsidR="000927D9">
        <w:rPr>
          <w:sz w:val="20"/>
          <w:szCs w:val="20"/>
        </w:rPr>
        <w:t>s</w:t>
      </w:r>
      <w:r w:rsidR="00ED2842">
        <w:rPr>
          <w:sz w:val="20"/>
          <w:szCs w:val="20"/>
        </w:rPr>
        <w:t xml:space="preserve">, </w:t>
      </w:r>
      <w:r w:rsidR="00663411">
        <w:rPr>
          <w:sz w:val="20"/>
          <w:szCs w:val="20"/>
        </w:rPr>
        <w:t xml:space="preserve">and </w:t>
      </w:r>
      <w:r w:rsidR="00ED2842">
        <w:rPr>
          <w:sz w:val="20"/>
          <w:szCs w:val="20"/>
        </w:rPr>
        <w:t xml:space="preserve">herd-level and </w:t>
      </w:r>
      <w:r w:rsidR="00BF1A3F" w:rsidRPr="000506B4">
        <w:rPr>
          <w:sz w:val="20"/>
          <w:szCs w:val="20"/>
        </w:rPr>
        <w:t>calf-level management practices associated</w:t>
      </w:r>
      <w:r w:rsidR="00D27F97">
        <w:rPr>
          <w:sz w:val="20"/>
          <w:szCs w:val="20"/>
        </w:rPr>
        <w:t xml:space="preserve"> with passive immunity </w:t>
      </w:r>
      <w:r w:rsidR="00B32783">
        <w:rPr>
          <w:sz w:val="20"/>
          <w:szCs w:val="20"/>
        </w:rPr>
        <w:t xml:space="preserve">and FPT, determined </w:t>
      </w:r>
      <w:r w:rsidR="00AD09EE">
        <w:rPr>
          <w:sz w:val="20"/>
          <w:szCs w:val="20"/>
        </w:rPr>
        <w:t>by</w:t>
      </w:r>
      <w:r w:rsidR="00B32783">
        <w:rPr>
          <w:sz w:val="20"/>
          <w:szCs w:val="20"/>
        </w:rPr>
        <w:t xml:space="preserve"> different </w:t>
      </w:r>
      <w:r w:rsidR="00ED2842">
        <w:rPr>
          <w:sz w:val="20"/>
          <w:szCs w:val="20"/>
        </w:rPr>
        <w:t xml:space="preserve">blood </w:t>
      </w:r>
      <w:r w:rsidR="00AD09EE">
        <w:rPr>
          <w:sz w:val="20"/>
          <w:szCs w:val="20"/>
        </w:rPr>
        <w:t xml:space="preserve">tests and </w:t>
      </w:r>
      <w:r w:rsidR="00B32783">
        <w:rPr>
          <w:sz w:val="20"/>
          <w:szCs w:val="20"/>
        </w:rPr>
        <w:t xml:space="preserve">cut-offs, </w:t>
      </w:r>
      <w:r w:rsidR="00BF1A3F" w:rsidRPr="000506B4">
        <w:rPr>
          <w:sz w:val="20"/>
          <w:szCs w:val="20"/>
        </w:rPr>
        <w:t xml:space="preserve">in </w:t>
      </w:r>
      <w:r w:rsidR="00ED2842">
        <w:rPr>
          <w:sz w:val="20"/>
          <w:szCs w:val="20"/>
        </w:rPr>
        <w:t xml:space="preserve">Irish </w:t>
      </w:r>
      <w:r w:rsidR="00BF1A3F" w:rsidRPr="000506B4">
        <w:rPr>
          <w:sz w:val="20"/>
          <w:szCs w:val="20"/>
        </w:rPr>
        <w:t>spring-born suckler beef and dairy calves.</w:t>
      </w:r>
    </w:p>
    <w:p w14:paraId="002189FD" w14:textId="77777777" w:rsidR="00BF1A3F" w:rsidRPr="000506B4" w:rsidRDefault="00BF1A3F" w:rsidP="00BF1A3F">
      <w:pPr>
        <w:rPr>
          <w:sz w:val="20"/>
          <w:szCs w:val="20"/>
        </w:rPr>
      </w:pPr>
    </w:p>
    <w:p w14:paraId="3CD71A1C" w14:textId="77777777" w:rsidR="001F4F22" w:rsidRDefault="00BF1A3F" w:rsidP="003A3E93">
      <w:pPr>
        <w:jc w:val="both"/>
        <w:rPr>
          <w:b/>
          <w:sz w:val="20"/>
          <w:szCs w:val="20"/>
        </w:rPr>
      </w:pPr>
      <w:r w:rsidRPr="000506B4">
        <w:rPr>
          <w:b/>
          <w:sz w:val="20"/>
          <w:szCs w:val="20"/>
        </w:rPr>
        <w:t>Material and methods</w:t>
      </w:r>
    </w:p>
    <w:p w14:paraId="3259AD4C" w14:textId="542F7CE4" w:rsidR="00BF1A3F" w:rsidRDefault="00F86704" w:rsidP="003A3E93">
      <w:pPr>
        <w:jc w:val="both"/>
        <w:rPr>
          <w:sz w:val="20"/>
          <w:szCs w:val="20"/>
        </w:rPr>
      </w:pPr>
      <w:r>
        <w:rPr>
          <w:sz w:val="20"/>
          <w:szCs w:val="20"/>
        </w:rPr>
        <w:t xml:space="preserve">Data </w:t>
      </w:r>
      <w:r w:rsidR="003507E6">
        <w:rPr>
          <w:sz w:val="20"/>
          <w:szCs w:val="20"/>
        </w:rPr>
        <w:t xml:space="preserve">obtained </w:t>
      </w:r>
      <w:r w:rsidR="00B9754B">
        <w:rPr>
          <w:sz w:val="20"/>
          <w:szCs w:val="20"/>
        </w:rPr>
        <w:t xml:space="preserve">(face-to-face questionnaire) </w:t>
      </w:r>
      <w:r w:rsidR="003507E6">
        <w:rPr>
          <w:sz w:val="20"/>
          <w:szCs w:val="20"/>
        </w:rPr>
        <w:t xml:space="preserve">from </w:t>
      </w:r>
      <w:r w:rsidR="003507E6" w:rsidRPr="000506B4">
        <w:rPr>
          <w:sz w:val="20"/>
          <w:szCs w:val="20"/>
        </w:rPr>
        <w:t xml:space="preserve">herd-level </w:t>
      </w:r>
      <w:r w:rsidR="002B0932">
        <w:rPr>
          <w:sz w:val="20"/>
          <w:szCs w:val="20"/>
        </w:rPr>
        <w:t>(</w:t>
      </w:r>
      <w:r w:rsidR="00AD4579">
        <w:rPr>
          <w:sz w:val="20"/>
          <w:szCs w:val="20"/>
        </w:rPr>
        <w:t>66 suckler beef farms [</w:t>
      </w:r>
      <w:r w:rsidR="002B0932">
        <w:rPr>
          <w:sz w:val="20"/>
          <w:szCs w:val="20"/>
        </w:rPr>
        <w:t xml:space="preserve">391 </w:t>
      </w:r>
      <w:r w:rsidR="00AD4579">
        <w:rPr>
          <w:sz w:val="20"/>
          <w:szCs w:val="20"/>
        </w:rPr>
        <w:t>calves]</w:t>
      </w:r>
      <w:r w:rsidR="002B0932">
        <w:rPr>
          <w:sz w:val="20"/>
          <w:szCs w:val="20"/>
        </w:rPr>
        <w:t xml:space="preserve">, </w:t>
      </w:r>
      <w:r w:rsidR="00AD4579">
        <w:rPr>
          <w:sz w:val="20"/>
          <w:szCs w:val="20"/>
        </w:rPr>
        <w:t>77 dairy farms [</w:t>
      </w:r>
      <w:r w:rsidR="002B0932">
        <w:rPr>
          <w:sz w:val="20"/>
          <w:szCs w:val="20"/>
        </w:rPr>
        <w:t xml:space="preserve">674 calves]), </w:t>
      </w:r>
      <w:r w:rsidR="003507E6" w:rsidRPr="000506B4">
        <w:rPr>
          <w:sz w:val="20"/>
          <w:szCs w:val="20"/>
        </w:rPr>
        <w:t xml:space="preserve">and calf-level </w:t>
      </w:r>
      <w:r w:rsidR="002B0932">
        <w:rPr>
          <w:sz w:val="20"/>
          <w:szCs w:val="20"/>
        </w:rPr>
        <w:t>(</w:t>
      </w:r>
      <w:r w:rsidR="00AD4579">
        <w:rPr>
          <w:sz w:val="20"/>
          <w:szCs w:val="20"/>
        </w:rPr>
        <w:t>9 suckler beef farms [</w:t>
      </w:r>
      <w:r w:rsidR="002B0932">
        <w:rPr>
          <w:sz w:val="20"/>
          <w:szCs w:val="20"/>
        </w:rPr>
        <w:t xml:space="preserve">377 </w:t>
      </w:r>
      <w:r w:rsidR="00AD4579">
        <w:rPr>
          <w:sz w:val="20"/>
          <w:szCs w:val="20"/>
        </w:rPr>
        <w:t>calves], 8 dairy farms</w:t>
      </w:r>
      <w:r w:rsidR="002B0932">
        <w:rPr>
          <w:sz w:val="20"/>
          <w:szCs w:val="20"/>
        </w:rPr>
        <w:t xml:space="preserve"> </w:t>
      </w:r>
      <w:r w:rsidR="00AD4579">
        <w:rPr>
          <w:sz w:val="20"/>
          <w:szCs w:val="20"/>
        </w:rPr>
        <w:t>[</w:t>
      </w:r>
      <w:r w:rsidR="002B0932">
        <w:rPr>
          <w:sz w:val="20"/>
          <w:szCs w:val="20"/>
        </w:rPr>
        <w:t>916 calves</w:t>
      </w:r>
      <w:r w:rsidR="00AD4579">
        <w:rPr>
          <w:sz w:val="20"/>
          <w:szCs w:val="20"/>
        </w:rPr>
        <w:t>])</w:t>
      </w:r>
      <w:r w:rsidR="002B0932">
        <w:rPr>
          <w:sz w:val="20"/>
          <w:szCs w:val="20"/>
        </w:rPr>
        <w:t xml:space="preserve"> </w:t>
      </w:r>
      <w:r w:rsidR="00ED2842" w:rsidRPr="000506B4">
        <w:rPr>
          <w:sz w:val="20"/>
          <w:szCs w:val="20"/>
        </w:rPr>
        <w:t xml:space="preserve">studies </w:t>
      </w:r>
      <w:r w:rsidR="003507E6" w:rsidRPr="000506B4">
        <w:rPr>
          <w:sz w:val="20"/>
          <w:szCs w:val="20"/>
        </w:rPr>
        <w:t>conducted in spring 2015 and 2016, respectively</w:t>
      </w:r>
      <w:r w:rsidR="00B9754B">
        <w:rPr>
          <w:sz w:val="20"/>
          <w:szCs w:val="20"/>
        </w:rPr>
        <w:t>, were used</w:t>
      </w:r>
      <w:r w:rsidR="003507E6" w:rsidRPr="000506B4">
        <w:rPr>
          <w:sz w:val="20"/>
          <w:szCs w:val="20"/>
        </w:rPr>
        <w:t xml:space="preserve"> </w:t>
      </w:r>
      <w:r w:rsidR="003507E6" w:rsidRPr="000506B4">
        <w:rPr>
          <w:sz w:val="20"/>
          <w:szCs w:val="20"/>
        </w:rPr>
        <w:fldChar w:fldCharType="begin" w:fldLock="1"/>
      </w:r>
      <w:r w:rsidR="003507E6" w:rsidRPr="000506B4">
        <w:rPr>
          <w:sz w:val="20"/>
          <w:szCs w:val="20"/>
        </w:rPr>
        <w:instrText>ADDIN CSL_CITATION {"citationItems":[{"id":"ITEM-1","itemData":{"DOI":"10.1016/j.prevetmed.2018.07.014","ISSN":"01675877","PMID":"30314781","abstract":"The study objectives were to: 1) evaluate the diagnostic performance of passive immunity tests for classification of failure of passive transfer (FPT) risk, based on their relationships with calf health and performance, and 2) describe the epidemiology of morbidity and mortality in suckler beef and dairy calves under Irish conditions. A total of 1392 suckler beef calves (n = 111 farms) and 2090 dairy calves (84 farms) were included in this observational study. Blood samples were collected by jugular venipuncture. Serum samples were analysed for total IgG concentration using an ELISA assay, total protein concentration by clinical analyser (TP – CA), globulin concentration, zinc sulphate turbidity (ZST) units, total solids percentage by Brix refractometer (TS – BRIX), and total protein concentration by digital refractometer (TP – DR). Crude and cause-specific morbidity, all-cause mortality, and standardised 205-day body weight (BW) were determined. Generalised linear mixed models were used to evaluate associations between suckler beef and dairy calves for morbidity, mortality, growth and passive immunity. Receiver operating characteristic (ROC) curves were constructed to determine optimal test cut-offs for classification of health and growth outcomes. Overall, 20% of suckler beef and 30% of dairy calves were treated for at least one disease event by 6 mo. of age. Suckler beef calves had greater odds of bovine respiratory disease (BRD; odds ratio (OR), 95% confidence interval (CI): 2.8, 1.2–6.5, P = 0.01), navel infection (5.1, 1.9–13.2, P &lt; 0.001), and joint infection/lameness (3.2, 1.3–7.8, P = 0.01) during the first 6 mo. of life than dairy calves. In addition, from birth to 6 mo. of age, suckler beef calves had greater rates of navel infection (incidence rate ratio (IRR), 95% CI: 3.3, 1.3–8.4, P = 0.01), but decreased rates of diarrhoea (0.9, 0.2–0.9, P = 0.03) compared to dairy calves. Optimal test cut-offs for classification of morbidity and mortality outcomes in suckler beef calves ranged from 8 to 9 mg/ml ELISA, 56 to 61 g/l TP – CA, 26 to 40 g/l globulin, 12 to 18 ZST units, 8.4% TS – BRIX, and 5.3 to 6.3 g/dl TP – DR. Optimal test cut-offs for classification of morbidity and growth outcomes in dairy calves ranged from 10 to 12 mg/ml ELISA, 57 to 60 g/l TP – CA, 29 to 34 g/l globulin, 19 ZST units, 7.8 to 8.4% TS – BRIX, and 5.7 to 5.9 g/dl TP – DR.","author":[{"dropping-particle":"","family":"Todd","given":"C G","non-dropping-particle":"","parse-names":false,"suffix":""},{"dropping-particle":"","family":"McGee","given":"M.","non-dropping-particle":"","parse-names":false,"suffix":""},{"dropping-particle":"","family":"Tiernan","given":"K","non-dropping-particle":"","parse-names":false,"suffix":""},{"dropping-particle":"","family":"Crosson","given":"P","non-dropping-particle":"","parse-names":false,"suffix":""},{"dropping-particle":"","family":"O'Riordan","given":"E.","non-dropping-particle":"","parse-names":false,"suffix":""},{"dropping-particle":"","family":"McClure","given":"J.","non-dropping-particle":"","parse-names":false,"suffix":""},{"dropping-particle":"","family":"Lorenz","given":"I","non-dropping-particle":"","parse-names":false,"suffix":""},{"dropping-particle":"","family":"Earley","given":"B.","non-dropping-particle":"","parse-names":false,"suffix":""}],"container-title":"Preventive Veterinary Medicine","id":"ITEM-1","issue":"July","issued":{"date-parts":[["2018"]]},"page":"182-195","publisher":"Elsevier","title":"An observational study on passive immunity in Irish suckler beef and dairy calves: Tests for failure of passive transfer of immunity and associations with health and performance","type":"article-journal","volume":"159"},"uris":["http://www.mendeley.com/documents/?uuid=c31fc8ec-d5c3-419f-9012-bbb2e18c6834"]}],"mendeley":{"formattedCitation":"(Todd et al., 2018)","plainTextFormattedCitation":"(Todd et al., 2018)","previouslyFormattedCitation":"(Todd et al., 2018)"},"properties":{"noteIndex":0},"schema":"https://github.com/citation-style-language/schema/raw/master/csl-citation.json"}</w:instrText>
      </w:r>
      <w:r w:rsidR="003507E6" w:rsidRPr="000506B4">
        <w:rPr>
          <w:sz w:val="20"/>
          <w:szCs w:val="20"/>
        </w:rPr>
        <w:fldChar w:fldCharType="separate"/>
      </w:r>
      <w:r w:rsidR="003507E6" w:rsidRPr="000506B4">
        <w:rPr>
          <w:noProof/>
          <w:sz w:val="20"/>
          <w:szCs w:val="20"/>
        </w:rPr>
        <w:t>(Todd et al., 2018)</w:t>
      </w:r>
      <w:r w:rsidR="003507E6" w:rsidRPr="000506B4">
        <w:rPr>
          <w:sz w:val="20"/>
          <w:szCs w:val="20"/>
        </w:rPr>
        <w:fldChar w:fldCharType="end"/>
      </w:r>
      <w:r w:rsidR="003507E6">
        <w:rPr>
          <w:sz w:val="20"/>
          <w:szCs w:val="20"/>
        </w:rPr>
        <w:t xml:space="preserve">. </w:t>
      </w:r>
      <w:r w:rsidR="00B9754B">
        <w:rPr>
          <w:sz w:val="20"/>
          <w:szCs w:val="20"/>
        </w:rPr>
        <w:t>T</w:t>
      </w:r>
      <w:r w:rsidR="00BF1A3F" w:rsidRPr="000506B4">
        <w:rPr>
          <w:sz w:val="20"/>
          <w:szCs w:val="20"/>
        </w:rPr>
        <w:t>otal IgG (</w:t>
      </w:r>
      <w:r w:rsidR="00FB19CF">
        <w:rPr>
          <w:sz w:val="20"/>
          <w:szCs w:val="20"/>
        </w:rPr>
        <w:t xml:space="preserve">ELISA, </w:t>
      </w:r>
      <w:r w:rsidR="00BF1A3F" w:rsidRPr="000506B4">
        <w:rPr>
          <w:sz w:val="20"/>
          <w:szCs w:val="20"/>
        </w:rPr>
        <w:t xml:space="preserve">ELISA-IgG), total protein </w:t>
      </w:r>
      <w:r w:rsidR="00ED2842">
        <w:rPr>
          <w:sz w:val="20"/>
          <w:szCs w:val="20"/>
        </w:rPr>
        <w:t>(</w:t>
      </w:r>
      <w:r w:rsidR="00BF1A3F" w:rsidRPr="000506B4">
        <w:rPr>
          <w:sz w:val="20"/>
          <w:szCs w:val="20"/>
        </w:rPr>
        <w:t>clinical analyser</w:t>
      </w:r>
      <w:r w:rsidR="00ED2842">
        <w:rPr>
          <w:sz w:val="20"/>
          <w:szCs w:val="20"/>
        </w:rPr>
        <w:t xml:space="preserve">, </w:t>
      </w:r>
      <w:r w:rsidR="00BF1A3F" w:rsidRPr="000506B4">
        <w:rPr>
          <w:sz w:val="20"/>
          <w:szCs w:val="20"/>
        </w:rPr>
        <w:t>TP-CA)</w:t>
      </w:r>
      <w:r w:rsidR="00ED2842">
        <w:rPr>
          <w:sz w:val="20"/>
          <w:szCs w:val="20"/>
        </w:rPr>
        <w:t xml:space="preserve"> and</w:t>
      </w:r>
      <w:r w:rsidR="00BF1A3F" w:rsidRPr="000506B4">
        <w:rPr>
          <w:sz w:val="20"/>
          <w:szCs w:val="20"/>
        </w:rPr>
        <w:t xml:space="preserve"> total solids </w:t>
      </w:r>
      <w:r w:rsidR="00ED2842">
        <w:rPr>
          <w:sz w:val="20"/>
          <w:szCs w:val="20"/>
        </w:rPr>
        <w:t>(</w:t>
      </w:r>
      <w:r w:rsidR="00BF1A3F" w:rsidRPr="000506B4">
        <w:rPr>
          <w:sz w:val="20"/>
          <w:szCs w:val="20"/>
        </w:rPr>
        <w:t>B</w:t>
      </w:r>
      <w:r w:rsidR="00CB16C4" w:rsidRPr="000506B4">
        <w:rPr>
          <w:sz w:val="20"/>
          <w:szCs w:val="20"/>
        </w:rPr>
        <w:t>RIX</w:t>
      </w:r>
      <w:r w:rsidR="00BF1A3F" w:rsidRPr="000506B4">
        <w:rPr>
          <w:sz w:val="20"/>
          <w:szCs w:val="20"/>
        </w:rPr>
        <w:t xml:space="preserve"> refractometer</w:t>
      </w:r>
      <w:r w:rsidR="00ED2842">
        <w:rPr>
          <w:sz w:val="20"/>
          <w:szCs w:val="20"/>
        </w:rPr>
        <w:t>,</w:t>
      </w:r>
      <w:r w:rsidR="00BF1A3F" w:rsidRPr="000506B4">
        <w:rPr>
          <w:sz w:val="20"/>
          <w:szCs w:val="20"/>
        </w:rPr>
        <w:t xml:space="preserve"> TS-BRIX)</w:t>
      </w:r>
      <w:r w:rsidR="00B9754B">
        <w:rPr>
          <w:sz w:val="20"/>
          <w:szCs w:val="20"/>
        </w:rPr>
        <w:t xml:space="preserve"> were determined in calf serum collected within </w:t>
      </w:r>
      <w:r w:rsidR="000F18E7">
        <w:rPr>
          <w:sz w:val="20"/>
          <w:szCs w:val="20"/>
        </w:rPr>
        <w:t>1 to 14</w:t>
      </w:r>
      <w:r w:rsidR="00B9754B">
        <w:rPr>
          <w:sz w:val="20"/>
          <w:szCs w:val="20"/>
        </w:rPr>
        <w:t xml:space="preserve"> days post-birth</w:t>
      </w:r>
      <w:r w:rsidR="00BF1A3F" w:rsidRPr="000506B4">
        <w:rPr>
          <w:sz w:val="20"/>
          <w:szCs w:val="20"/>
        </w:rPr>
        <w:t>. Calf FPT status</w:t>
      </w:r>
      <w:r w:rsidR="0055199E">
        <w:rPr>
          <w:sz w:val="20"/>
          <w:szCs w:val="20"/>
        </w:rPr>
        <w:t xml:space="preserve"> (yes/no)</w:t>
      </w:r>
      <w:r w:rsidR="00BF1A3F" w:rsidRPr="000506B4">
        <w:rPr>
          <w:sz w:val="20"/>
          <w:szCs w:val="20"/>
        </w:rPr>
        <w:t xml:space="preserve"> w</w:t>
      </w:r>
      <w:r w:rsidR="007354B8">
        <w:rPr>
          <w:sz w:val="20"/>
          <w:szCs w:val="20"/>
        </w:rPr>
        <w:t xml:space="preserve">as </w:t>
      </w:r>
      <w:r w:rsidR="006D2B4E">
        <w:rPr>
          <w:sz w:val="20"/>
          <w:szCs w:val="20"/>
        </w:rPr>
        <w:t xml:space="preserve">defined using </w:t>
      </w:r>
      <w:r w:rsidR="00BF1A3F" w:rsidRPr="000506B4">
        <w:rPr>
          <w:sz w:val="20"/>
          <w:szCs w:val="20"/>
        </w:rPr>
        <w:t>the cut-offs for classification of morbidity</w:t>
      </w:r>
      <w:r w:rsidR="00E96EF2">
        <w:rPr>
          <w:sz w:val="20"/>
          <w:szCs w:val="20"/>
        </w:rPr>
        <w:t>/</w:t>
      </w:r>
      <w:r w:rsidR="00BF1A3F" w:rsidRPr="000506B4">
        <w:rPr>
          <w:sz w:val="20"/>
          <w:szCs w:val="20"/>
        </w:rPr>
        <w:t>mortality in Irish suckler beef and dairy calves</w:t>
      </w:r>
      <w:r w:rsidR="001227FD">
        <w:rPr>
          <w:sz w:val="20"/>
          <w:szCs w:val="20"/>
        </w:rPr>
        <w:t xml:space="preserve"> </w:t>
      </w:r>
      <w:r w:rsidR="00BF1A3F" w:rsidRPr="000506B4">
        <w:rPr>
          <w:sz w:val="20"/>
          <w:szCs w:val="20"/>
        </w:rPr>
        <w:fldChar w:fldCharType="begin" w:fldLock="1"/>
      </w:r>
      <w:r w:rsidR="001227FD">
        <w:rPr>
          <w:sz w:val="20"/>
          <w:szCs w:val="20"/>
        </w:rPr>
        <w:instrText>ADDIN CSL_CITATION {"citationItems":[{"id":"ITEM-1","itemData":{"DOI":"10.1016/j.prevetmed.2018.07.014","ISSN":"01675877","PMID":"30314781","abstract":"The study objectives were to: 1) evaluate the diagnostic performance of passive immunity tests for classification of failure of passive transfer (FPT) risk, based on their relationships with calf health and performance, and 2) describe the epidemiology of morbidity and mortality in suckler beef and dairy calves under Irish conditions. A total of 1392 suckler beef calves (n = 111 farms) and 2090 dairy calves (84 farms) were included in this observational study. Blood samples were collected by jugular venipuncture. Serum samples were analysed for total IgG concentration using an ELISA assay, total protein concentration by clinical analyser (TP – CA), globulin concentration, zinc sulphate turbidity (ZST) units, total solids percentage by Brix refractometer (TS – BRIX), and total protein concentration by digital refractometer (TP – DR). Crude and cause-specific morbidity, all-cause mortality, and standardised 205-day body weight (BW) were determined. Generalised linear mixed models were used to evaluate associations between suckler beef and dairy calves for morbidity, mortality, growth and passive immunity. Receiver operating characteristic (ROC) curves were constructed to determine optimal test cut-offs for classification of health and growth outcomes. Overall, 20% of suckler beef and 30% of dairy calves were treated for at least one disease event by 6 mo. of age. Suckler beef calves had greater odds of bovine respiratory disease (BRD; odds ratio (OR), 95% confidence interval (CI): 2.8, 1.2–6.5, P = 0.01), navel infection (5.1, 1.9–13.2, P &lt; 0.001), and joint infection/lameness (3.2, 1.3–7.8, P = 0.01) during the first 6 mo. of life than dairy calves. In addition, from birth to 6 mo. of age, suckler beef calves had greater rates of navel infection (incidence rate ratio (IRR), 95% CI: 3.3, 1.3–8.4, P = 0.01), but decreased rates of diarrhoea (0.9, 0.2–0.9, P = 0.03) compared to dairy calves. Optimal test cut-offs for classification of morbidity and mortality outcomes in suckler beef calves ranged from 8 to 9 mg/ml ELISA, 56 to 61 g/l TP – CA, 26 to 40 g/l globulin, 12 to 18 ZST units, 8.4% TS – BRIX, and 5.3 to 6.3 g/dl TP – DR. Optimal test cut-offs for classification of morbidity and growth outcomes in dairy calves ranged from 10 to 12 mg/ml ELISA, 57 to 60 g/l TP – CA, 29 to 34 g/l globulin, 19 ZST units, 7.8 to 8.4% TS – BRIX, and 5.7 to 5.9 g/dl TP – DR.","author":[{"dropping-particle":"","family":"Todd","given":"C G","non-dropping-particle":"","parse-names":false,"suffix":""},{"dropping-particle":"","family":"McGee","given":"M.","non-dropping-particle":"","parse-names":false,"suffix":""},{"dropping-particle":"","family":"Tiernan","given":"K","non-dropping-particle":"","parse-names":false,"suffix":""},{"dropping-particle":"","family":"Crosson","given":"P","non-dropping-particle":"","parse-names":false,"suffix":""},{"dropping-particle":"","family":"O'Riordan","given":"E.","non-dropping-particle":"","parse-names":false,"suffix":""},{"dropping-particle":"","family":"McClure","given":"J.","non-dropping-particle":"","parse-names":false,"suffix":""},{"dropping-particle":"","family":"Lorenz","given":"I","non-dropping-particle":"","parse-names":false,"suffix":""},{"dropping-particle":"","family":"Earley","given":"B.","non-dropping-particle":"","parse-names":false,"suffix":""}],"container-title":"Preventive Veterinary Medicine","id":"ITEM-1","issue":"July","issued":{"date-parts":[["2018"]]},"page":"182-195","publisher":"Elsevier","title":"An observational study on passive immunity in Irish suckler beef and dairy calves: Tests for failure of passive transfer of immunity and associations with health and performance","type":"article-journal","volume":"159"},"uris":["http://www.mendeley.com/documents/?uuid=c31fc8ec-d5c3-419f-9012-bbb2e18c6834"]}],"mendeley":{"formattedCitation":"(Todd et al., 2018)","manualFormatting":"(current cut-offs (CC); Todd et al., 2018)","plainTextFormattedCitation":"(Todd et al., 2018)","previouslyFormattedCitation":"(Todd et al., 2018)"},"properties":{"noteIndex":0},"schema":"https://github.com/citation-style-language/schema/raw/master/csl-citation.json"}</w:instrText>
      </w:r>
      <w:r w:rsidR="00BF1A3F" w:rsidRPr="000506B4">
        <w:rPr>
          <w:sz w:val="20"/>
          <w:szCs w:val="20"/>
        </w:rPr>
        <w:fldChar w:fldCharType="separate"/>
      </w:r>
      <w:r w:rsidR="00BF1A3F" w:rsidRPr="000506B4">
        <w:rPr>
          <w:noProof/>
          <w:sz w:val="20"/>
          <w:szCs w:val="20"/>
        </w:rPr>
        <w:t>(</w:t>
      </w:r>
      <w:r w:rsidR="001227FD">
        <w:rPr>
          <w:noProof/>
          <w:sz w:val="20"/>
          <w:szCs w:val="20"/>
        </w:rPr>
        <w:t xml:space="preserve">current cut-offs (CC); </w:t>
      </w:r>
      <w:r w:rsidR="00BF1A3F" w:rsidRPr="000506B4">
        <w:rPr>
          <w:noProof/>
          <w:sz w:val="20"/>
          <w:szCs w:val="20"/>
        </w:rPr>
        <w:t>Todd et al., 2018)</w:t>
      </w:r>
      <w:r w:rsidR="00BF1A3F" w:rsidRPr="000506B4">
        <w:rPr>
          <w:sz w:val="20"/>
          <w:szCs w:val="20"/>
        </w:rPr>
        <w:fldChar w:fldCharType="end"/>
      </w:r>
      <w:r w:rsidR="002B0932">
        <w:rPr>
          <w:sz w:val="20"/>
          <w:szCs w:val="20"/>
        </w:rPr>
        <w:t xml:space="preserve">, and </w:t>
      </w:r>
      <w:r w:rsidR="005A1E60">
        <w:rPr>
          <w:sz w:val="20"/>
          <w:szCs w:val="20"/>
        </w:rPr>
        <w:t xml:space="preserve">published </w:t>
      </w:r>
      <w:r w:rsidR="002B0932">
        <w:rPr>
          <w:sz w:val="20"/>
          <w:szCs w:val="20"/>
        </w:rPr>
        <w:t>literature cut-offs</w:t>
      </w:r>
      <w:r w:rsidR="005A1E60">
        <w:rPr>
          <w:sz w:val="20"/>
          <w:szCs w:val="20"/>
        </w:rPr>
        <w:t xml:space="preserve"> (LC)</w:t>
      </w:r>
      <w:r w:rsidR="00BF1A3F" w:rsidRPr="000506B4">
        <w:rPr>
          <w:sz w:val="20"/>
          <w:szCs w:val="20"/>
        </w:rPr>
        <w:t xml:space="preserve">. The </w:t>
      </w:r>
      <w:r w:rsidR="001227FD">
        <w:rPr>
          <w:sz w:val="20"/>
          <w:szCs w:val="20"/>
        </w:rPr>
        <w:t>CC</w:t>
      </w:r>
      <w:r w:rsidR="00BF1A3F" w:rsidRPr="000506B4">
        <w:rPr>
          <w:sz w:val="20"/>
          <w:szCs w:val="20"/>
        </w:rPr>
        <w:t xml:space="preserve"> for ELISA-IgG</w:t>
      </w:r>
      <w:r w:rsidR="00E96EF2">
        <w:rPr>
          <w:sz w:val="20"/>
          <w:szCs w:val="20"/>
        </w:rPr>
        <w:t xml:space="preserve"> was </w:t>
      </w:r>
      <w:r w:rsidR="00E96EF2" w:rsidRPr="000506B4">
        <w:rPr>
          <w:sz w:val="20"/>
          <w:szCs w:val="20"/>
        </w:rPr>
        <w:t xml:space="preserve">≤ 9 </w:t>
      </w:r>
      <w:r w:rsidR="00E96EF2">
        <w:rPr>
          <w:sz w:val="20"/>
          <w:szCs w:val="20"/>
        </w:rPr>
        <w:t xml:space="preserve">and </w:t>
      </w:r>
      <w:r w:rsidR="00E96EF2" w:rsidRPr="000506B4">
        <w:rPr>
          <w:sz w:val="20"/>
          <w:szCs w:val="20"/>
        </w:rPr>
        <w:t xml:space="preserve">≤ </w:t>
      </w:r>
      <w:r w:rsidR="00E96EF2">
        <w:rPr>
          <w:sz w:val="20"/>
          <w:szCs w:val="20"/>
        </w:rPr>
        <w:t xml:space="preserve">12 </w:t>
      </w:r>
      <w:r w:rsidR="00E96EF2" w:rsidRPr="000506B4">
        <w:rPr>
          <w:sz w:val="20"/>
          <w:szCs w:val="20"/>
        </w:rPr>
        <w:t>mg/mL</w:t>
      </w:r>
      <w:r w:rsidR="00BF1A3F" w:rsidRPr="000506B4">
        <w:rPr>
          <w:sz w:val="20"/>
          <w:szCs w:val="20"/>
        </w:rPr>
        <w:t>,</w:t>
      </w:r>
      <w:r w:rsidR="00E96EF2">
        <w:rPr>
          <w:sz w:val="20"/>
          <w:szCs w:val="20"/>
        </w:rPr>
        <w:t xml:space="preserve"> for suckler and dairy calves, respectively, and the </w:t>
      </w:r>
      <w:r w:rsidR="00EF4C9B">
        <w:rPr>
          <w:sz w:val="20"/>
          <w:szCs w:val="20"/>
        </w:rPr>
        <w:t>TP-CA</w:t>
      </w:r>
      <w:r w:rsidR="00BF1A3F" w:rsidRPr="000506B4">
        <w:rPr>
          <w:sz w:val="20"/>
          <w:szCs w:val="20"/>
        </w:rPr>
        <w:t xml:space="preserve"> and TS-BRIX</w:t>
      </w:r>
      <w:r w:rsidR="00E96EF2">
        <w:rPr>
          <w:sz w:val="20"/>
          <w:szCs w:val="20"/>
        </w:rPr>
        <w:t xml:space="preserve"> </w:t>
      </w:r>
      <w:r w:rsidR="00D37857">
        <w:rPr>
          <w:sz w:val="20"/>
          <w:szCs w:val="20"/>
        </w:rPr>
        <w:t>were</w:t>
      </w:r>
      <w:r w:rsidR="00BF1A3F" w:rsidRPr="000506B4">
        <w:rPr>
          <w:sz w:val="20"/>
          <w:szCs w:val="20"/>
        </w:rPr>
        <w:t xml:space="preserve"> ≤ 60 g/L, and ≤ 8.4%, respectively, </w:t>
      </w:r>
      <w:r w:rsidR="006D2B4E">
        <w:rPr>
          <w:sz w:val="20"/>
          <w:szCs w:val="20"/>
        </w:rPr>
        <w:t xml:space="preserve">for </w:t>
      </w:r>
      <w:r w:rsidR="00D37857">
        <w:rPr>
          <w:sz w:val="20"/>
          <w:szCs w:val="20"/>
        </w:rPr>
        <w:t xml:space="preserve">both </w:t>
      </w:r>
      <w:r w:rsidR="00BF1A3F" w:rsidRPr="000506B4">
        <w:rPr>
          <w:sz w:val="20"/>
          <w:szCs w:val="20"/>
        </w:rPr>
        <w:t xml:space="preserve">suckler </w:t>
      </w:r>
      <w:r w:rsidR="00D37857">
        <w:rPr>
          <w:sz w:val="20"/>
          <w:szCs w:val="20"/>
        </w:rPr>
        <w:t xml:space="preserve">and dairy </w:t>
      </w:r>
      <w:r w:rsidR="00BF1A3F" w:rsidRPr="000506B4">
        <w:rPr>
          <w:sz w:val="20"/>
          <w:szCs w:val="20"/>
        </w:rPr>
        <w:t>calves</w:t>
      </w:r>
      <w:r w:rsidR="00BF1A3F" w:rsidRPr="002B0932">
        <w:rPr>
          <w:sz w:val="20"/>
          <w:szCs w:val="20"/>
        </w:rPr>
        <w:t xml:space="preserve">. </w:t>
      </w:r>
      <w:r w:rsidR="002B0932">
        <w:rPr>
          <w:sz w:val="20"/>
          <w:szCs w:val="20"/>
        </w:rPr>
        <w:t xml:space="preserve">The </w:t>
      </w:r>
      <w:r w:rsidR="005A1E60">
        <w:rPr>
          <w:sz w:val="20"/>
          <w:szCs w:val="20"/>
        </w:rPr>
        <w:t>LC</w:t>
      </w:r>
      <w:r w:rsidR="002B0932">
        <w:rPr>
          <w:sz w:val="20"/>
          <w:szCs w:val="20"/>
        </w:rPr>
        <w:t xml:space="preserve"> </w:t>
      </w:r>
      <w:r w:rsidR="00BF1A3F" w:rsidRPr="002B0932">
        <w:rPr>
          <w:sz w:val="20"/>
          <w:szCs w:val="20"/>
        </w:rPr>
        <w:t>were identical for suckler and dairy calves</w:t>
      </w:r>
      <w:r w:rsidR="00C86F5D" w:rsidRPr="002B0932">
        <w:rPr>
          <w:sz w:val="20"/>
          <w:szCs w:val="20"/>
        </w:rPr>
        <w:t xml:space="preserve"> (</w:t>
      </w:r>
      <w:r w:rsidR="00BF1A3F" w:rsidRPr="002B0932">
        <w:rPr>
          <w:sz w:val="20"/>
          <w:szCs w:val="20"/>
        </w:rPr>
        <w:t>ELISA-IgG &lt; 10 mg/mL</w:t>
      </w:r>
      <w:r w:rsidR="00C86F5D" w:rsidRPr="002B0932">
        <w:rPr>
          <w:sz w:val="20"/>
          <w:szCs w:val="20"/>
        </w:rPr>
        <w:t>;</w:t>
      </w:r>
      <w:r w:rsidR="00BF1A3F" w:rsidRPr="002B0932">
        <w:rPr>
          <w:sz w:val="20"/>
          <w:szCs w:val="20"/>
        </w:rPr>
        <w:t xml:space="preserve"> TP-CA &lt; 52 g/L</w:t>
      </w:r>
      <w:r w:rsidR="00C86F5D" w:rsidRPr="002B0932">
        <w:rPr>
          <w:sz w:val="20"/>
          <w:szCs w:val="20"/>
        </w:rPr>
        <w:t xml:space="preserve">; </w:t>
      </w:r>
      <w:r w:rsidR="00BF1A3F" w:rsidRPr="002B0932">
        <w:rPr>
          <w:sz w:val="20"/>
          <w:szCs w:val="20"/>
        </w:rPr>
        <w:t>TS-BRIX &lt; 8.4%</w:t>
      </w:r>
      <w:r w:rsidR="00C86F5D" w:rsidRPr="002B0932">
        <w:rPr>
          <w:sz w:val="20"/>
          <w:szCs w:val="20"/>
        </w:rPr>
        <w:t>)</w:t>
      </w:r>
      <w:r w:rsidR="00BF1A3F" w:rsidRPr="002B0932">
        <w:rPr>
          <w:sz w:val="20"/>
          <w:szCs w:val="20"/>
        </w:rPr>
        <w:t>.</w:t>
      </w:r>
      <w:r w:rsidR="00280203" w:rsidRPr="002B0932">
        <w:rPr>
          <w:sz w:val="20"/>
          <w:szCs w:val="20"/>
        </w:rPr>
        <w:t xml:space="preserve"> Pearson correlation</w:t>
      </w:r>
      <w:r w:rsidR="00D37857">
        <w:rPr>
          <w:sz w:val="20"/>
          <w:szCs w:val="20"/>
        </w:rPr>
        <w:t>s</w:t>
      </w:r>
      <w:r w:rsidR="002B0932" w:rsidRPr="002B0932">
        <w:rPr>
          <w:sz w:val="20"/>
          <w:szCs w:val="20"/>
        </w:rPr>
        <w:t xml:space="preserve"> </w:t>
      </w:r>
      <w:r w:rsidR="00BF1A3F" w:rsidRPr="002B0932">
        <w:rPr>
          <w:sz w:val="20"/>
          <w:szCs w:val="20"/>
        </w:rPr>
        <w:t xml:space="preserve">between </w:t>
      </w:r>
      <w:r w:rsidR="002B0932">
        <w:rPr>
          <w:sz w:val="20"/>
          <w:szCs w:val="20"/>
        </w:rPr>
        <w:t>the three tests</w:t>
      </w:r>
      <w:r w:rsidR="00D37857">
        <w:rPr>
          <w:sz w:val="20"/>
          <w:szCs w:val="20"/>
        </w:rPr>
        <w:t xml:space="preserve"> were determined</w:t>
      </w:r>
      <w:r w:rsidR="00BF1A3F" w:rsidRPr="002B0932">
        <w:rPr>
          <w:sz w:val="20"/>
          <w:szCs w:val="20"/>
        </w:rPr>
        <w:t xml:space="preserve">. Mixed multivariable linear and logistic regression models with farm as random effect were used to assess the dam and calf characteristics, </w:t>
      </w:r>
      <w:r w:rsidR="00EF4C9B" w:rsidRPr="002B0932">
        <w:rPr>
          <w:sz w:val="20"/>
          <w:szCs w:val="20"/>
        </w:rPr>
        <w:t xml:space="preserve">herd-level </w:t>
      </w:r>
      <w:r w:rsidR="00EF4C9B">
        <w:rPr>
          <w:sz w:val="20"/>
          <w:szCs w:val="20"/>
        </w:rPr>
        <w:t xml:space="preserve">and calf-level </w:t>
      </w:r>
      <w:r w:rsidR="00BF1A3F" w:rsidRPr="002B0932">
        <w:rPr>
          <w:sz w:val="20"/>
          <w:szCs w:val="20"/>
        </w:rPr>
        <w:t xml:space="preserve">management practices associated </w:t>
      </w:r>
      <w:r w:rsidR="00CF7D86">
        <w:rPr>
          <w:sz w:val="20"/>
          <w:szCs w:val="20"/>
        </w:rPr>
        <w:t>(</w:t>
      </w:r>
      <w:r w:rsidR="00CF7D86" w:rsidRPr="00D42FA7">
        <w:rPr>
          <w:i/>
          <w:sz w:val="20"/>
          <w:szCs w:val="20"/>
        </w:rPr>
        <w:t>P</w:t>
      </w:r>
      <w:r w:rsidR="00CF7D86">
        <w:rPr>
          <w:sz w:val="20"/>
          <w:szCs w:val="20"/>
        </w:rPr>
        <w:t xml:space="preserve">&lt;0.05) </w:t>
      </w:r>
      <w:r w:rsidR="00BF1A3F" w:rsidRPr="002B0932">
        <w:rPr>
          <w:sz w:val="20"/>
          <w:szCs w:val="20"/>
        </w:rPr>
        <w:t xml:space="preserve">with passive immunity and FPT, determined </w:t>
      </w:r>
      <w:r w:rsidR="00CB16C4" w:rsidRPr="002B0932">
        <w:rPr>
          <w:sz w:val="20"/>
          <w:szCs w:val="20"/>
        </w:rPr>
        <w:t>by</w:t>
      </w:r>
      <w:r w:rsidR="000868CB" w:rsidRPr="002B0932">
        <w:rPr>
          <w:sz w:val="20"/>
          <w:szCs w:val="20"/>
        </w:rPr>
        <w:t xml:space="preserve"> </w:t>
      </w:r>
      <w:r w:rsidR="00AD4579">
        <w:rPr>
          <w:sz w:val="20"/>
          <w:szCs w:val="20"/>
        </w:rPr>
        <w:t>different blood tests and cut-offs.</w:t>
      </w:r>
    </w:p>
    <w:p w14:paraId="3833E580" w14:textId="77777777" w:rsidR="004473F7" w:rsidRDefault="004473F7" w:rsidP="004473F7">
      <w:pPr>
        <w:jc w:val="both"/>
        <w:rPr>
          <w:b/>
          <w:sz w:val="20"/>
          <w:szCs w:val="20"/>
        </w:rPr>
      </w:pPr>
    </w:p>
    <w:p w14:paraId="37FBE00F" w14:textId="77777777" w:rsidR="001F4F22" w:rsidRDefault="00BF1A3F" w:rsidP="00773F33">
      <w:pPr>
        <w:jc w:val="both"/>
        <w:rPr>
          <w:b/>
          <w:sz w:val="20"/>
          <w:szCs w:val="20"/>
        </w:rPr>
      </w:pPr>
      <w:r w:rsidRPr="00BB757E">
        <w:rPr>
          <w:b/>
          <w:sz w:val="20"/>
          <w:szCs w:val="20"/>
        </w:rPr>
        <w:t>Results</w:t>
      </w:r>
    </w:p>
    <w:p w14:paraId="59B28CC0" w14:textId="0248A558" w:rsidR="00773F33" w:rsidRDefault="004473F7" w:rsidP="00773F33">
      <w:pPr>
        <w:jc w:val="both"/>
        <w:rPr>
          <w:sz w:val="20"/>
          <w:szCs w:val="20"/>
        </w:rPr>
      </w:pPr>
      <w:r w:rsidRPr="004473F7">
        <w:rPr>
          <w:sz w:val="20"/>
          <w:szCs w:val="20"/>
        </w:rPr>
        <w:t xml:space="preserve">There were positive </w:t>
      </w:r>
      <w:r>
        <w:rPr>
          <w:sz w:val="20"/>
          <w:szCs w:val="20"/>
        </w:rPr>
        <w:t>c</w:t>
      </w:r>
      <w:r w:rsidRPr="004473F7">
        <w:rPr>
          <w:sz w:val="20"/>
          <w:szCs w:val="20"/>
        </w:rPr>
        <w:t>orrelation</w:t>
      </w:r>
      <w:r w:rsidR="008B7234">
        <w:rPr>
          <w:sz w:val="20"/>
          <w:szCs w:val="20"/>
        </w:rPr>
        <w:t>s</w:t>
      </w:r>
      <w:r w:rsidRPr="004473F7">
        <w:rPr>
          <w:sz w:val="20"/>
          <w:szCs w:val="20"/>
        </w:rPr>
        <w:t xml:space="preserve"> </w:t>
      </w:r>
      <w:r w:rsidR="001C5273">
        <w:rPr>
          <w:sz w:val="20"/>
          <w:szCs w:val="20"/>
        </w:rPr>
        <w:t>between</w:t>
      </w:r>
      <w:r w:rsidRPr="004473F7">
        <w:rPr>
          <w:sz w:val="20"/>
          <w:szCs w:val="20"/>
        </w:rPr>
        <w:t xml:space="preserve"> </w:t>
      </w:r>
      <w:r w:rsidR="00BC4E04">
        <w:rPr>
          <w:sz w:val="20"/>
          <w:szCs w:val="20"/>
        </w:rPr>
        <w:t xml:space="preserve">the different </w:t>
      </w:r>
      <w:r w:rsidRPr="004473F7">
        <w:rPr>
          <w:sz w:val="20"/>
          <w:szCs w:val="20"/>
        </w:rPr>
        <w:t>serum</w:t>
      </w:r>
      <w:r w:rsidR="00942260">
        <w:rPr>
          <w:sz w:val="20"/>
          <w:szCs w:val="20"/>
        </w:rPr>
        <w:t xml:space="preserve"> passive immune measures</w:t>
      </w:r>
      <w:r w:rsidR="008B7234">
        <w:rPr>
          <w:sz w:val="20"/>
          <w:szCs w:val="20"/>
        </w:rPr>
        <w:t xml:space="preserve"> (</w:t>
      </w:r>
      <w:r w:rsidR="008B7234" w:rsidRPr="00C045DA">
        <w:rPr>
          <w:i/>
          <w:sz w:val="20"/>
          <w:szCs w:val="20"/>
        </w:rPr>
        <w:t>P</w:t>
      </w:r>
      <w:r w:rsidR="008B7234">
        <w:rPr>
          <w:sz w:val="20"/>
          <w:szCs w:val="20"/>
        </w:rPr>
        <w:t xml:space="preserve">&lt;0.05) </w:t>
      </w:r>
      <w:r w:rsidR="00942260">
        <w:rPr>
          <w:sz w:val="20"/>
          <w:szCs w:val="20"/>
        </w:rPr>
        <w:t xml:space="preserve">in </w:t>
      </w:r>
      <w:r w:rsidR="00BC4E04">
        <w:rPr>
          <w:sz w:val="20"/>
          <w:szCs w:val="20"/>
        </w:rPr>
        <w:t xml:space="preserve">the </w:t>
      </w:r>
      <w:r w:rsidR="00942260">
        <w:rPr>
          <w:sz w:val="20"/>
          <w:szCs w:val="20"/>
        </w:rPr>
        <w:t xml:space="preserve">herd level </w:t>
      </w:r>
      <w:r w:rsidR="00BC4E04">
        <w:rPr>
          <w:sz w:val="20"/>
          <w:szCs w:val="20"/>
        </w:rPr>
        <w:t xml:space="preserve">and </w:t>
      </w:r>
      <w:r w:rsidR="00C045DA">
        <w:rPr>
          <w:sz w:val="20"/>
          <w:szCs w:val="20"/>
        </w:rPr>
        <w:t xml:space="preserve">calf-level studies (suckler beef: ELISA-IgG </w:t>
      </w:r>
      <w:r w:rsidR="00851088" w:rsidRPr="00851088">
        <w:rPr>
          <w:i/>
          <w:sz w:val="20"/>
          <w:szCs w:val="20"/>
        </w:rPr>
        <w:t>vs.</w:t>
      </w:r>
      <w:r w:rsidR="00C045DA">
        <w:rPr>
          <w:sz w:val="20"/>
          <w:szCs w:val="20"/>
        </w:rPr>
        <w:t xml:space="preserve"> TP CA, </w:t>
      </w:r>
      <w:r w:rsidR="00C045DA" w:rsidRPr="00C045DA">
        <w:rPr>
          <w:i/>
          <w:sz w:val="20"/>
          <w:szCs w:val="20"/>
        </w:rPr>
        <w:t xml:space="preserve">r </w:t>
      </w:r>
      <w:r w:rsidR="00C045DA">
        <w:rPr>
          <w:sz w:val="20"/>
          <w:szCs w:val="20"/>
        </w:rPr>
        <w:t xml:space="preserve">= 0.75 – 0.86; ELISA-IgG </w:t>
      </w:r>
      <w:r w:rsidR="00851088" w:rsidRPr="00851088">
        <w:rPr>
          <w:i/>
          <w:sz w:val="20"/>
          <w:szCs w:val="20"/>
        </w:rPr>
        <w:t>vs.</w:t>
      </w:r>
      <w:r w:rsidR="00C045DA">
        <w:rPr>
          <w:sz w:val="20"/>
          <w:szCs w:val="20"/>
        </w:rPr>
        <w:t xml:space="preserve"> TS-BRIX, </w:t>
      </w:r>
      <w:r w:rsidR="00C045DA" w:rsidRPr="00C045DA">
        <w:rPr>
          <w:i/>
          <w:sz w:val="20"/>
          <w:szCs w:val="20"/>
        </w:rPr>
        <w:t>r</w:t>
      </w:r>
      <w:r w:rsidR="00C045DA">
        <w:rPr>
          <w:sz w:val="20"/>
          <w:szCs w:val="20"/>
        </w:rPr>
        <w:t xml:space="preserve"> = 0.72 – 0.80; TP-CA </w:t>
      </w:r>
      <w:r w:rsidR="00851088" w:rsidRPr="00851088">
        <w:rPr>
          <w:i/>
          <w:sz w:val="20"/>
          <w:szCs w:val="20"/>
        </w:rPr>
        <w:t>vs.</w:t>
      </w:r>
      <w:r w:rsidR="00C045DA">
        <w:rPr>
          <w:sz w:val="20"/>
          <w:szCs w:val="20"/>
        </w:rPr>
        <w:t xml:space="preserve"> TS-BRIX, </w:t>
      </w:r>
      <w:r w:rsidR="00C045DA" w:rsidRPr="00C045DA">
        <w:rPr>
          <w:i/>
          <w:sz w:val="20"/>
          <w:szCs w:val="20"/>
        </w:rPr>
        <w:t>r</w:t>
      </w:r>
      <w:r w:rsidR="00C045DA">
        <w:rPr>
          <w:sz w:val="20"/>
          <w:szCs w:val="20"/>
        </w:rPr>
        <w:t xml:space="preserve"> = 0.91 – 0.95; dairy: ELISA-IgG </w:t>
      </w:r>
      <w:r w:rsidR="00851088" w:rsidRPr="00851088">
        <w:rPr>
          <w:i/>
          <w:sz w:val="20"/>
          <w:szCs w:val="20"/>
        </w:rPr>
        <w:t>vs.</w:t>
      </w:r>
      <w:r w:rsidR="00C045DA">
        <w:rPr>
          <w:sz w:val="20"/>
          <w:szCs w:val="20"/>
        </w:rPr>
        <w:t xml:space="preserve"> TP CA, </w:t>
      </w:r>
      <w:r w:rsidR="00C045DA" w:rsidRPr="00C045DA">
        <w:rPr>
          <w:i/>
          <w:sz w:val="20"/>
          <w:szCs w:val="20"/>
        </w:rPr>
        <w:t>r</w:t>
      </w:r>
      <w:r w:rsidR="00C045DA">
        <w:rPr>
          <w:sz w:val="20"/>
          <w:szCs w:val="20"/>
        </w:rPr>
        <w:t xml:space="preserve"> = 0.79 – 0.85; ELISA-IgG </w:t>
      </w:r>
      <w:r w:rsidR="00851088" w:rsidRPr="00851088">
        <w:rPr>
          <w:i/>
          <w:sz w:val="20"/>
          <w:szCs w:val="20"/>
        </w:rPr>
        <w:t>vs.</w:t>
      </w:r>
      <w:r w:rsidR="00C045DA">
        <w:rPr>
          <w:sz w:val="20"/>
          <w:szCs w:val="20"/>
        </w:rPr>
        <w:t xml:space="preserve"> TS-BRIX, </w:t>
      </w:r>
      <w:r w:rsidR="00C045DA" w:rsidRPr="00C045DA">
        <w:rPr>
          <w:i/>
          <w:sz w:val="20"/>
          <w:szCs w:val="20"/>
        </w:rPr>
        <w:t>r</w:t>
      </w:r>
      <w:r w:rsidR="00C045DA">
        <w:rPr>
          <w:sz w:val="20"/>
          <w:szCs w:val="20"/>
        </w:rPr>
        <w:t xml:space="preserve"> = 0.76 – 0.80; TP-CA </w:t>
      </w:r>
      <w:r w:rsidR="00851088" w:rsidRPr="00851088">
        <w:rPr>
          <w:i/>
          <w:sz w:val="20"/>
          <w:szCs w:val="20"/>
        </w:rPr>
        <w:t>vs.</w:t>
      </w:r>
      <w:r w:rsidR="00C045DA">
        <w:rPr>
          <w:sz w:val="20"/>
          <w:szCs w:val="20"/>
        </w:rPr>
        <w:t xml:space="preserve"> TS-BRIX, </w:t>
      </w:r>
      <w:r w:rsidR="00C045DA" w:rsidRPr="00C045DA">
        <w:rPr>
          <w:i/>
          <w:sz w:val="20"/>
          <w:szCs w:val="20"/>
        </w:rPr>
        <w:t>r</w:t>
      </w:r>
      <w:r w:rsidR="00C045DA">
        <w:rPr>
          <w:sz w:val="20"/>
          <w:szCs w:val="20"/>
        </w:rPr>
        <w:t xml:space="preserve"> = 0.92 – 0.95</w:t>
      </w:r>
      <w:r w:rsidR="00773F33">
        <w:rPr>
          <w:sz w:val="20"/>
          <w:szCs w:val="20"/>
        </w:rPr>
        <w:t xml:space="preserve">). </w:t>
      </w:r>
    </w:p>
    <w:p w14:paraId="7CFB954A" w14:textId="0C6CC893" w:rsidR="00827731" w:rsidRDefault="00A201A6" w:rsidP="00D42FA7">
      <w:pPr>
        <w:spacing w:before="120"/>
        <w:jc w:val="both"/>
        <w:rPr>
          <w:i/>
          <w:sz w:val="20"/>
        </w:rPr>
      </w:pPr>
      <w:r w:rsidRPr="00A201A6">
        <w:rPr>
          <w:i/>
          <w:sz w:val="20"/>
        </w:rPr>
        <w:t>Herd-level study:</w:t>
      </w:r>
      <w:r w:rsidR="00F33446">
        <w:rPr>
          <w:i/>
          <w:sz w:val="20"/>
        </w:rPr>
        <w:t xml:space="preserve"> </w:t>
      </w:r>
    </w:p>
    <w:p w14:paraId="6D71D7B2" w14:textId="4233AE86" w:rsidR="006F75F1" w:rsidRDefault="00D12BF8" w:rsidP="00BC4E04">
      <w:pPr>
        <w:jc w:val="both"/>
        <w:rPr>
          <w:sz w:val="20"/>
        </w:rPr>
      </w:pPr>
      <w:r>
        <w:rPr>
          <w:sz w:val="20"/>
        </w:rPr>
        <w:t xml:space="preserve">Suckler beef calves reared on farms </w:t>
      </w:r>
      <w:r w:rsidRPr="00AF220B">
        <w:rPr>
          <w:sz w:val="20"/>
        </w:rPr>
        <w:t xml:space="preserve">that did not </w:t>
      </w:r>
      <w:r>
        <w:rPr>
          <w:sz w:val="20"/>
        </w:rPr>
        <w:t xml:space="preserve">immunise the dams against </w:t>
      </w:r>
      <w:r w:rsidRPr="00AF220B">
        <w:rPr>
          <w:sz w:val="20"/>
        </w:rPr>
        <w:t xml:space="preserve">diarrhoea </w:t>
      </w:r>
      <w:r>
        <w:rPr>
          <w:sz w:val="20"/>
        </w:rPr>
        <w:t>pre-calving</w:t>
      </w:r>
      <w:r w:rsidR="00392114">
        <w:rPr>
          <w:sz w:val="20"/>
        </w:rPr>
        <w:t xml:space="preserve"> (</w:t>
      </w:r>
      <w:r w:rsidR="00851088" w:rsidRPr="00851088">
        <w:rPr>
          <w:i/>
          <w:sz w:val="20"/>
        </w:rPr>
        <w:t>vs.</w:t>
      </w:r>
      <w:r w:rsidR="00392114">
        <w:rPr>
          <w:sz w:val="20"/>
        </w:rPr>
        <w:t xml:space="preserve"> practice</w:t>
      </w:r>
      <w:r w:rsidR="00BC4E04">
        <w:rPr>
          <w:sz w:val="20"/>
        </w:rPr>
        <w:t>d</w:t>
      </w:r>
      <w:r w:rsidR="00392114">
        <w:rPr>
          <w:sz w:val="20"/>
        </w:rPr>
        <w:t xml:space="preserve"> </w:t>
      </w:r>
      <w:r w:rsidR="00DD253F">
        <w:rPr>
          <w:sz w:val="20"/>
        </w:rPr>
        <w:t>vaccination</w:t>
      </w:r>
      <w:r w:rsidR="00392114">
        <w:rPr>
          <w:sz w:val="20"/>
        </w:rPr>
        <w:t>)</w:t>
      </w:r>
      <w:r>
        <w:rPr>
          <w:sz w:val="20"/>
        </w:rPr>
        <w:t xml:space="preserve"> had lower </w:t>
      </w:r>
      <w:r w:rsidR="00663411">
        <w:rPr>
          <w:sz w:val="20"/>
        </w:rPr>
        <w:t>passive immune measures</w:t>
      </w:r>
      <w:r w:rsidR="002C1C49">
        <w:rPr>
          <w:sz w:val="20"/>
        </w:rPr>
        <w:t xml:space="preserve"> </w:t>
      </w:r>
      <w:r w:rsidR="00F55126">
        <w:rPr>
          <w:sz w:val="20"/>
        </w:rPr>
        <w:t>based on</w:t>
      </w:r>
      <w:r w:rsidR="00663411">
        <w:rPr>
          <w:sz w:val="20"/>
        </w:rPr>
        <w:t xml:space="preserve"> </w:t>
      </w:r>
      <w:r w:rsidR="00DA3A27">
        <w:rPr>
          <w:sz w:val="20"/>
        </w:rPr>
        <w:t>ELISA-IgG and TS-BRIX</w:t>
      </w:r>
      <w:r w:rsidR="00F55126">
        <w:rPr>
          <w:sz w:val="20"/>
        </w:rPr>
        <w:t xml:space="preserve"> </w:t>
      </w:r>
      <w:r w:rsidR="002C1C49">
        <w:rPr>
          <w:sz w:val="20"/>
        </w:rPr>
        <w:t xml:space="preserve">but </w:t>
      </w:r>
      <w:r w:rsidR="00392114">
        <w:rPr>
          <w:sz w:val="20"/>
        </w:rPr>
        <w:t xml:space="preserve">were </w:t>
      </w:r>
      <w:r>
        <w:rPr>
          <w:sz w:val="20"/>
        </w:rPr>
        <w:t xml:space="preserve">associated with greater odds of FPT </w:t>
      </w:r>
      <w:r w:rsidR="00BE750D">
        <w:rPr>
          <w:sz w:val="20"/>
        </w:rPr>
        <w:t>using</w:t>
      </w:r>
      <w:r w:rsidR="00834827">
        <w:rPr>
          <w:sz w:val="20"/>
        </w:rPr>
        <w:t xml:space="preserve"> the</w:t>
      </w:r>
      <w:r>
        <w:rPr>
          <w:sz w:val="20"/>
        </w:rPr>
        <w:t xml:space="preserve"> CC </w:t>
      </w:r>
      <w:r w:rsidR="00BE750D">
        <w:rPr>
          <w:sz w:val="20"/>
        </w:rPr>
        <w:t xml:space="preserve">for all tests and </w:t>
      </w:r>
      <w:r w:rsidR="00834827">
        <w:rPr>
          <w:sz w:val="20"/>
        </w:rPr>
        <w:t xml:space="preserve">the </w:t>
      </w:r>
      <w:r w:rsidR="00BE750D">
        <w:rPr>
          <w:sz w:val="20"/>
        </w:rPr>
        <w:t>LC for</w:t>
      </w:r>
      <w:r>
        <w:rPr>
          <w:sz w:val="20"/>
        </w:rPr>
        <w:t xml:space="preserve"> ELISA-IgG</w:t>
      </w:r>
      <w:r w:rsidR="00BC4E04">
        <w:rPr>
          <w:sz w:val="20"/>
        </w:rPr>
        <w:t xml:space="preserve"> (Table 1)</w:t>
      </w:r>
      <w:r>
        <w:rPr>
          <w:sz w:val="20"/>
        </w:rPr>
        <w:t xml:space="preserve">. </w:t>
      </w:r>
      <w:r w:rsidR="00392114">
        <w:rPr>
          <w:sz w:val="20"/>
        </w:rPr>
        <w:t>Dairy calves born to primiparous</w:t>
      </w:r>
      <w:r w:rsidR="00BE750D">
        <w:rPr>
          <w:sz w:val="20"/>
        </w:rPr>
        <w:t xml:space="preserve"> dams (</w:t>
      </w:r>
      <w:r w:rsidR="00851088" w:rsidRPr="00851088">
        <w:rPr>
          <w:i/>
          <w:sz w:val="20"/>
        </w:rPr>
        <w:t>vs.</w:t>
      </w:r>
      <w:r w:rsidR="00BE750D">
        <w:rPr>
          <w:sz w:val="20"/>
        </w:rPr>
        <w:t xml:space="preserve"> multiparous)</w:t>
      </w:r>
      <w:r w:rsidR="00392114">
        <w:rPr>
          <w:sz w:val="20"/>
        </w:rPr>
        <w:t xml:space="preserve"> </w:t>
      </w:r>
      <w:r w:rsidR="00BE750D">
        <w:rPr>
          <w:sz w:val="20"/>
        </w:rPr>
        <w:t xml:space="preserve">had lower </w:t>
      </w:r>
      <w:r w:rsidR="004862A4">
        <w:rPr>
          <w:sz w:val="20"/>
        </w:rPr>
        <w:t xml:space="preserve">serum TP-CA and TS-BRIX concentrations and </w:t>
      </w:r>
      <w:r w:rsidR="002C1C49">
        <w:rPr>
          <w:sz w:val="20"/>
        </w:rPr>
        <w:t>were more likely to have</w:t>
      </w:r>
      <w:r w:rsidR="00DD253F">
        <w:rPr>
          <w:sz w:val="20"/>
        </w:rPr>
        <w:t xml:space="preserve"> </w:t>
      </w:r>
      <w:r w:rsidR="00392114">
        <w:rPr>
          <w:sz w:val="20"/>
        </w:rPr>
        <w:t>FPT</w:t>
      </w:r>
      <w:r w:rsidR="00663411">
        <w:rPr>
          <w:sz w:val="20"/>
        </w:rPr>
        <w:t xml:space="preserve"> </w:t>
      </w:r>
      <w:r w:rsidR="00DD253F">
        <w:rPr>
          <w:sz w:val="20"/>
        </w:rPr>
        <w:t xml:space="preserve">using </w:t>
      </w:r>
      <w:r w:rsidR="002B704F">
        <w:rPr>
          <w:sz w:val="20"/>
        </w:rPr>
        <w:t xml:space="preserve">the </w:t>
      </w:r>
      <w:r w:rsidR="00BE750D">
        <w:rPr>
          <w:sz w:val="20"/>
        </w:rPr>
        <w:t>CC for</w:t>
      </w:r>
      <w:r w:rsidR="00392114">
        <w:rPr>
          <w:sz w:val="20"/>
        </w:rPr>
        <w:t xml:space="preserve"> TP-CA and TS-BRIX</w:t>
      </w:r>
      <w:r w:rsidR="002B704F">
        <w:rPr>
          <w:sz w:val="20"/>
        </w:rPr>
        <w:t xml:space="preserve"> only.</w:t>
      </w:r>
      <w:r w:rsidR="00392114">
        <w:rPr>
          <w:sz w:val="20"/>
        </w:rPr>
        <w:t xml:space="preserve"> </w:t>
      </w:r>
      <w:r w:rsidR="00DD253F">
        <w:rPr>
          <w:sz w:val="20"/>
        </w:rPr>
        <w:t>Male dairy calves</w:t>
      </w:r>
      <w:r w:rsidR="007976CF">
        <w:rPr>
          <w:sz w:val="20"/>
        </w:rPr>
        <w:t xml:space="preserve"> (</w:t>
      </w:r>
      <w:r w:rsidR="00851088" w:rsidRPr="00851088">
        <w:rPr>
          <w:i/>
          <w:sz w:val="20"/>
        </w:rPr>
        <w:t>vs.</w:t>
      </w:r>
      <w:r w:rsidR="007976CF">
        <w:rPr>
          <w:sz w:val="20"/>
        </w:rPr>
        <w:t xml:space="preserve"> female)</w:t>
      </w:r>
      <w:r w:rsidR="00663411">
        <w:rPr>
          <w:sz w:val="20"/>
        </w:rPr>
        <w:t xml:space="preserve"> had lower passive immune measures </w:t>
      </w:r>
      <w:r w:rsidR="00F55126">
        <w:rPr>
          <w:sz w:val="20"/>
        </w:rPr>
        <w:t>based on</w:t>
      </w:r>
      <w:r w:rsidR="004862A4">
        <w:rPr>
          <w:sz w:val="20"/>
        </w:rPr>
        <w:t xml:space="preserve"> TP-CA and had greater odds of FPT </w:t>
      </w:r>
      <w:r w:rsidR="004862A4" w:rsidRPr="00D42FA7">
        <w:rPr>
          <w:sz w:val="20"/>
        </w:rPr>
        <w:t xml:space="preserve">using the CC and LC </w:t>
      </w:r>
      <w:r w:rsidR="00834827" w:rsidRPr="00D42FA7">
        <w:rPr>
          <w:sz w:val="20"/>
        </w:rPr>
        <w:t xml:space="preserve">for </w:t>
      </w:r>
      <w:r w:rsidR="00DA3A27">
        <w:rPr>
          <w:sz w:val="20"/>
        </w:rPr>
        <w:t xml:space="preserve">ELISA-IgG and </w:t>
      </w:r>
      <w:r w:rsidR="004862A4" w:rsidRPr="00D42FA7">
        <w:rPr>
          <w:sz w:val="20"/>
        </w:rPr>
        <w:t>TP-CA</w:t>
      </w:r>
      <w:r w:rsidR="006F4001">
        <w:rPr>
          <w:sz w:val="20"/>
        </w:rPr>
        <w:t xml:space="preserve">, possibly </w:t>
      </w:r>
      <w:r w:rsidR="000115B5">
        <w:rPr>
          <w:sz w:val="20"/>
        </w:rPr>
        <w:t>reflecting</w:t>
      </w:r>
      <w:r w:rsidR="006F4001">
        <w:rPr>
          <w:sz w:val="20"/>
        </w:rPr>
        <w:t xml:space="preserve"> </w:t>
      </w:r>
      <w:r w:rsidR="00D02DE7">
        <w:rPr>
          <w:sz w:val="20"/>
        </w:rPr>
        <w:t>differences</w:t>
      </w:r>
      <w:r w:rsidR="006F4001">
        <w:rPr>
          <w:sz w:val="20"/>
        </w:rPr>
        <w:t xml:space="preserve"> in colostrum management</w:t>
      </w:r>
      <w:r w:rsidR="00D02DE7">
        <w:rPr>
          <w:sz w:val="20"/>
        </w:rPr>
        <w:t xml:space="preserve"> practices.</w:t>
      </w:r>
      <w:r w:rsidR="004862A4" w:rsidRPr="00D42FA7">
        <w:rPr>
          <w:sz w:val="20"/>
        </w:rPr>
        <w:t xml:space="preserve"> </w:t>
      </w:r>
      <w:r w:rsidR="00834827" w:rsidRPr="00D42FA7">
        <w:rPr>
          <w:sz w:val="20"/>
        </w:rPr>
        <w:t>L</w:t>
      </w:r>
      <w:r w:rsidR="004862A4" w:rsidRPr="00D42FA7">
        <w:rPr>
          <w:sz w:val="20"/>
        </w:rPr>
        <w:t>ength of dry period had no effect on passive immun</w:t>
      </w:r>
      <w:r w:rsidR="00360DE9">
        <w:rPr>
          <w:sz w:val="20"/>
        </w:rPr>
        <w:t>e</w:t>
      </w:r>
      <w:r w:rsidR="004862A4" w:rsidRPr="00D42FA7">
        <w:rPr>
          <w:sz w:val="20"/>
        </w:rPr>
        <w:t xml:space="preserve"> measures </w:t>
      </w:r>
      <w:r w:rsidR="00016FD9" w:rsidRPr="00D42FA7">
        <w:rPr>
          <w:sz w:val="20"/>
        </w:rPr>
        <w:t>in suckler beef and dairy calves (</w:t>
      </w:r>
      <w:r w:rsidR="00016FD9" w:rsidRPr="00D42FA7">
        <w:rPr>
          <w:i/>
          <w:sz w:val="20"/>
        </w:rPr>
        <w:t>P</w:t>
      </w:r>
      <w:r w:rsidR="00D42FA7" w:rsidRPr="00D42FA7">
        <w:rPr>
          <w:sz w:val="20"/>
        </w:rPr>
        <w:t>&gt;</w:t>
      </w:r>
      <w:r w:rsidR="00016FD9">
        <w:rPr>
          <w:sz w:val="20"/>
        </w:rPr>
        <w:t>0.05)</w:t>
      </w:r>
      <w:r w:rsidR="00D42FA7">
        <w:rPr>
          <w:sz w:val="20"/>
        </w:rPr>
        <w:t>; however</w:t>
      </w:r>
      <w:r w:rsidR="00016FD9">
        <w:rPr>
          <w:sz w:val="20"/>
        </w:rPr>
        <w:t xml:space="preserve">, dairy calves born on farms with a dry period </w:t>
      </w:r>
      <w:r w:rsidR="00016FD9" w:rsidRPr="00080141">
        <w:rPr>
          <w:sz w:val="20"/>
        </w:rPr>
        <w:t>≤ 8 weeks (</w:t>
      </w:r>
      <w:r w:rsidR="00851088" w:rsidRPr="00851088">
        <w:rPr>
          <w:i/>
          <w:sz w:val="20"/>
        </w:rPr>
        <w:t>vs.</w:t>
      </w:r>
      <w:r w:rsidR="00016FD9">
        <w:rPr>
          <w:sz w:val="20"/>
        </w:rPr>
        <w:t xml:space="preserve"> &gt; 8 weeks) had an increased </w:t>
      </w:r>
      <w:r w:rsidR="006F75F1">
        <w:rPr>
          <w:sz w:val="20"/>
        </w:rPr>
        <w:t xml:space="preserve">likelihood </w:t>
      </w:r>
      <w:r w:rsidR="00016FD9">
        <w:rPr>
          <w:sz w:val="20"/>
        </w:rPr>
        <w:t>of</w:t>
      </w:r>
      <w:r w:rsidR="006F75F1">
        <w:rPr>
          <w:sz w:val="20"/>
        </w:rPr>
        <w:t xml:space="preserve"> FPT using all cut-offs except </w:t>
      </w:r>
      <w:r w:rsidR="00834827">
        <w:rPr>
          <w:sz w:val="20"/>
        </w:rPr>
        <w:t xml:space="preserve">the </w:t>
      </w:r>
      <w:r w:rsidR="006F75F1" w:rsidRPr="00080141">
        <w:rPr>
          <w:sz w:val="20"/>
        </w:rPr>
        <w:t xml:space="preserve">LC </w:t>
      </w:r>
      <w:r w:rsidR="004862A4">
        <w:rPr>
          <w:sz w:val="20"/>
        </w:rPr>
        <w:t>for</w:t>
      </w:r>
      <w:r w:rsidR="00016FD9">
        <w:rPr>
          <w:sz w:val="20"/>
        </w:rPr>
        <w:t xml:space="preserve"> </w:t>
      </w:r>
      <w:r w:rsidR="006F75F1" w:rsidRPr="00080141">
        <w:rPr>
          <w:sz w:val="20"/>
        </w:rPr>
        <w:t>TS-BRIX</w:t>
      </w:r>
      <w:r w:rsidR="00016FD9">
        <w:rPr>
          <w:sz w:val="20"/>
        </w:rPr>
        <w:t xml:space="preserve">. </w:t>
      </w:r>
    </w:p>
    <w:p w14:paraId="3A082EE3" w14:textId="209E7D2E" w:rsidR="006F75F1" w:rsidRDefault="00A201A6" w:rsidP="00D42FA7">
      <w:pPr>
        <w:spacing w:before="120"/>
        <w:jc w:val="both"/>
        <w:rPr>
          <w:i/>
          <w:sz w:val="20"/>
        </w:rPr>
      </w:pPr>
      <w:r w:rsidRPr="00A201A6">
        <w:rPr>
          <w:i/>
          <w:sz w:val="20"/>
        </w:rPr>
        <w:t>Calf-level study:</w:t>
      </w:r>
      <w:r w:rsidR="00F33446">
        <w:rPr>
          <w:i/>
          <w:sz w:val="20"/>
        </w:rPr>
        <w:t xml:space="preserve"> </w:t>
      </w:r>
    </w:p>
    <w:p w14:paraId="3CA9D216" w14:textId="251E983F" w:rsidR="00BB757E" w:rsidRPr="00EB110B" w:rsidRDefault="00726232" w:rsidP="00594947">
      <w:pPr>
        <w:jc w:val="both"/>
        <w:rPr>
          <w:sz w:val="20"/>
          <w:szCs w:val="20"/>
          <w:lang w:eastAsia="en-IE"/>
        </w:rPr>
      </w:pPr>
      <w:r>
        <w:rPr>
          <w:sz w:val="20"/>
          <w:szCs w:val="20"/>
          <w:lang w:eastAsia="en-IE"/>
        </w:rPr>
        <w:t>Suckler beef calves born during the peak calving season (</w:t>
      </w:r>
      <w:r w:rsidR="00851088" w:rsidRPr="00851088">
        <w:rPr>
          <w:i/>
          <w:sz w:val="20"/>
          <w:szCs w:val="20"/>
          <w:lang w:eastAsia="en-IE"/>
        </w:rPr>
        <w:t>vs.</w:t>
      </w:r>
      <w:r>
        <w:rPr>
          <w:sz w:val="20"/>
          <w:szCs w:val="20"/>
          <w:lang w:eastAsia="en-IE"/>
        </w:rPr>
        <w:t xml:space="preserve"> early) had lower passive immune measures based on ELISA-IgG</w:t>
      </w:r>
      <w:r w:rsidR="00663411">
        <w:rPr>
          <w:sz w:val="20"/>
          <w:szCs w:val="20"/>
          <w:lang w:eastAsia="en-IE"/>
        </w:rPr>
        <w:t xml:space="preserve"> test and greater odds of FPT </w:t>
      </w:r>
      <w:r>
        <w:rPr>
          <w:sz w:val="20"/>
          <w:szCs w:val="20"/>
          <w:lang w:eastAsia="en-IE"/>
        </w:rPr>
        <w:t>using the CC and LC for ELISA-IgG only</w:t>
      </w:r>
      <w:r w:rsidR="00CF7D86">
        <w:rPr>
          <w:sz w:val="20"/>
          <w:szCs w:val="20"/>
          <w:lang w:eastAsia="en-IE"/>
        </w:rPr>
        <w:t xml:space="preserve"> (Table 1)</w:t>
      </w:r>
      <w:r>
        <w:rPr>
          <w:sz w:val="20"/>
          <w:szCs w:val="20"/>
          <w:lang w:eastAsia="en-IE"/>
        </w:rPr>
        <w:t xml:space="preserve">. </w:t>
      </w:r>
      <w:r w:rsidR="00AD7342">
        <w:rPr>
          <w:sz w:val="20"/>
          <w:szCs w:val="20"/>
          <w:lang w:eastAsia="en-IE"/>
        </w:rPr>
        <w:t>Suckler beef calves that consumed colostrum more than 2 h post-birth (</w:t>
      </w:r>
      <w:r w:rsidR="00AD7342" w:rsidRPr="00851088">
        <w:rPr>
          <w:i/>
          <w:sz w:val="20"/>
          <w:szCs w:val="20"/>
          <w:lang w:eastAsia="en-IE"/>
        </w:rPr>
        <w:t>vs.</w:t>
      </w:r>
      <w:r w:rsidR="00AD7342">
        <w:rPr>
          <w:sz w:val="20"/>
          <w:szCs w:val="20"/>
          <w:lang w:eastAsia="en-IE"/>
        </w:rPr>
        <w:t xml:space="preserve"> within 2 h) had lower passive immune measures based on all tests and greater odds of FPT using all cut-offs except the CC for TS-BRIX. </w:t>
      </w:r>
      <w:r w:rsidR="00016FD9">
        <w:rPr>
          <w:sz w:val="20"/>
          <w:szCs w:val="20"/>
          <w:lang w:eastAsia="en-IE"/>
        </w:rPr>
        <w:t>Suckler beef calves with perinatal problems</w:t>
      </w:r>
      <w:r w:rsidR="00663411">
        <w:rPr>
          <w:sz w:val="20"/>
          <w:szCs w:val="20"/>
          <w:lang w:eastAsia="en-IE"/>
        </w:rPr>
        <w:t xml:space="preserve"> (</w:t>
      </w:r>
      <w:r w:rsidR="00851088" w:rsidRPr="00851088">
        <w:rPr>
          <w:i/>
          <w:sz w:val="20"/>
          <w:szCs w:val="20"/>
          <w:lang w:eastAsia="en-IE"/>
        </w:rPr>
        <w:t>vs.</w:t>
      </w:r>
      <w:r w:rsidR="00663411">
        <w:rPr>
          <w:sz w:val="20"/>
          <w:szCs w:val="20"/>
          <w:lang w:eastAsia="en-IE"/>
        </w:rPr>
        <w:t xml:space="preserve"> no perinatal problems)</w:t>
      </w:r>
      <w:r w:rsidR="00016FD9">
        <w:rPr>
          <w:sz w:val="20"/>
          <w:szCs w:val="20"/>
          <w:lang w:eastAsia="en-IE"/>
        </w:rPr>
        <w:t xml:space="preserve"> had lower</w:t>
      </w:r>
      <w:r w:rsidR="002B0932" w:rsidRPr="007354B8">
        <w:rPr>
          <w:sz w:val="20"/>
          <w:szCs w:val="20"/>
          <w:lang w:eastAsia="en-IE"/>
        </w:rPr>
        <w:t xml:space="preserve"> passive </w:t>
      </w:r>
      <w:r w:rsidR="00016FD9">
        <w:rPr>
          <w:sz w:val="20"/>
          <w:szCs w:val="20"/>
          <w:lang w:eastAsia="en-IE"/>
        </w:rPr>
        <w:t>immune</w:t>
      </w:r>
      <w:r w:rsidR="002B0932" w:rsidRPr="007354B8">
        <w:rPr>
          <w:sz w:val="20"/>
          <w:szCs w:val="20"/>
          <w:lang w:eastAsia="en-IE"/>
        </w:rPr>
        <w:t xml:space="preserve"> </w:t>
      </w:r>
      <w:r w:rsidR="00016FD9">
        <w:rPr>
          <w:sz w:val="20"/>
          <w:szCs w:val="20"/>
          <w:lang w:eastAsia="en-IE"/>
        </w:rPr>
        <w:t xml:space="preserve">measures </w:t>
      </w:r>
      <w:r w:rsidR="00F55126">
        <w:rPr>
          <w:sz w:val="20"/>
          <w:szCs w:val="20"/>
          <w:lang w:eastAsia="en-IE"/>
        </w:rPr>
        <w:t>based on</w:t>
      </w:r>
      <w:r w:rsidR="00016FD9">
        <w:rPr>
          <w:sz w:val="20"/>
          <w:szCs w:val="20"/>
          <w:lang w:eastAsia="en-IE"/>
        </w:rPr>
        <w:t xml:space="preserve"> all tests</w:t>
      </w:r>
      <w:r w:rsidR="00663411">
        <w:rPr>
          <w:sz w:val="20"/>
          <w:szCs w:val="20"/>
          <w:lang w:eastAsia="en-IE"/>
        </w:rPr>
        <w:t xml:space="preserve"> </w:t>
      </w:r>
      <w:r w:rsidR="00016FD9">
        <w:rPr>
          <w:sz w:val="20"/>
          <w:szCs w:val="20"/>
          <w:lang w:eastAsia="en-IE"/>
        </w:rPr>
        <w:t xml:space="preserve">and </w:t>
      </w:r>
      <w:r w:rsidR="00F55126">
        <w:rPr>
          <w:sz w:val="20"/>
          <w:szCs w:val="20"/>
          <w:lang w:eastAsia="en-IE"/>
        </w:rPr>
        <w:t xml:space="preserve">were </w:t>
      </w:r>
      <w:r w:rsidR="00016FD9">
        <w:rPr>
          <w:sz w:val="20"/>
          <w:szCs w:val="20"/>
          <w:lang w:eastAsia="en-IE"/>
        </w:rPr>
        <w:t xml:space="preserve">more likely to have FPT using all cut-offs. </w:t>
      </w:r>
      <w:r w:rsidR="00AD7342">
        <w:rPr>
          <w:sz w:val="20"/>
          <w:szCs w:val="20"/>
          <w:lang w:eastAsia="en-IE"/>
        </w:rPr>
        <w:t xml:space="preserve">In dairy calves, perinatal problems were only associated with lower serum TP-CA concentrations. </w:t>
      </w:r>
      <w:r w:rsidR="004152ED">
        <w:rPr>
          <w:sz w:val="20"/>
          <w:szCs w:val="20"/>
          <w:lang w:eastAsia="en-IE"/>
        </w:rPr>
        <w:t>Dairy calves born to primiparous (</w:t>
      </w:r>
      <w:r w:rsidR="00851088" w:rsidRPr="00851088">
        <w:rPr>
          <w:i/>
          <w:sz w:val="20"/>
          <w:szCs w:val="20"/>
          <w:lang w:eastAsia="en-IE"/>
        </w:rPr>
        <w:t>vs.</w:t>
      </w:r>
      <w:r w:rsidR="004152ED">
        <w:rPr>
          <w:sz w:val="20"/>
          <w:szCs w:val="20"/>
          <w:lang w:eastAsia="en-IE"/>
        </w:rPr>
        <w:t xml:space="preserve"> multiparous) had lower passive immune measures </w:t>
      </w:r>
      <w:r w:rsidR="00F55126">
        <w:rPr>
          <w:sz w:val="20"/>
          <w:szCs w:val="20"/>
          <w:lang w:eastAsia="en-IE"/>
        </w:rPr>
        <w:t>based on</w:t>
      </w:r>
      <w:r w:rsidR="004152ED">
        <w:rPr>
          <w:sz w:val="20"/>
          <w:szCs w:val="20"/>
          <w:lang w:eastAsia="en-IE"/>
        </w:rPr>
        <w:t xml:space="preserve"> all tests, and </w:t>
      </w:r>
      <w:r w:rsidR="00172400">
        <w:rPr>
          <w:sz w:val="20"/>
          <w:szCs w:val="20"/>
          <w:lang w:eastAsia="en-IE"/>
        </w:rPr>
        <w:t xml:space="preserve">a </w:t>
      </w:r>
      <w:r w:rsidR="004152ED">
        <w:rPr>
          <w:sz w:val="20"/>
          <w:szCs w:val="20"/>
          <w:lang w:eastAsia="en-IE"/>
        </w:rPr>
        <w:t xml:space="preserve">greater likelihood of FPT </w:t>
      </w:r>
      <w:r w:rsidR="00172400">
        <w:rPr>
          <w:sz w:val="20"/>
          <w:szCs w:val="20"/>
          <w:lang w:eastAsia="en-IE"/>
        </w:rPr>
        <w:t xml:space="preserve">based on </w:t>
      </w:r>
      <w:r w:rsidR="00834827">
        <w:rPr>
          <w:sz w:val="20"/>
          <w:szCs w:val="20"/>
          <w:lang w:eastAsia="en-IE"/>
        </w:rPr>
        <w:t xml:space="preserve">the </w:t>
      </w:r>
      <w:r w:rsidR="004152ED">
        <w:rPr>
          <w:sz w:val="20"/>
          <w:szCs w:val="20"/>
          <w:lang w:eastAsia="en-IE"/>
        </w:rPr>
        <w:t>CC for ELISA-IgG and TP-CA</w:t>
      </w:r>
      <w:r w:rsidR="00172400">
        <w:rPr>
          <w:sz w:val="20"/>
          <w:szCs w:val="20"/>
          <w:lang w:eastAsia="en-IE"/>
        </w:rPr>
        <w:t>,</w:t>
      </w:r>
      <w:r w:rsidR="004152ED">
        <w:rPr>
          <w:sz w:val="20"/>
          <w:szCs w:val="20"/>
          <w:lang w:eastAsia="en-IE"/>
        </w:rPr>
        <w:t xml:space="preserve"> and </w:t>
      </w:r>
      <w:r w:rsidR="00834827">
        <w:rPr>
          <w:sz w:val="20"/>
          <w:szCs w:val="20"/>
          <w:lang w:eastAsia="en-IE"/>
        </w:rPr>
        <w:t xml:space="preserve">the </w:t>
      </w:r>
      <w:r w:rsidR="004152ED">
        <w:rPr>
          <w:sz w:val="20"/>
          <w:szCs w:val="20"/>
          <w:lang w:eastAsia="en-IE"/>
        </w:rPr>
        <w:t xml:space="preserve">LC for ELISA-IgG. </w:t>
      </w:r>
      <w:r w:rsidR="002F7FF0">
        <w:rPr>
          <w:sz w:val="20"/>
          <w:szCs w:val="20"/>
          <w:lang w:eastAsia="en-IE"/>
        </w:rPr>
        <w:t>Calving supervision</w:t>
      </w:r>
      <w:r w:rsidR="00EB110B">
        <w:rPr>
          <w:sz w:val="20"/>
          <w:szCs w:val="20"/>
          <w:lang w:eastAsia="en-IE"/>
        </w:rPr>
        <w:t xml:space="preserve"> was not associated </w:t>
      </w:r>
      <w:r w:rsidR="002F7FF0">
        <w:rPr>
          <w:sz w:val="20"/>
          <w:szCs w:val="20"/>
          <w:lang w:eastAsia="en-IE"/>
        </w:rPr>
        <w:t xml:space="preserve">with </w:t>
      </w:r>
      <w:r w:rsidR="00CF7D86">
        <w:rPr>
          <w:sz w:val="20"/>
          <w:szCs w:val="20"/>
          <w:lang w:eastAsia="en-IE"/>
        </w:rPr>
        <w:t>any</w:t>
      </w:r>
      <w:r w:rsidR="002F7FF0">
        <w:rPr>
          <w:sz w:val="20"/>
          <w:szCs w:val="20"/>
          <w:lang w:eastAsia="en-IE"/>
        </w:rPr>
        <w:t xml:space="preserve"> passive immune measures (</w:t>
      </w:r>
      <w:r w:rsidR="00EB110B" w:rsidRPr="00EB110B">
        <w:rPr>
          <w:i/>
          <w:sz w:val="20"/>
          <w:szCs w:val="20"/>
          <w:lang w:eastAsia="en-IE"/>
        </w:rPr>
        <w:t>P</w:t>
      </w:r>
      <w:r w:rsidR="00EB110B">
        <w:rPr>
          <w:sz w:val="20"/>
          <w:szCs w:val="20"/>
          <w:lang w:eastAsia="en-IE"/>
        </w:rPr>
        <w:t>&gt;0.05)</w:t>
      </w:r>
      <w:r w:rsidR="00CF7D86">
        <w:rPr>
          <w:sz w:val="20"/>
          <w:szCs w:val="20"/>
          <w:lang w:eastAsia="en-IE"/>
        </w:rPr>
        <w:t>; h</w:t>
      </w:r>
      <w:r w:rsidR="00972E95">
        <w:rPr>
          <w:sz w:val="20"/>
          <w:szCs w:val="20"/>
          <w:lang w:eastAsia="en-IE"/>
        </w:rPr>
        <w:t>owever, t</w:t>
      </w:r>
      <w:r w:rsidR="00BB757E">
        <w:rPr>
          <w:sz w:val="20"/>
          <w:szCs w:val="20"/>
          <w:lang w:eastAsia="en-IE"/>
        </w:rPr>
        <w:t>he odds of FPT</w:t>
      </w:r>
      <w:r w:rsidR="004152ED">
        <w:rPr>
          <w:sz w:val="20"/>
          <w:szCs w:val="20"/>
          <w:lang w:eastAsia="en-IE"/>
        </w:rPr>
        <w:t xml:space="preserve"> </w:t>
      </w:r>
      <w:r w:rsidR="00BB757E">
        <w:rPr>
          <w:sz w:val="20"/>
          <w:szCs w:val="20"/>
          <w:lang w:eastAsia="en-IE"/>
        </w:rPr>
        <w:t>using all cut-o</w:t>
      </w:r>
      <w:r w:rsidR="004152ED">
        <w:rPr>
          <w:sz w:val="20"/>
          <w:szCs w:val="20"/>
          <w:lang w:eastAsia="en-IE"/>
        </w:rPr>
        <w:t xml:space="preserve">ffs </w:t>
      </w:r>
      <w:r w:rsidR="008A562E">
        <w:rPr>
          <w:sz w:val="20"/>
          <w:szCs w:val="20"/>
          <w:lang w:eastAsia="en-IE"/>
        </w:rPr>
        <w:t xml:space="preserve">were </w:t>
      </w:r>
      <w:r w:rsidR="00EA1A17">
        <w:rPr>
          <w:sz w:val="20"/>
          <w:szCs w:val="20"/>
          <w:lang w:eastAsia="en-IE"/>
        </w:rPr>
        <w:t>lower</w:t>
      </w:r>
      <w:r w:rsidR="0055199E">
        <w:rPr>
          <w:sz w:val="20"/>
          <w:szCs w:val="20"/>
          <w:lang w:eastAsia="en-IE"/>
        </w:rPr>
        <w:t xml:space="preserve"> </w:t>
      </w:r>
      <w:r w:rsidR="008A562E">
        <w:rPr>
          <w:sz w:val="20"/>
          <w:szCs w:val="20"/>
          <w:lang w:eastAsia="en-IE"/>
        </w:rPr>
        <w:t xml:space="preserve">when </w:t>
      </w:r>
      <w:r w:rsidR="004152ED">
        <w:rPr>
          <w:sz w:val="20"/>
          <w:szCs w:val="20"/>
          <w:lang w:eastAsia="en-IE"/>
        </w:rPr>
        <w:t>calving was</w:t>
      </w:r>
      <w:r w:rsidR="00EA1A17">
        <w:rPr>
          <w:sz w:val="20"/>
          <w:szCs w:val="20"/>
          <w:lang w:eastAsia="en-IE"/>
        </w:rPr>
        <w:t xml:space="preserve"> not</w:t>
      </w:r>
      <w:r w:rsidR="004152ED">
        <w:rPr>
          <w:sz w:val="20"/>
          <w:szCs w:val="20"/>
          <w:lang w:eastAsia="en-IE"/>
        </w:rPr>
        <w:t xml:space="preserve"> supervised </w:t>
      </w:r>
      <w:r w:rsidR="008A562E">
        <w:rPr>
          <w:sz w:val="20"/>
          <w:szCs w:val="20"/>
          <w:lang w:eastAsia="en-IE"/>
        </w:rPr>
        <w:t>(</w:t>
      </w:r>
      <w:r w:rsidR="00851088" w:rsidRPr="00851088">
        <w:rPr>
          <w:i/>
          <w:sz w:val="20"/>
          <w:szCs w:val="20"/>
          <w:lang w:eastAsia="en-IE"/>
        </w:rPr>
        <w:t>vs.</w:t>
      </w:r>
      <w:r w:rsidR="00EA1A17">
        <w:rPr>
          <w:sz w:val="20"/>
          <w:szCs w:val="20"/>
          <w:lang w:eastAsia="en-IE"/>
        </w:rPr>
        <w:t xml:space="preserve"> present </w:t>
      </w:r>
      <w:r w:rsidR="00834827">
        <w:rPr>
          <w:sz w:val="20"/>
          <w:szCs w:val="20"/>
          <w:lang w:eastAsia="en-IE"/>
        </w:rPr>
        <w:t xml:space="preserve">at </w:t>
      </w:r>
      <w:r w:rsidR="00EA1A17">
        <w:rPr>
          <w:sz w:val="20"/>
          <w:szCs w:val="20"/>
          <w:lang w:eastAsia="en-IE"/>
        </w:rPr>
        <w:t>calving</w:t>
      </w:r>
      <w:r w:rsidR="00D42FA7">
        <w:rPr>
          <w:sz w:val="20"/>
          <w:szCs w:val="20"/>
          <w:lang w:eastAsia="en-IE"/>
        </w:rPr>
        <w:t>)</w:t>
      </w:r>
      <w:r w:rsidR="004152ED">
        <w:rPr>
          <w:sz w:val="20"/>
          <w:szCs w:val="20"/>
          <w:lang w:eastAsia="en-IE"/>
        </w:rPr>
        <w:t xml:space="preserve">. </w:t>
      </w:r>
      <w:r w:rsidR="00BB757E">
        <w:rPr>
          <w:sz w:val="20"/>
        </w:rPr>
        <w:t>Feeding stored colostrum (</w:t>
      </w:r>
      <w:r w:rsidR="00851088" w:rsidRPr="00851088">
        <w:rPr>
          <w:i/>
          <w:sz w:val="20"/>
        </w:rPr>
        <w:t>vs.</w:t>
      </w:r>
      <w:r w:rsidR="00BB757E">
        <w:rPr>
          <w:sz w:val="20"/>
        </w:rPr>
        <w:t xml:space="preserve"> fresh) increased the likelihood of FPT</w:t>
      </w:r>
      <w:r w:rsidR="00972E95">
        <w:rPr>
          <w:sz w:val="20"/>
        </w:rPr>
        <w:t xml:space="preserve"> </w:t>
      </w:r>
      <w:r w:rsidR="00E8732E">
        <w:rPr>
          <w:sz w:val="20"/>
        </w:rPr>
        <w:t xml:space="preserve">based on the </w:t>
      </w:r>
      <w:r w:rsidR="00972E95">
        <w:rPr>
          <w:sz w:val="20"/>
        </w:rPr>
        <w:t>LC for TP-CA and TS-BRIX</w:t>
      </w:r>
      <w:r w:rsidR="00E8732E">
        <w:rPr>
          <w:sz w:val="20"/>
        </w:rPr>
        <w:t>.</w:t>
      </w:r>
      <w:r w:rsidR="00972E95">
        <w:rPr>
          <w:sz w:val="20"/>
        </w:rPr>
        <w:t xml:space="preserve"> </w:t>
      </w:r>
    </w:p>
    <w:p w14:paraId="474236FD" w14:textId="77777777" w:rsidR="00972E95" w:rsidRDefault="00972E95" w:rsidP="00F57EB4">
      <w:pPr>
        <w:jc w:val="both"/>
        <w:rPr>
          <w:sz w:val="20"/>
        </w:rPr>
      </w:pPr>
    </w:p>
    <w:p w14:paraId="436E0B4B" w14:textId="77777777" w:rsidR="001F4F22" w:rsidRDefault="001F4F22" w:rsidP="00F57EB4">
      <w:pPr>
        <w:jc w:val="both"/>
        <w:rPr>
          <w:b/>
          <w:sz w:val="20"/>
          <w:szCs w:val="20"/>
        </w:rPr>
      </w:pPr>
      <w:r>
        <w:rPr>
          <w:b/>
          <w:sz w:val="20"/>
          <w:szCs w:val="20"/>
        </w:rPr>
        <w:t>Conclusion</w:t>
      </w:r>
    </w:p>
    <w:p w14:paraId="020FF74E" w14:textId="31F71400" w:rsidR="00F57EB4" w:rsidRDefault="00C9451A" w:rsidP="00F57EB4">
      <w:pPr>
        <w:jc w:val="both"/>
        <w:rPr>
          <w:sz w:val="20"/>
          <w:szCs w:val="20"/>
        </w:rPr>
      </w:pPr>
      <w:bookmarkStart w:id="0" w:name="_GoBack"/>
      <w:bookmarkEnd w:id="0"/>
      <w:r w:rsidRPr="00F96EB5">
        <w:rPr>
          <w:sz w:val="20"/>
          <w:szCs w:val="20"/>
        </w:rPr>
        <w:t>Th</w:t>
      </w:r>
      <w:r w:rsidR="00CF7D86">
        <w:rPr>
          <w:sz w:val="20"/>
          <w:szCs w:val="20"/>
        </w:rPr>
        <w:t>is</w:t>
      </w:r>
      <w:r w:rsidRPr="00F96EB5">
        <w:rPr>
          <w:sz w:val="20"/>
          <w:szCs w:val="20"/>
        </w:rPr>
        <w:t xml:space="preserve"> study </w:t>
      </w:r>
      <w:r w:rsidR="00F57EB4" w:rsidRPr="00585FF9">
        <w:rPr>
          <w:sz w:val="20"/>
          <w:szCs w:val="20"/>
        </w:rPr>
        <w:t xml:space="preserve">indicates </w:t>
      </w:r>
      <w:r w:rsidRPr="00F96EB5">
        <w:rPr>
          <w:sz w:val="20"/>
          <w:szCs w:val="20"/>
        </w:rPr>
        <w:t>that</w:t>
      </w:r>
      <w:r w:rsidR="00160ECC">
        <w:rPr>
          <w:sz w:val="20"/>
          <w:szCs w:val="20"/>
        </w:rPr>
        <w:t xml:space="preserve"> t</w:t>
      </w:r>
      <w:r w:rsidR="00A72986" w:rsidRPr="00F96EB5">
        <w:rPr>
          <w:sz w:val="20"/>
          <w:szCs w:val="20"/>
        </w:rPr>
        <w:t xml:space="preserve">he factors associated with </w:t>
      </w:r>
      <w:r w:rsidR="00972E95">
        <w:rPr>
          <w:sz w:val="20"/>
          <w:szCs w:val="20"/>
        </w:rPr>
        <w:t xml:space="preserve">passive immunity and </w:t>
      </w:r>
      <w:r w:rsidR="00A72986" w:rsidRPr="00F96EB5">
        <w:rPr>
          <w:sz w:val="20"/>
          <w:szCs w:val="20"/>
        </w:rPr>
        <w:t>FPT varied depending on</w:t>
      </w:r>
      <w:r w:rsidR="00972E95">
        <w:rPr>
          <w:sz w:val="20"/>
          <w:szCs w:val="20"/>
        </w:rPr>
        <w:t xml:space="preserve"> the </w:t>
      </w:r>
      <w:r w:rsidR="009B165A">
        <w:rPr>
          <w:sz w:val="20"/>
          <w:szCs w:val="20"/>
        </w:rPr>
        <w:t>tests</w:t>
      </w:r>
      <w:r w:rsidR="00160ECC">
        <w:rPr>
          <w:sz w:val="20"/>
          <w:szCs w:val="20"/>
        </w:rPr>
        <w:t xml:space="preserve"> </w:t>
      </w:r>
      <w:r w:rsidR="000848B4">
        <w:rPr>
          <w:sz w:val="20"/>
          <w:szCs w:val="20"/>
        </w:rPr>
        <w:t xml:space="preserve">and </w:t>
      </w:r>
      <w:r w:rsidR="009B165A">
        <w:rPr>
          <w:sz w:val="20"/>
          <w:szCs w:val="20"/>
        </w:rPr>
        <w:t>the</w:t>
      </w:r>
      <w:r w:rsidR="000848B4">
        <w:rPr>
          <w:sz w:val="20"/>
          <w:szCs w:val="20"/>
        </w:rPr>
        <w:t xml:space="preserve"> cut-offs</w:t>
      </w:r>
      <w:r w:rsidR="003750F7">
        <w:rPr>
          <w:sz w:val="20"/>
          <w:szCs w:val="20"/>
        </w:rPr>
        <w:t xml:space="preserve"> used to define FPT,</w:t>
      </w:r>
      <w:r w:rsidR="00116F96">
        <w:rPr>
          <w:sz w:val="20"/>
          <w:szCs w:val="20"/>
        </w:rPr>
        <w:t xml:space="preserve"> possibly </w:t>
      </w:r>
      <w:r w:rsidR="000115B5">
        <w:rPr>
          <w:sz w:val="20"/>
          <w:szCs w:val="20"/>
        </w:rPr>
        <w:t>attributed to</w:t>
      </w:r>
      <w:r w:rsidR="00116F96">
        <w:rPr>
          <w:sz w:val="20"/>
          <w:szCs w:val="20"/>
        </w:rPr>
        <w:t xml:space="preserve"> differences in sensitivity and specificity between tests and cut-offs. Furthermore, </w:t>
      </w:r>
      <w:r w:rsidR="003750F7">
        <w:rPr>
          <w:sz w:val="20"/>
          <w:szCs w:val="20"/>
        </w:rPr>
        <w:t xml:space="preserve">different factors were identified in suckler beef and dairy calves. </w:t>
      </w:r>
    </w:p>
    <w:p w14:paraId="246BC9C6" w14:textId="77777777" w:rsidR="000848B4" w:rsidRPr="00F96EB5" w:rsidRDefault="000848B4" w:rsidP="00A72986">
      <w:pPr>
        <w:jc w:val="both"/>
        <w:rPr>
          <w:sz w:val="20"/>
          <w:szCs w:val="20"/>
        </w:rPr>
      </w:pPr>
    </w:p>
    <w:p w14:paraId="6EF7B05C" w14:textId="77777777" w:rsidR="001F4F22" w:rsidRDefault="001F4F22" w:rsidP="00031F1D">
      <w:pPr>
        <w:jc w:val="both"/>
        <w:rPr>
          <w:b/>
          <w:sz w:val="20"/>
          <w:szCs w:val="20"/>
        </w:rPr>
      </w:pPr>
      <w:r>
        <w:rPr>
          <w:b/>
          <w:sz w:val="20"/>
          <w:szCs w:val="20"/>
        </w:rPr>
        <w:t>Acknowledgement</w:t>
      </w:r>
    </w:p>
    <w:p w14:paraId="56286D8C" w14:textId="4F50EF43" w:rsidR="00841A1A" w:rsidRPr="00F96EB5" w:rsidRDefault="00040182" w:rsidP="00031F1D">
      <w:pPr>
        <w:jc w:val="both"/>
        <w:rPr>
          <w:sz w:val="20"/>
          <w:szCs w:val="20"/>
        </w:rPr>
      </w:pPr>
      <w:r w:rsidRPr="00F57EB4">
        <w:rPr>
          <w:sz w:val="20"/>
          <w:szCs w:val="20"/>
        </w:rPr>
        <w:t>DAFM</w:t>
      </w:r>
      <w:r w:rsidR="007B4BF1" w:rsidRPr="00F57EB4">
        <w:rPr>
          <w:sz w:val="20"/>
          <w:szCs w:val="20"/>
        </w:rPr>
        <w:t xml:space="preserve"> Stimulus Fund</w:t>
      </w:r>
      <w:r w:rsidRPr="00F57EB4">
        <w:rPr>
          <w:sz w:val="20"/>
          <w:szCs w:val="20"/>
        </w:rPr>
        <w:t xml:space="preserve">ed project </w:t>
      </w:r>
      <w:r w:rsidR="007B4BF1" w:rsidRPr="00F57EB4">
        <w:rPr>
          <w:sz w:val="20"/>
          <w:szCs w:val="20"/>
        </w:rPr>
        <w:t>(</w:t>
      </w:r>
      <w:r w:rsidRPr="00F57EB4">
        <w:rPr>
          <w:sz w:val="20"/>
          <w:szCs w:val="20"/>
        </w:rPr>
        <w:t xml:space="preserve">€asyCalf </w:t>
      </w:r>
      <w:r w:rsidR="007B4BF1" w:rsidRPr="00F57EB4">
        <w:rPr>
          <w:sz w:val="20"/>
          <w:szCs w:val="20"/>
        </w:rPr>
        <w:t>11/S/131).</w:t>
      </w:r>
      <w:r w:rsidR="00C64008" w:rsidRPr="00F57EB4">
        <w:rPr>
          <w:sz w:val="20"/>
          <w:szCs w:val="20"/>
        </w:rPr>
        <w:t xml:space="preserve"> </w:t>
      </w:r>
      <w:r w:rsidR="00841A1A" w:rsidRPr="00F57EB4">
        <w:rPr>
          <w:sz w:val="20"/>
          <w:szCs w:val="20"/>
        </w:rPr>
        <w:t>RRMH</w:t>
      </w:r>
      <w:r w:rsidR="00841A1A" w:rsidRPr="00F96EB5">
        <w:rPr>
          <w:sz w:val="20"/>
          <w:szCs w:val="20"/>
        </w:rPr>
        <w:t xml:space="preserve"> is a Teagasc Walsh Scholarship</w:t>
      </w:r>
      <w:r w:rsidR="000A2EC1" w:rsidRPr="00F96EB5">
        <w:rPr>
          <w:sz w:val="20"/>
          <w:szCs w:val="20"/>
        </w:rPr>
        <w:t xml:space="preserve"> recipient</w:t>
      </w:r>
      <w:r w:rsidR="00841A1A" w:rsidRPr="00F96EB5">
        <w:rPr>
          <w:sz w:val="20"/>
          <w:szCs w:val="20"/>
        </w:rPr>
        <w:t xml:space="preserve">.  </w:t>
      </w:r>
    </w:p>
    <w:p w14:paraId="67FF6BAC" w14:textId="77777777" w:rsidR="00841A1A" w:rsidRPr="00F96EB5" w:rsidRDefault="00841A1A">
      <w:pPr>
        <w:rPr>
          <w:b/>
          <w:sz w:val="20"/>
          <w:szCs w:val="20"/>
        </w:rPr>
      </w:pPr>
    </w:p>
    <w:p w14:paraId="4CD2A131" w14:textId="36DAB204" w:rsidR="008B1377" w:rsidRPr="00F96EB5" w:rsidRDefault="001F4F22">
      <w:pPr>
        <w:rPr>
          <w:b/>
          <w:sz w:val="20"/>
          <w:szCs w:val="20"/>
        </w:rPr>
      </w:pPr>
      <w:r>
        <w:rPr>
          <w:b/>
          <w:sz w:val="20"/>
          <w:szCs w:val="20"/>
        </w:rPr>
        <w:t>References</w:t>
      </w:r>
    </w:p>
    <w:p w14:paraId="477EAA5E" w14:textId="39AA32DD" w:rsidR="00841A1A" w:rsidRPr="00841A1A" w:rsidRDefault="00841A1A" w:rsidP="000A2EC1">
      <w:pPr>
        <w:widowControl w:val="0"/>
        <w:autoSpaceDE w:val="0"/>
        <w:autoSpaceDN w:val="0"/>
        <w:adjustRightInd w:val="0"/>
        <w:ind w:left="284" w:hanging="284"/>
        <w:jc w:val="both"/>
        <w:rPr>
          <w:noProof/>
          <w:sz w:val="20"/>
        </w:rPr>
      </w:pPr>
      <w:r>
        <w:rPr>
          <w:b/>
          <w:sz w:val="20"/>
          <w:szCs w:val="20"/>
        </w:rPr>
        <w:fldChar w:fldCharType="begin" w:fldLock="1"/>
      </w:r>
      <w:r>
        <w:rPr>
          <w:b/>
          <w:sz w:val="20"/>
          <w:szCs w:val="20"/>
        </w:rPr>
        <w:instrText xml:space="preserve">ADDIN Mendeley Bibliography CSL_BIBLIOGRAPHY </w:instrText>
      </w:r>
      <w:r>
        <w:rPr>
          <w:b/>
          <w:sz w:val="20"/>
          <w:szCs w:val="20"/>
        </w:rPr>
        <w:fldChar w:fldCharType="separate"/>
      </w:r>
      <w:r w:rsidR="001C4B61">
        <w:rPr>
          <w:noProof/>
          <w:sz w:val="20"/>
        </w:rPr>
        <w:t xml:space="preserve">Todd, </w:t>
      </w:r>
      <w:r w:rsidRPr="00841A1A">
        <w:rPr>
          <w:noProof/>
          <w:sz w:val="20"/>
        </w:rPr>
        <w:t>CG</w:t>
      </w:r>
      <w:r w:rsidR="001C4B61">
        <w:rPr>
          <w:noProof/>
          <w:sz w:val="20"/>
        </w:rPr>
        <w:t>.</w:t>
      </w:r>
      <w:r w:rsidRPr="00841A1A">
        <w:rPr>
          <w:noProof/>
          <w:sz w:val="20"/>
        </w:rPr>
        <w:t>, McGee</w:t>
      </w:r>
      <w:r w:rsidR="001C4B61">
        <w:rPr>
          <w:noProof/>
          <w:sz w:val="20"/>
        </w:rPr>
        <w:t>,</w:t>
      </w:r>
      <w:r w:rsidRPr="00841A1A">
        <w:rPr>
          <w:noProof/>
          <w:sz w:val="20"/>
        </w:rPr>
        <w:t xml:space="preserve"> M</w:t>
      </w:r>
      <w:r w:rsidR="001C4B61">
        <w:rPr>
          <w:noProof/>
          <w:sz w:val="20"/>
        </w:rPr>
        <w:t>.</w:t>
      </w:r>
      <w:r w:rsidRPr="00841A1A">
        <w:rPr>
          <w:noProof/>
          <w:sz w:val="20"/>
        </w:rPr>
        <w:t>, Tiernan</w:t>
      </w:r>
      <w:r w:rsidR="001C4B61">
        <w:rPr>
          <w:noProof/>
          <w:sz w:val="20"/>
        </w:rPr>
        <w:t>,</w:t>
      </w:r>
      <w:r w:rsidRPr="00841A1A">
        <w:rPr>
          <w:noProof/>
          <w:sz w:val="20"/>
        </w:rPr>
        <w:t xml:space="preserve"> K</w:t>
      </w:r>
      <w:r w:rsidR="001C4B61">
        <w:rPr>
          <w:noProof/>
          <w:sz w:val="20"/>
        </w:rPr>
        <w:t>.</w:t>
      </w:r>
      <w:r w:rsidRPr="00841A1A">
        <w:rPr>
          <w:noProof/>
          <w:sz w:val="20"/>
        </w:rPr>
        <w:t>, Crosson</w:t>
      </w:r>
      <w:r w:rsidR="001C4B61">
        <w:rPr>
          <w:noProof/>
          <w:sz w:val="20"/>
        </w:rPr>
        <w:t>,</w:t>
      </w:r>
      <w:r w:rsidRPr="00841A1A">
        <w:rPr>
          <w:noProof/>
          <w:sz w:val="20"/>
        </w:rPr>
        <w:t xml:space="preserve"> P</w:t>
      </w:r>
      <w:r w:rsidR="001C4B61">
        <w:rPr>
          <w:noProof/>
          <w:sz w:val="20"/>
        </w:rPr>
        <w:t>.</w:t>
      </w:r>
      <w:r w:rsidRPr="00841A1A">
        <w:rPr>
          <w:noProof/>
          <w:sz w:val="20"/>
        </w:rPr>
        <w:t>, O’Riordan</w:t>
      </w:r>
      <w:r w:rsidR="001C4B61">
        <w:rPr>
          <w:noProof/>
          <w:sz w:val="20"/>
        </w:rPr>
        <w:t>,</w:t>
      </w:r>
      <w:r w:rsidRPr="00841A1A">
        <w:rPr>
          <w:noProof/>
          <w:sz w:val="20"/>
        </w:rPr>
        <w:t xml:space="preserve"> E</w:t>
      </w:r>
      <w:r w:rsidR="001C4B61">
        <w:rPr>
          <w:noProof/>
          <w:sz w:val="20"/>
        </w:rPr>
        <w:t>.</w:t>
      </w:r>
      <w:r w:rsidRPr="00841A1A">
        <w:rPr>
          <w:noProof/>
          <w:sz w:val="20"/>
        </w:rPr>
        <w:t>, McClure</w:t>
      </w:r>
      <w:r w:rsidR="001C4B61">
        <w:rPr>
          <w:noProof/>
          <w:sz w:val="20"/>
        </w:rPr>
        <w:t>,</w:t>
      </w:r>
      <w:r w:rsidRPr="00841A1A">
        <w:rPr>
          <w:noProof/>
          <w:sz w:val="20"/>
        </w:rPr>
        <w:t xml:space="preserve"> J</w:t>
      </w:r>
      <w:r w:rsidR="001C4B61">
        <w:rPr>
          <w:noProof/>
          <w:sz w:val="20"/>
        </w:rPr>
        <w:t>.</w:t>
      </w:r>
      <w:r w:rsidRPr="00841A1A">
        <w:rPr>
          <w:noProof/>
          <w:sz w:val="20"/>
        </w:rPr>
        <w:t>, Lorenz</w:t>
      </w:r>
      <w:r w:rsidR="001C4B61">
        <w:rPr>
          <w:noProof/>
          <w:sz w:val="20"/>
        </w:rPr>
        <w:t>,</w:t>
      </w:r>
      <w:r w:rsidRPr="00841A1A">
        <w:rPr>
          <w:noProof/>
          <w:sz w:val="20"/>
        </w:rPr>
        <w:t xml:space="preserve"> I</w:t>
      </w:r>
      <w:r w:rsidR="001C4B61">
        <w:rPr>
          <w:noProof/>
          <w:sz w:val="20"/>
        </w:rPr>
        <w:t>.,</w:t>
      </w:r>
      <w:r w:rsidRPr="00841A1A">
        <w:rPr>
          <w:noProof/>
          <w:sz w:val="20"/>
        </w:rPr>
        <w:t xml:space="preserve"> </w:t>
      </w:r>
      <w:r w:rsidR="00C73BE0">
        <w:rPr>
          <w:noProof/>
          <w:sz w:val="20"/>
        </w:rPr>
        <w:t>and</w:t>
      </w:r>
      <w:r w:rsidRPr="00841A1A">
        <w:rPr>
          <w:noProof/>
          <w:sz w:val="20"/>
        </w:rPr>
        <w:t xml:space="preserve"> Earley</w:t>
      </w:r>
      <w:r w:rsidR="001C4B61">
        <w:rPr>
          <w:noProof/>
          <w:sz w:val="20"/>
        </w:rPr>
        <w:t>,</w:t>
      </w:r>
      <w:r w:rsidRPr="00841A1A">
        <w:rPr>
          <w:noProof/>
          <w:sz w:val="20"/>
        </w:rPr>
        <w:t xml:space="preserve"> B</w:t>
      </w:r>
      <w:r w:rsidR="001C4B61">
        <w:rPr>
          <w:noProof/>
          <w:sz w:val="20"/>
        </w:rPr>
        <w:t>.</w:t>
      </w:r>
      <w:r w:rsidRPr="00841A1A">
        <w:rPr>
          <w:noProof/>
          <w:sz w:val="20"/>
        </w:rPr>
        <w:t xml:space="preserve"> </w:t>
      </w:r>
      <w:r w:rsidR="001C4B61">
        <w:rPr>
          <w:noProof/>
          <w:sz w:val="20"/>
        </w:rPr>
        <w:t>(</w:t>
      </w:r>
      <w:r w:rsidRPr="00841A1A">
        <w:rPr>
          <w:noProof/>
          <w:sz w:val="20"/>
        </w:rPr>
        <w:t>2018</w:t>
      </w:r>
      <w:r w:rsidR="001C4B61">
        <w:rPr>
          <w:noProof/>
          <w:sz w:val="20"/>
        </w:rPr>
        <w:t>)</w:t>
      </w:r>
      <w:r w:rsidRPr="00841A1A">
        <w:rPr>
          <w:noProof/>
          <w:sz w:val="20"/>
        </w:rPr>
        <w:t>. Preventive Veterinary Medicine</w:t>
      </w:r>
      <w:r w:rsidR="001C4B61">
        <w:rPr>
          <w:noProof/>
          <w:sz w:val="20"/>
        </w:rPr>
        <w:t>,</w:t>
      </w:r>
      <w:r w:rsidRPr="00841A1A">
        <w:rPr>
          <w:noProof/>
          <w:sz w:val="20"/>
        </w:rPr>
        <w:t xml:space="preserve"> 159, 182–195.</w:t>
      </w:r>
    </w:p>
    <w:p w14:paraId="77755B04" w14:textId="77777777" w:rsidR="00D42FA7" w:rsidRDefault="00841A1A" w:rsidP="00A00561">
      <w:pPr>
        <w:tabs>
          <w:tab w:val="left" w:pos="2714"/>
        </w:tabs>
        <w:spacing w:before="120" w:after="120"/>
        <w:jc w:val="both"/>
        <w:rPr>
          <w:b/>
          <w:sz w:val="20"/>
          <w:szCs w:val="20"/>
        </w:rPr>
      </w:pPr>
      <w:r>
        <w:rPr>
          <w:b/>
          <w:sz w:val="20"/>
          <w:szCs w:val="20"/>
        </w:rPr>
        <w:fldChar w:fldCharType="end"/>
      </w:r>
    </w:p>
    <w:p w14:paraId="44433344" w14:textId="77777777" w:rsidR="00D42FA7" w:rsidRDefault="00D42FA7">
      <w:pPr>
        <w:spacing w:after="160" w:line="259" w:lineRule="auto"/>
        <w:rPr>
          <w:b/>
          <w:sz w:val="20"/>
          <w:szCs w:val="20"/>
        </w:rPr>
      </w:pPr>
      <w:r>
        <w:rPr>
          <w:b/>
          <w:sz w:val="20"/>
          <w:szCs w:val="20"/>
        </w:rPr>
        <w:br w:type="page"/>
      </w:r>
    </w:p>
    <w:p w14:paraId="71E92BDE" w14:textId="6C318EE1" w:rsidR="002C3C22" w:rsidRPr="00D42FA7" w:rsidRDefault="002C3C22" w:rsidP="0033514B">
      <w:pPr>
        <w:tabs>
          <w:tab w:val="left" w:pos="2714"/>
        </w:tabs>
        <w:spacing w:before="120" w:after="120"/>
        <w:ind w:left="709" w:hanging="709"/>
        <w:jc w:val="both"/>
        <w:rPr>
          <w:b/>
          <w:sz w:val="20"/>
          <w:szCs w:val="20"/>
        </w:rPr>
      </w:pPr>
      <w:r w:rsidRPr="000506B4">
        <w:rPr>
          <w:sz w:val="20"/>
          <w:szCs w:val="20"/>
        </w:rPr>
        <w:lastRenderedPageBreak/>
        <w:t xml:space="preserve">Table 1. </w:t>
      </w:r>
      <w:r w:rsidR="00EB110B">
        <w:rPr>
          <w:sz w:val="20"/>
          <w:szCs w:val="20"/>
        </w:rPr>
        <w:t xml:space="preserve">Factors associated with </w:t>
      </w:r>
      <w:r w:rsidR="00B46E7D">
        <w:rPr>
          <w:sz w:val="20"/>
          <w:szCs w:val="20"/>
        </w:rPr>
        <w:t>(</w:t>
      </w:r>
      <w:r w:rsidR="00B46E7D" w:rsidRPr="00D42FA7">
        <w:rPr>
          <w:i/>
          <w:sz w:val="20"/>
          <w:szCs w:val="20"/>
        </w:rPr>
        <w:t>P</w:t>
      </w:r>
      <w:r w:rsidR="00B46E7D">
        <w:rPr>
          <w:sz w:val="20"/>
          <w:szCs w:val="20"/>
        </w:rPr>
        <w:t xml:space="preserve">&lt;0.05) </w:t>
      </w:r>
      <w:r w:rsidR="00EB110B">
        <w:rPr>
          <w:sz w:val="20"/>
          <w:szCs w:val="20"/>
        </w:rPr>
        <w:t>passive immune measures and failure of</w:t>
      </w:r>
      <w:r w:rsidR="00EB110B" w:rsidRPr="00EB110B">
        <w:rPr>
          <w:sz w:val="20"/>
          <w:szCs w:val="20"/>
        </w:rPr>
        <w:t xml:space="preserve"> </w:t>
      </w:r>
      <w:r w:rsidR="00EB110B" w:rsidRPr="00D4391D">
        <w:rPr>
          <w:sz w:val="20"/>
          <w:szCs w:val="20"/>
        </w:rPr>
        <w:t xml:space="preserve">passive transfer </w:t>
      </w:r>
      <w:r w:rsidR="00EB110B">
        <w:rPr>
          <w:sz w:val="20"/>
          <w:szCs w:val="20"/>
        </w:rPr>
        <w:t xml:space="preserve">(FPT) </w:t>
      </w:r>
      <w:r w:rsidR="00EB110B" w:rsidRPr="00D4391D">
        <w:rPr>
          <w:sz w:val="20"/>
          <w:szCs w:val="20"/>
        </w:rPr>
        <w:t>of immunity</w:t>
      </w:r>
      <w:r w:rsidR="00EB110B">
        <w:rPr>
          <w:sz w:val="20"/>
          <w:szCs w:val="20"/>
        </w:rPr>
        <w:t xml:space="preserve"> defined by diff</w:t>
      </w:r>
      <w:r w:rsidR="00AC2CF2">
        <w:rPr>
          <w:sz w:val="20"/>
          <w:szCs w:val="20"/>
        </w:rPr>
        <w:t>erent blood tests and cut-offs</w:t>
      </w:r>
      <w:r w:rsidR="00BC4E04">
        <w:rPr>
          <w:sz w:val="20"/>
          <w:szCs w:val="20"/>
        </w:rPr>
        <w:t xml:space="preserve"> in suckler beef and dairy calves</w:t>
      </w:r>
      <w:r w:rsidR="00AC2CF2">
        <w:rPr>
          <w:sz w:val="20"/>
          <w:szCs w:val="20"/>
        </w:rPr>
        <w:t xml:space="preserve">. </w:t>
      </w:r>
    </w:p>
    <w:tbl>
      <w:tblPr>
        <w:tblW w:w="11060" w:type="dxa"/>
        <w:tblInd w:w="-570"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2837"/>
        <w:gridCol w:w="1134"/>
        <w:gridCol w:w="992"/>
        <w:gridCol w:w="992"/>
        <w:gridCol w:w="993"/>
        <w:gridCol w:w="1134"/>
        <w:gridCol w:w="992"/>
        <w:gridCol w:w="992"/>
        <w:gridCol w:w="994"/>
      </w:tblGrid>
      <w:tr w:rsidR="00851088" w:rsidRPr="003A37FB" w14:paraId="10D9AA33" w14:textId="77777777" w:rsidTr="0056510D">
        <w:trPr>
          <w:trHeight w:val="20"/>
        </w:trPr>
        <w:tc>
          <w:tcPr>
            <w:tcW w:w="2837" w:type="dxa"/>
            <w:tcBorders>
              <w:top w:val="single" w:sz="4" w:space="0" w:color="auto"/>
              <w:bottom w:val="nil"/>
            </w:tcBorders>
            <w:shd w:val="clear" w:color="auto" w:fill="auto"/>
            <w:noWrap/>
            <w:vAlign w:val="bottom"/>
            <w:hideMark/>
          </w:tcPr>
          <w:p w14:paraId="4B5AB35A" w14:textId="77777777" w:rsidR="00851088" w:rsidRPr="003A37FB" w:rsidRDefault="00851088" w:rsidP="00EA0C03">
            <w:pPr>
              <w:spacing w:after="40"/>
              <w:rPr>
                <w:color w:val="000000"/>
                <w:sz w:val="20"/>
                <w:szCs w:val="20"/>
                <w:lang w:val="en-IE" w:eastAsia="en-IE"/>
              </w:rPr>
            </w:pPr>
            <w:r w:rsidRPr="003A37FB">
              <w:rPr>
                <w:color w:val="000000"/>
                <w:sz w:val="20"/>
                <w:szCs w:val="20"/>
                <w:lang w:val="en-IE" w:eastAsia="en-IE"/>
              </w:rPr>
              <w:t> </w:t>
            </w:r>
          </w:p>
        </w:tc>
        <w:tc>
          <w:tcPr>
            <w:tcW w:w="3118" w:type="dxa"/>
            <w:gridSpan w:val="3"/>
            <w:tcBorders>
              <w:top w:val="single" w:sz="4" w:space="0" w:color="auto"/>
              <w:bottom w:val="single" w:sz="4" w:space="0" w:color="auto"/>
            </w:tcBorders>
            <w:shd w:val="clear" w:color="auto" w:fill="auto"/>
            <w:noWrap/>
            <w:hideMark/>
          </w:tcPr>
          <w:p w14:paraId="719F548A"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Suckler beef</w:t>
            </w:r>
          </w:p>
        </w:tc>
        <w:tc>
          <w:tcPr>
            <w:tcW w:w="993" w:type="dxa"/>
            <w:vMerge w:val="restart"/>
            <w:tcBorders>
              <w:top w:val="single" w:sz="4" w:space="0" w:color="auto"/>
              <w:bottom w:val="nil"/>
            </w:tcBorders>
            <w:vAlign w:val="center"/>
          </w:tcPr>
          <w:p w14:paraId="087B31F7" w14:textId="23D4B495" w:rsidR="00851088" w:rsidRPr="003A37FB" w:rsidRDefault="00851088" w:rsidP="00EA0C03">
            <w:pPr>
              <w:spacing w:after="40"/>
              <w:jc w:val="center"/>
              <w:rPr>
                <w:b/>
                <w:bCs/>
                <w:color w:val="000000"/>
                <w:sz w:val="20"/>
                <w:szCs w:val="20"/>
                <w:lang w:val="en-IE" w:eastAsia="en-IE"/>
              </w:rPr>
            </w:pPr>
            <w:r>
              <w:rPr>
                <w:b/>
                <w:bCs/>
                <w:color w:val="000000"/>
                <w:sz w:val="20"/>
                <w:szCs w:val="20"/>
                <w:lang w:val="en-IE" w:eastAsia="en-IE"/>
              </w:rPr>
              <w:t>Odd</w:t>
            </w:r>
            <w:r w:rsidR="0056510D">
              <w:rPr>
                <w:b/>
                <w:bCs/>
                <w:color w:val="000000"/>
                <w:sz w:val="20"/>
                <w:szCs w:val="20"/>
                <w:lang w:val="en-IE" w:eastAsia="en-IE"/>
              </w:rPr>
              <w:t>s</w:t>
            </w:r>
            <w:r>
              <w:rPr>
                <w:b/>
                <w:bCs/>
                <w:color w:val="000000"/>
                <w:sz w:val="20"/>
                <w:szCs w:val="20"/>
                <w:lang w:val="en-IE" w:eastAsia="en-IE"/>
              </w:rPr>
              <w:t xml:space="preserve"> ratio</w:t>
            </w:r>
            <w:r w:rsidRPr="00851088">
              <w:rPr>
                <w:b/>
                <w:bCs/>
                <w:color w:val="000000"/>
                <w:sz w:val="20"/>
                <w:szCs w:val="20"/>
                <w:vertAlign w:val="superscript"/>
                <w:lang w:val="en-IE" w:eastAsia="en-IE"/>
              </w:rPr>
              <w:t>1</w:t>
            </w:r>
          </w:p>
        </w:tc>
        <w:tc>
          <w:tcPr>
            <w:tcW w:w="3118" w:type="dxa"/>
            <w:gridSpan w:val="3"/>
            <w:tcBorders>
              <w:top w:val="single" w:sz="4" w:space="0" w:color="auto"/>
              <w:bottom w:val="single" w:sz="4" w:space="0" w:color="auto"/>
            </w:tcBorders>
            <w:shd w:val="clear" w:color="auto" w:fill="auto"/>
            <w:noWrap/>
            <w:vAlign w:val="center"/>
            <w:hideMark/>
          </w:tcPr>
          <w:p w14:paraId="79387FB5"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Dairy</w:t>
            </w:r>
          </w:p>
        </w:tc>
        <w:tc>
          <w:tcPr>
            <w:tcW w:w="994" w:type="dxa"/>
            <w:vMerge w:val="restart"/>
            <w:tcBorders>
              <w:top w:val="single" w:sz="4" w:space="0" w:color="auto"/>
              <w:bottom w:val="nil"/>
            </w:tcBorders>
            <w:vAlign w:val="center"/>
          </w:tcPr>
          <w:p w14:paraId="07883EB0" w14:textId="3A78E2A9"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Odds ratio</w:t>
            </w:r>
            <w:r w:rsidR="001C5273" w:rsidRPr="001C5273">
              <w:rPr>
                <w:b/>
                <w:bCs/>
                <w:color w:val="000000"/>
                <w:sz w:val="20"/>
                <w:szCs w:val="20"/>
                <w:vertAlign w:val="superscript"/>
                <w:lang w:val="en-IE" w:eastAsia="en-IE"/>
              </w:rPr>
              <w:t>1</w:t>
            </w:r>
          </w:p>
        </w:tc>
      </w:tr>
      <w:tr w:rsidR="00851088" w:rsidRPr="003A37FB" w14:paraId="330D637D" w14:textId="77777777" w:rsidTr="0056510D">
        <w:trPr>
          <w:trHeight w:val="20"/>
        </w:trPr>
        <w:tc>
          <w:tcPr>
            <w:tcW w:w="2837" w:type="dxa"/>
            <w:tcBorders>
              <w:top w:val="nil"/>
              <w:bottom w:val="single" w:sz="4" w:space="0" w:color="auto"/>
            </w:tcBorders>
            <w:shd w:val="clear" w:color="auto" w:fill="auto"/>
            <w:noWrap/>
            <w:vAlign w:val="bottom"/>
            <w:hideMark/>
          </w:tcPr>
          <w:p w14:paraId="09632C37" w14:textId="77777777" w:rsidR="00851088" w:rsidRPr="003A37FB" w:rsidRDefault="00851088" w:rsidP="00EA0C03">
            <w:pPr>
              <w:spacing w:after="40"/>
              <w:rPr>
                <w:color w:val="000000"/>
                <w:sz w:val="20"/>
                <w:szCs w:val="20"/>
                <w:lang w:val="en-IE" w:eastAsia="en-IE"/>
              </w:rPr>
            </w:pPr>
            <w:r w:rsidRPr="003A37FB">
              <w:rPr>
                <w:color w:val="000000"/>
                <w:sz w:val="20"/>
                <w:szCs w:val="20"/>
                <w:lang w:val="en-IE" w:eastAsia="en-IE"/>
              </w:rPr>
              <w:t> </w:t>
            </w:r>
          </w:p>
        </w:tc>
        <w:tc>
          <w:tcPr>
            <w:tcW w:w="1134" w:type="dxa"/>
            <w:tcBorders>
              <w:top w:val="single" w:sz="4" w:space="0" w:color="auto"/>
              <w:bottom w:val="single" w:sz="4" w:space="0" w:color="auto"/>
            </w:tcBorders>
            <w:shd w:val="clear" w:color="auto" w:fill="auto"/>
            <w:noWrap/>
            <w:hideMark/>
          </w:tcPr>
          <w:p w14:paraId="3CA3EA9C"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ELISA-IgG</w:t>
            </w:r>
          </w:p>
        </w:tc>
        <w:tc>
          <w:tcPr>
            <w:tcW w:w="992" w:type="dxa"/>
            <w:tcBorders>
              <w:top w:val="single" w:sz="4" w:space="0" w:color="auto"/>
              <w:bottom w:val="single" w:sz="4" w:space="0" w:color="auto"/>
            </w:tcBorders>
            <w:shd w:val="clear" w:color="auto" w:fill="auto"/>
            <w:noWrap/>
            <w:hideMark/>
          </w:tcPr>
          <w:p w14:paraId="776C3816"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TP-CA</w:t>
            </w:r>
          </w:p>
        </w:tc>
        <w:tc>
          <w:tcPr>
            <w:tcW w:w="992" w:type="dxa"/>
            <w:tcBorders>
              <w:top w:val="single" w:sz="4" w:space="0" w:color="auto"/>
              <w:bottom w:val="single" w:sz="4" w:space="0" w:color="auto"/>
            </w:tcBorders>
            <w:shd w:val="clear" w:color="auto" w:fill="auto"/>
            <w:noWrap/>
            <w:hideMark/>
          </w:tcPr>
          <w:p w14:paraId="0DB0A6E5"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TS-BRIX</w:t>
            </w:r>
          </w:p>
        </w:tc>
        <w:tc>
          <w:tcPr>
            <w:tcW w:w="993" w:type="dxa"/>
            <w:vMerge/>
            <w:tcBorders>
              <w:top w:val="nil"/>
              <w:bottom w:val="single" w:sz="4" w:space="0" w:color="auto"/>
            </w:tcBorders>
          </w:tcPr>
          <w:p w14:paraId="4CFF5F41" w14:textId="77777777" w:rsidR="00851088" w:rsidRPr="003A37FB" w:rsidRDefault="00851088" w:rsidP="00EA0C03">
            <w:pPr>
              <w:spacing w:after="40"/>
              <w:jc w:val="center"/>
              <w:rPr>
                <w:b/>
                <w:bCs/>
                <w:color w:val="000000"/>
                <w:sz w:val="20"/>
                <w:szCs w:val="20"/>
                <w:lang w:val="en-IE" w:eastAsia="en-IE"/>
              </w:rPr>
            </w:pPr>
          </w:p>
        </w:tc>
        <w:tc>
          <w:tcPr>
            <w:tcW w:w="1134" w:type="dxa"/>
            <w:tcBorders>
              <w:top w:val="single" w:sz="4" w:space="0" w:color="auto"/>
              <w:bottom w:val="single" w:sz="4" w:space="0" w:color="auto"/>
            </w:tcBorders>
            <w:shd w:val="clear" w:color="auto" w:fill="auto"/>
            <w:noWrap/>
            <w:hideMark/>
          </w:tcPr>
          <w:p w14:paraId="7BF62610"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ELISA-IgG</w:t>
            </w:r>
          </w:p>
        </w:tc>
        <w:tc>
          <w:tcPr>
            <w:tcW w:w="992" w:type="dxa"/>
            <w:tcBorders>
              <w:top w:val="single" w:sz="4" w:space="0" w:color="auto"/>
              <w:bottom w:val="single" w:sz="4" w:space="0" w:color="auto"/>
            </w:tcBorders>
            <w:shd w:val="clear" w:color="auto" w:fill="auto"/>
            <w:noWrap/>
            <w:hideMark/>
          </w:tcPr>
          <w:p w14:paraId="2D1F31C5"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TP-CA</w:t>
            </w:r>
          </w:p>
        </w:tc>
        <w:tc>
          <w:tcPr>
            <w:tcW w:w="992" w:type="dxa"/>
            <w:tcBorders>
              <w:top w:val="single" w:sz="4" w:space="0" w:color="auto"/>
              <w:bottom w:val="single" w:sz="4" w:space="0" w:color="auto"/>
            </w:tcBorders>
            <w:shd w:val="clear" w:color="auto" w:fill="auto"/>
            <w:noWrap/>
            <w:hideMark/>
          </w:tcPr>
          <w:p w14:paraId="20C51315" w14:textId="77777777" w:rsidR="00851088" w:rsidRPr="003A37FB" w:rsidRDefault="00851088" w:rsidP="00EA0C03">
            <w:pPr>
              <w:spacing w:after="40"/>
              <w:jc w:val="center"/>
              <w:rPr>
                <w:b/>
                <w:bCs/>
                <w:color w:val="000000"/>
                <w:sz w:val="20"/>
                <w:szCs w:val="20"/>
                <w:lang w:val="en-IE" w:eastAsia="en-IE"/>
              </w:rPr>
            </w:pPr>
            <w:r w:rsidRPr="003A37FB">
              <w:rPr>
                <w:b/>
                <w:bCs/>
                <w:color w:val="000000"/>
                <w:sz w:val="20"/>
                <w:szCs w:val="20"/>
                <w:lang w:val="en-IE" w:eastAsia="en-IE"/>
              </w:rPr>
              <w:t>TS-BRIX</w:t>
            </w:r>
          </w:p>
        </w:tc>
        <w:tc>
          <w:tcPr>
            <w:tcW w:w="994" w:type="dxa"/>
            <w:vMerge/>
            <w:tcBorders>
              <w:top w:val="nil"/>
              <w:bottom w:val="single" w:sz="4" w:space="0" w:color="auto"/>
            </w:tcBorders>
          </w:tcPr>
          <w:p w14:paraId="4379CF2A" w14:textId="77777777" w:rsidR="00851088" w:rsidRPr="003A37FB" w:rsidRDefault="00851088" w:rsidP="00EA0C03">
            <w:pPr>
              <w:spacing w:after="40"/>
              <w:jc w:val="center"/>
              <w:rPr>
                <w:b/>
                <w:bCs/>
                <w:color w:val="000000"/>
                <w:sz w:val="20"/>
                <w:szCs w:val="20"/>
                <w:lang w:val="en-IE" w:eastAsia="en-IE"/>
              </w:rPr>
            </w:pPr>
          </w:p>
        </w:tc>
      </w:tr>
      <w:tr w:rsidR="00851088" w:rsidRPr="003A37FB" w14:paraId="2262CF6D" w14:textId="77777777" w:rsidTr="0056510D">
        <w:trPr>
          <w:trHeight w:val="20"/>
        </w:trPr>
        <w:tc>
          <w:tcPr>
            <w:tcW w:w="2837" w:type="dxa"/>
            <w:tcBorders>
              <w:top w:val="single" w:sz="4" w:space="0" w:color="auto"/>
            </w:tcBorders>
            <w:shd w:val="clear" w:color="auto" w:fill="auto"/>
            <w:noWrap/>
            <w:vAlign w:val="center"/>
            <w:hideMark/>
          </w:tcPr>
          <w:p w14:paraId="23AE7519" w14:textId="77777777" w:rsidR="00851088" w:rsidRPr="003A37FB" w:rsidRDefault="00851088" w:rsidP="00EA0C03">
            <w:pPr>
              <w:spacing w:after="40"/>
              <w:rPr>
                <w:b/>
                <w:bCs/>
                <w:color w:val="000000"/>
                <w:sz w:val="20"/>
                <w:szCs w:val="20"/>
                <w:lang w:val="en-IE" w:eastAsia="en-IE"/>
              </w:rPr>
            </w:pPr>
            <w:r w:rsidRPr="003A37FB">
              <w:rPr>
                <w:b/>
                <w:bCs/>
                <w:color w:val="000000"/>
                <w:sz w:val="20"/>
                <w:szCs w:val="20"/>
                <w:lang w:val="en-IE" w:eastAsia="en-IE"/>
              </w:rPr>
              <w:t>Herd-level study</w:t>
            </w:r>
          </w:p>
        </w:tc>
        <w:tc>
          <w:tcPr>
            <w:tcW w:w="1134" w:type="dxa"/>
            <w:tcBorders>
              <w:top w:val="single" w:sz="4" w:space="0" w:color="auto"/>
            </w:tcBorders>
            <w:shd w:val="clear" w:color="auto" w:fill="auto"/>
            <w:noWrap/>
            <w:hideMark/>
          </w:tcPr>
          <w:p w14:paraId="76CF0CE1" w14:textId="77777777" w:rsidR="00851088" w:rsidRPr="003A37FB" w:rsidRDefault="00851088" w:rsidP="00EA0C03">
            <w:pPr>
              <w:spacing w:after="40"/>
              <w:jc w:val="center"/>
              <w:rPr>
                <w:b/>
                <w:bCs/>
                <w:color w:val="000000"/>
                <w:sz w:val="20"/>
                <w:szCs w:val="20"/>
                <w:lang w:val="en-IE" w:eastAsia="en-IE"/>
              </w:rPr>
            </w:pPr>
          </w:p>
        </w:tc>
        <w:tc>
          <w:tcPr>
            <w:tcW w:w="992" w:type="dxa"/>
            <w:tcBorders>
              <w:top w:val="single" w:sz="4" w:space="0" w:color="auto"/>
            </w:tcBorders>
            <w:shd w:val="clear" w:color="auto" w:fill="auto"/>
            <w:noWrap/>
            <w:hideMark/>
          </w:tcPr>
          <w:p w14:paraId="002E1AEA" w14:textId="77777777" w:rsidR="00851088" w:rsidRPr="003A37FB" w:rsidRDefault="00851088" w:rsidP="00EA0C03">
            <w:pPr>
              <w:spacing w:after="40"/>
              <w:jc w:val="center"/>
              <w:rPr>
                <w:sz w:val="20"/>
                <w:szCs w:val="20"/>
                <w:lang w:val="en-IE" w:eastAsia="en-IE"/>
              </w:rPr>
            </w:pPr>
          </w:p>
        </w:tc>
        <w:tc>
          <w:tcPr>
            <w:tcW w:w="992" w:type="dxa"/>
            <w:tcBorders>
              <w:top w:val="single" w:sz="4" w:space="0" w:color="auto"/>
            </w:tcBorders>
            <w:shd w:val="clear" w:color="auto" w:fill="auto"/>
            <w:noWrap/>
            <w:hideMark/>
          </w:tcPr>
          <w:p w14:paraId="03CB2A33" w14:textId="77777777" w:rsidR="00851088" w:rsidRPr="003A37FB" w:rsidRDefault="00851088" w:rsidP="00EA0C03">
            <w:pPr>
              <w:spacing w:after="40"/>
              <w:jc w:val="center"/>
              <w:rPr>
                <w:sz w:val="20"/>
                <w:szCs w:val="20"/>
                <w:lang w:val="en-IE" w:eastAsia="en-IE"/>
              </w:rPr>
            </w:pPr>
          </w:p>
        </w:tc>
        <w:tc>
          <w:tcPr>
            <w:tcW w:w="993" w:type="dxa"/>
            <w:tcBorders>
              <w:top w:val="single" w:sz="4" w:space="0" w:color="auto"/>
            </w:tcBorders>
          </w:tcPr>
          <w:p w14:paraId="241E99EF" w14:textId="77777777" w:rsidR="00851088" w:rsidRPr="003A37FB" w:rsidRDefault="00851088" w:rsidP="00EA0C03">
            <w:pPr>
              <w:spacing w:after="40"/>
              <w:jc w:val="center"/>
              <w:rPr>
                <w:sz w:val="20"/>
                <w:szCs w:val="20"/>
                <w:lang w:val="en-IE" w:eastAsia="en-IE"/>
              </w:rPr>
            </w:pPr>
          </w:p>
        </w:tc>
        <w:tc>
          <w:tcPr>
            <w:tcW w:w="1134" w:type="dxa"/>
            <w:tcBorders>
              <w:top w:val="single" w:sz="4" w:space="0" w:color="auto"/>
            </w:tcBorders>
            <w:shd w:val="clear" w:color="auto" w:fill="auto"/>
            <w:noWrap/>
            <w:hideMark/>
          </w:tcPr>
          <w:p w14:paraId="45041889" w14:textId="77777777" w:rsidR="00851088" w:rsidRPr="003A37FB" w:rsidRDefault="00851088" w:rsidP="00EA0C03">
            <w:pPr>
              <w:spacing w:after="40"/>
              <w:jc w:val="center"/>
              <w:rPr>
                <w:sz w:val="20"/>
                <w:szCs w:val="20"/>
                <w:lang w:val="en-IE" w:eastAsia="en-IE"/>
              </w:rPr>
            </w:pPr>
          </w:p>
        </w:tc>
        <w:tc>
          <w:tcPr>
            <w:tcW w:w="992" w:type="dxa"/>
            <w:tcBorders>
              <w:top w:val="single" w:sz="4" w:space="0" w:color="auto"/>
            </w:tcBorders>
            <w:shd w:val="clear" w:color="auto" w:fill="auto"/>
            <w:noWrap/>
            <w:hideMark/>
          </w:tcPr>
          <w:p w14:paraId="492E27F5" w14:textId="77777777" w:rsidR="00851088" w:rsidRPr="003A37FB" w:rsidRDefault="00851088" w:rsidP="00EA0C03">
            <w:pPr>
              <w:spacing w:after="40"/>
              <w:jc w:val="center"/>
              <w:rPr>
                <w:sz w:val="20"/>
                <w:szCs w:val="20"/>
                <w:lang w:val="en-IE" w:eastAsia="en-IE"/>
              </w:rPr>
            </w:pPr>
          </w:p>
        </w:tc>
        <w:tc>
          <w:tcPr>
            <w:tcW w:w="992" w:type="dxa"/>
            <w:tcBorders>
              <w:top w:val="single" w:sz="4" w:space="0" w:color="auto"/>
            </w:tcBorders>
            <w:shd w:val="clear" w:color="auto" w:fill="auto"/>
            <w:noWrap/>
            <w:hideMark/>
          </w:tcPr>
          <w:p w14:paraId="0ABFBE9E" w14:textId="77777777" w:rsidR="00851088" w:rsidRPr="003A37FB" w:rsidRDefault="00851088" w:rsidP="00EA0C03">
            <w:pPr>
              <w:spacing w:after="40"/>
              <w:jc w:val="center"/>
              <w:rPr>
                <w:sz w:val="20"/>
                <w:szCs w:val="20"/>
                <w:lang w:val="en-IE" w:eastAsia="en-IE"/>
              </w:rPr>
            </w:pPr>
          </w:p>
        </w:tc>
        <w:tc>
          <w:tcPr>
            <w:tcW w:w="994" w:type="dxa"/>
            <w:tcBorders>
              <w:top w:val="single" w:sz="4" w:space="0" w:color="auto"/>
            </w:tcBorders>
          </w:tcPr>
          <w:p w14:paraId="79007A5A" w14:textId="77777777" w:rsidR="00851088" w:rsidRPr="003A37FB" w:rsidRDefault="00851088" w:rsidP="00EA0C03">
            <w:pPr>
              <w:spacing w:after="40"/>
              <w:jc w:val="center"/>
              <w:rPr>
                <w:sz w:val="20"/>
                <w:szCs w:val="20"/>
                <w:lang w:val="en-IE" w:eastAsia="en-IE"/>
              </w:rPr>
            </w:pPr>
          </w:p>
        </w:tc>
      </w:tr>
      <w:tr w:rsidR="00851088" w:rsidRPr="003A37FB" w14:paraId="5E3D813D" w14:textId="77777777" w:rsidTr="0056510D">
        <w:trPr>
          <w:trHeight w:val="20"/>
        </w:trPr>
        <w:tc>
          <w:tcPr>
            <w:tcW w:w="2837" w:type="dxa"/>
            <w:shd w:val="clear" w:color="auto" w:fill="auto"/>
            <w:noWrap/>
            <w:vAlign w:val="center"/>
            <w:hideMark/>
          </w:tcPr>
          <w:p w14:paraId="43BC3E79"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Dam diarrhoea vaccination pre-calving (no </w:t>
            </w:r>
            <w:r w:rsidRPr="003A37FB">
              <w:rPr>
                <w:i/>
                <w:color w:val="000000"/>
                <w:sz w:val="20"/>
                <w:szCs w:val="20"/>
                <w:lang w:val="en-IE" w:eastAsia="en-IE"/>
              </w:rPr>
              <w:t>vs.</w:t>
            </w:r>
            <w:r w:rsidRPr="003A37FB">
              <w:rPr>
                <w:color w:val="000000"/>
                <w:sz w:val="20"/>
                <w:szCs w:val="20"/>
                <w:lang w:val="en-IE" w:eastAsia="en-IE"/>
              </w:rPr>
              <w:t xml:space="preserve"> yes)</w:t>
            </w:r>
          </w:p>
        </w:tc>
        <w:tc>
          <w:tcPr>
            <w:tcW w:w="1134" w:type="dxa"/>
            <w:shd w:val="clear" w:color="auto" w:fill="auto"/>
            <w:noWrap/>
            <w:hideMark/>
          </w:tcPr>
          <w:p w14:paraId="27B57270" w14:textId="4209F81B"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2" w:type="dxa"/>
            <w:shd w:val="clear" w:color="auto" w:fill="auto"/>
            <w:noWrap/>
            <w:hideMark/>
          </w:tcPr>
          <w:p w14:paraId="76F3FB4A" w14:textId="7AC6AF6D" w:rsidR="00851088" w:rsidRPr="003A37FB" w:rsidRDefault="00851088" w:rsidP="00EA0C03">
            <w:pPr>
              <w:spacing w:after="40"/>
              <w:jc w:val="center"/>
              <w:rPr>
                <w:sz w:val="20"/>
                <w:szCs w:val="20"/>
                <w:lang w:val="en-IE" w:eastAsia="en-IE"/>
              </w:rPr>
            </w:pPr>
            <w:r w:rsidRPr="003A37FB">
              <w:rPr>
                <w:sz w:val="20"/>
                <w:szCs w:val="20"/>
                <w:lang w:val="en-IE" w:eastAsia="en-IE"/>
              </w:rPr>
              <w:t>CC</w:t>
            </w:r>
          </w:p>
        </w:tc>
        <w:tc>
          <w:tcPr>
            <w:tcW w:w="992" w:type="dxa"/>
            <w:shd w:val="clear" w:color="auto" w:fill="auto"/>
            <w:noWrap/>
            <w:hideMark/>
          </w:tcPr>
          <w:p w14:paraId="08FC4677" w14:textId="178CBB50"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w:t>
            </w:r>
          </w:p>
        </w:tc>
        <w:tc>
          <w:tcPr>
            <w:tcW w:w="993" w:type="dxa"/>
          </w:tcPr>
          <w:p w14:paraId="5127EB04" w14:textId="77777777" w:rsidR="00851088" w:rsidRPr="003A37FB" w:rsidRDefault="00851088" w:rsidP="00EA0C03">
            <w:pPr>
              <w:spacing w:after="40"/>
              <w:jc w:val="center"/>
              <w:rPr>
                <w:sz w:val="20"/>
                <w:szCs w:val="20"/>
                <w:lang w:val="en-IE" w:eastAsia="en-IE"/>
              </w:rPr>
            </w:pPr>
            <w:r w:rsidRPr="003A37FB">
              <w:rPr>
                <w:sz w:val="20"/>
                <w:szCs w:val="20"/>
                <w:lang w:val="en-IE" w:eastAsia="en-IE"/>
              </w:rPr>
              <w:t>1.7 to 2.0</w:t>
            </w:r>
          </w:p>
        </w:tc>
        <w:tc>
          <w:tcPr>
            <w:tcW w:w="1134" w:type="dxa"/>
            <w:shd w:val="clear" w:color="auto" w:fill="auto"/>
            <w:noWrap/>
            <w:hideMark/>
          </w:tcPr>
          <w:p w14:paraId="036FE39B" w14:textId="52C21DA0"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767B5B0A" w14:textId="5DEF67CB"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75609580" w14:textId="433E0C92" w:rsidR="00851088" w:rsidRPr="003A37FB" w:rsidRDefault="00D60042" w:rsidP="00EA0C03">
            <w:pPr>
              <w:spacing w:after="40"/>
              <w:jc w:val="center"/>
              <w:rPr>
                <w:sz w:val="20"/>
                <w:szCs w:val="20"/>
                <w:lang w:val="en-IE" w:eastAsia="en-IE"/>
              </w:rPr>
            </w:pPr>
            <w:r>
              <w:rPr>
                <w:sz w:val="20"/>
                <w:szCs w:val="20"/>
                <w:lang w:val="en-IE" w:eastAsia="en-IE"/>
              </w:rPr>
              <w:t>NS</w:t>
            </w:r>
          </w:p>
        </w:tc>
        <w:tc>
          <w:tcPr>
            <w:tcW w:w="994" w:type="dxa"/>
          </w:tcPr>
          <w:p w14:paraId="15544DE8" w14:textId="77777777" w:rsidR="00851088" w:rsidRPr="003A37FB" w:rsidRDefault="00851088" w:rsidP="00EA0C03">
            <w:pPr>
              <w:spacing w:after="40"/>
              <w:jc w:val="center"/>
              <w:rPr>
                <w:sz w:val="20"/>
                <w:szCs w:val="20"/>
                <w:lang w:val="en-IE" w:eastAsia="en-IE"/>
              </w:rPr>
            </w:pPr>
          </w:p>
        </w:tc>
      </w:tr>
      <w:tr w:rsidR="00851088" w:rsidRPr="003A37FB" w14:paraId="723EDAC1" w14:textId="77777777" w:rsidTr="0056510D">
        <w:trPr>
          <w:trHeight w:val="20"/>
        </w:trPr>
        <w:tc>
          <w:tcPr>
            <w:tcW w:w="2837" w:type="dxa"/>
            <w:shd w:val="clear" w:color="auto" w:fill="auto"/>
            <w:noWrap/>
            <w:vAlign w:val="center"/>
            <w:hideMark/>
          </w:tcPr>
          <w:p w14:paraId="7893F7B2"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Dam parity (primiparous </w:t>
            </w:r>
            <w:r w:rsidRPr="003A37FB">
              <w:rPr>
                <w:i/>
                <w:color w:val="000000"/>
                <w:sz w:val="20"/>
                <w:szCs w:val="20"/>
                <w:lang w:val="en-IE" w:eastAsia="en-IE"/>
              </w:rPr>
              <w:t>vs.</w:t>
            </w:r>
            <w:r w:rsidRPr="003A37FB">
              <w:rPr>
                <w:color w:val="000000"/>
                <w:sz w:val="20"/>
                <w:szCs w:val="20"/>
                <w:lang w:val="en-IE" w:eastAsia="en-IE"/>
              </w:rPr>
              <w:t xml:space="preserve"> multiparous)</w:t>
            </w:r>
          </w:p>
        </w:tc>
        <w:tc>
          <w:tcPr>
            <w:tcW w:w="1134" w:type="dxa"/>
            <w:shd w:val="clear" w:color="auto" w:fill="auto"/>
            <w:noWrap/>
            <w:hideMark/>
          </w:tcPr>
          <w:p w14:paraId="5F924F23" w14:textId="08C2ED38"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0AF2EC14" w14:textId="2FE2FE5C"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24576022" w14:textId="16A498CF" w:rsidR="00851088" w:rsidRPr="003A37FB" w:rsidRDefault="00D60042" w:rsidP="00EA0C03">
            <w:pPr>
              <w:spacing w:after="40"/>
              <w:jc w:val="center"/>
              <w:rPr>
                <w:sz w:val="20"/>
                <w:szCs w:val="20"/>
                <w:lang w:val="en-IE" w:eastAsia="en-IE"/>
              </w:rPr>
            </w:pPr>
            <w:r>
              <w:rPr>
                <w:sz w:val="20"/>
                <w:szCs w:val="20"/>
                <w:lang w:val="en-IE" w:eastAsia="en-IE"/>
              </w:rPr>
              <w:t>NS</w:t>
            </w:r>
          </w:p>
        </w:tc>
        <w:tc>
          <w:tcPr>
            <w:tcW w:w="993" w:type="dxa"/>
          </w:tcPr>
          <w:p w14:paraId="470FB9EA" w14:textId="1DAA4973" w:rsidR="00851088" w:rsidRPr="003A37FB" w:rsidRDefault="00851088" w:rsidP="00EA0C03">
            <w:pPr>
              <w:spacing w:after="40"/>
              <w:jc w:val="center"/>
              <w:rPr>
                <w:sz w:val="20"/>
                <w:szCs w:val="20"/>
                <w:lang w:val="en-IE" w:eastAsia="en-IE"/>
              </w:rPr>
            </w:pPr>
          </w:p>
        </w:tc>
        <w:tc>
          <w:tcPr>
            <w:tcW w:w="1134" w:type="dxa"/>
            <w:shd w:val="clear" w:color="auto" w:fill="auto"/>
            <w:noWrap/>
            <w:hideMark/>
          </w:tcPr>
          <w:p w14:paraId="415C1D60" w14:textId="2F217C9A"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05DFBDC7" w14:textId="07F4E9B8"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w:t>
            </w:r>
          </w:p>
        </w:tc>
        <w:tc>
          <w:tcPr>
            <w:tcW w:w="992" w:type="dxa"/>
            <w:shd w:val="clear" w:color="auto" w:fill="auto"/>
            <w:noWrap/>
            <w:hideMark/>
          </w:tcPr>
          <w:p w14:paraId="73801CDC" w14:textId="5A48F0A1"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w:t>
            </w:r>
          </w:p>
        </w:tc>
        <w:tc>
          <w:tcPr>
            <w:tcW w:w="994" w:type="dxa"/>
          </w:tcPr>
          <w:p w14:paraId="14E00C26" w14:textId="77777777" w:rsidR="00851088" w:rsidRPr="003A37FB" w:rsidRDefault="00851088" w:rsidP="00EA0C03">
            <w:pPr>
              <w:spacing w:after="40"/>
              <w:jc w:val="center"/>
              <w:rPr>
                <w:sz w:val="20"/>
                <w:szCs w:val="20"/>
                <w:lang w:val="en-IE" w:eastAsia="en-IE"/>
              </w:rPr>
            </w:pPr>
            <w:r w:rsidRPr="003A37FB">
              <w:rPr>
                <w:sz w:val="20"/>
                <w:szCs w:val="20"/>
                <w:lang w:val="en-IE" w:eastAsia="en-IE"/>
              </w:rPr>
              <w:t>1.7 to 1.9</w:t>
            </w:r>
          </w:p>
        </w:tc>
      </w:tr>
      <w:tr w:rsidR="00851088" w:rsidRPr="003A37FB" w14:paraId="0EF4A856" w14:textId="77777777" w:rsidTr="0056510D">
        <w:trPr>
          <w:trHeight w:val="20"/>
        </w:trPr>
        <w:tc>
          <w:tcPr>
            <w:tcW w:w="2837" w:type="dxa"/>
            <w:shd w:val="clear" w:color="auto" w:fill="auto"/>
            <w:noWrap/>
            <w:vAlign w:val="center"/>
            <w:hideMark/>
          </w:tcPr>
          <w:p w14:paraId="705B0CDB"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Calf sex (male </w:t>
            </w:r>
            <w:r w:rsidRPr="003A37FB">
              <w:rPr>
                <w:i/>
                <w:color w:val="000000"/>
                <w:sz w:val="20"/>
                <w:szCs w:val="20"/>
                <w:lang w:val="en-IE" w:eastAsia="en-IE"/>
              </w:rPr>
              <w:t>vs.</w:t>
            </w:r>
            <w:r w:rsidRPr="003A37FB">
              <w:rPr>
                <w:color w:val="000000"/>
                <w:sz w:val="20"/>
                <w:szCs w:val="20"/>
                <w:lang w:val="en-IE" w:eastAsia="en-IE"/>
              </w:rPr>
              <w:t xml:space="preserve"> female)</w:t>
            </w:r>
          </w:p>
        </w:tc>
        <w:tc>
          <w:tcPr>
            <w:tcW w:w="1134" w:type="dxa"/>
            <w:shd w:val="clear" w:color="auto" w:fill="auto"/>
            <w:noWrap/>
            <w:hideMark/>
          </w:tcPr>
          <w:p w14:paraId="70091961" w14:textId="61BA6C17"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281F86C4" w14:textId="4CC19391"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5C81CFAA" w14:textId="75B84B44" w:rsidR="00851088" w:rsidRPr="003A37FB" w:rsidRDefault="00D60042" w:rsidP="00EA0C03">
            <w:pPr>
              <w:spacing w:after="40"/>
              <w:jc w:val="center"/>
              <w:rPr>
                <w:sz w:val="20"/>
                <w:szCs w:val="20"/>
                <w:lang w:val="en-IE" w:eastAsia="en-IE"/>
              </w:rPr>
            </w:pPr>
            <w:r>
              <w:rPr>
                <w:sz w:val="20"/>
                <w:szCs w:val="20"/>
                <w:lang w:val="en-IE" w:eastAsia="en-IE"/>
              </w:rPr>
              <w:t>NS</w:t>
            </w:r>
          </w:p>
        </w:tc>
        <w:tc>
          <w:tcPr>
            <w:tcW w:w="993" w:type="dxa"/>
          </w:tcPr>
          <w:p w14:paraId="7B088B04" w14:textId="77777777" w:rsidR="00851088" w:rsidRPr="003A37FB" w:rsidRDefault="00851088" w:rsidP="00EA0C03">
            <w:pPr>
              <w:spacing w:after="40"/>
              <w:jc w:val="center"/>
              <w:rPr>
                <w:sz w:val="20"/>
                <w:szCs w:val="20"/>
                <w:lang w:val="en-IE" w:eastAsia="en-IE"/>
              </w:rPr>
            </w:pPr>
          </w:p>
        </w:tc>
        <w:tc>
          <w:tcPr>
            <w:tcW w:w="1134" w:type="dxa"/>
            <w:shd w:val="clear" w:color="auto" w:fill="auto"/>
            <w:noWrap/>
            <w:hideMark/>
          </w:tcPr>
          <w:p w14:paraId="11CA05A0" w14:textId="3344D399" w:rsidR="00851088" w:rsidRPr="003A37FB" w:rsidRDefault="003713AD" w:rsidP="00EA0C03">
            <w:pPr>
              <w:spacing w:after="40"/>
              <w:jc w:val="center"/>
              <w:rPr>
                <w:sz w:val="20"/>
                <w:szCs w:val="20"/>
                <w:lang w:val="en-IE" w:eastAsia="en-IE"/>
              </w:rPr>
            </w:pPr>
            <w:r>
              <w:rPr>
                <w:sz w:val="20"/>
                <w:szCs w:val="20"/>
                <w:lang w:val="en-IE" w:eastAsia="en-IE"/>
              </w:rPr>
              <w:t>CC, LC</w:t>
            </w:r>
          </w:p>
        </w:tc>
        <w:tc>
          <w:tcPr>
            <w:tcW w:w="992" w:type="dxa"/>
            <w:shd w:val="clear" w:color="auto" w:fill="auto"/>
            <w:noWrap/>
            <w:hideMark/>
          </w:tcPr>
          <w:p w14:paraId="0E4697A1" w14:textId="45D5B39D"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2" w:type="dxa"/>
            <w:shd w:val="clear" w:color="auto" w:fill="auto"/>
            <w:noWrap/>
            <w:hideMark/>
          </w:tcPr>
          <w:p w14:paraId="4533C06C" w14:textId="713BE4B9" w:rsidR="00851088" w:rsidRPr="003A37FB" w:rsidRDefault="00D60042" w:rsidP="00EA0C03">
            <w:pPr>
              <w:spacing w:after="40"/>
              <w:jc w:val="center"/>
              <w:rPr>
                <w:sz w:val="20"/>
                <w:szCs w:val="20"/>
                <w:lang w:val="en-IE" w:eastAsia="en-IE"/>
              </w:rPr>
            </w:pPr>
            <w:r>
              <w:rPr>
                <w:sz w:val="20"/>
                <w:szCs w:val="20"/>
                <w:lang w:val="en-IE" w:eastAsia="en-IE"/>
              </w:rPr>
              <w:t>NS</w:t>
            </w:r>
          </w:p>
        </w:tc>
        <w:tc>
          <w:tcPr>
            <w:tcW w:w="994" w:type="dxa"/>
          </w:tcPr>
          <w:p w14:paraId="6D69CD44" w14:textId="40EA9FC6" w:rsidR="00851088" w:rsidRPr="003A37FB" w:rsidRDefault="00851088" w:rsidP="003713AD">
            <w:pPr>
              <w:spacing w:after="40"/>
              <w:jc w:val="center"/>
              <w:rPr>
                <w:sz w:val="20"/>
                <w:szCs w:val="20"/>
                <w:lang w:val="en-IE" w:eastAsia="en-IE"/>
              </w:rPr>
            </w:pPr>
            <w:r w:rsidRPr="003A37FB">
              <w:rPr>
                <w:sz w:val="20"/>
                <w:szCs w:val="20"/>
                <w:lang w:val="en-IE" w:eastAsia="en-IE"/>
              </w:rPr>
              <w:t>1.</w:t>
            </w:r>
            <w:r w:rsidR="003713AD">
              <w:rPr>
                <w:sz w:val="20"/>
                <w:szCs w:val="20"/>
                <w:lang w:val="en-IE" w:eastAsia="en-IE"/>
              </w:rPr>
              <w:t>5</w:t>
            </w:r>
            <w:r w:rsidRPr="003A37FB">
              <w:rPr>
                <w:sz w:val="20"/>
                <w:szCs w:val="20"/>
                <w:lang w:val="en-IE" w:eastAsia="en-IE"/>
              </w:rPr>
              <w:t xml:space="preserve"> to 2.</w:t>
            </w:r>
            <w:r w:rsidR="003713AD">
              <w:rPr>
                <w:sz w:val="20"/>
                <w:szCs w:val="20"/>
                <w:lang w:val="en-IE" w:eastAsia="en-IE"/>
              </w:rPr>
              <w:t>4</w:t>
            </w:r>
          </w:p>
        </w:tc>
      </w:tr>
      <w:tr w:rsidR="00851088" w:rsidRPr="003A37FB" w14:paraId="5E271E40" w14:textId="77777777" w:rsidTr="0056510D">
        <w:trPr>
          <w:trHeight w:val="20"/>
        </w:trPr>
        <w:tc>
          <w:tcPr>
            <w:tcW w:w="2837" w:type="dxa"/>
            <w:shd w:val="clear" w:color="auto" w:fill="auto"/>
            <w:noWrap/>
            <w:vAlign w:val="center"/>
            <w:hideMark/>
          </w:tcPr>
          <w:p w14:paraId="5AEA9DD1" w14:textId="2609FF82" w:rsidR="00851088" w:rsidRPr="003A37FB" w:rsidRDefault="00851088" w:rsidP="00EA0C03">
            <w:pPr>
              <w:spacing w:after="40"/>
              <w:ind w:left="90"/>
              <w:rPr>
                <w:color w:val="000000"/>
                <w:sz w:val="20"/>
                <w:szCs w:val="20"/>
                <w:lang w:val="en-IE" w:eastAsia="en-IE"/>
              </w:rPr>
            </w:pPr>
            <w:r>
              <w:rPr>
                <w:color w:val="000000"/>
                <w:sz w:val="20"/>
                <w:szCs w:val="20"/>
                <w:lang w:val="en-IE" w:eastAsia="en-IE"/>
              </w:rPr>
              <w:t>Length of dry period (≤</w:t>
            </w:r>
            <w:r w:rsidR="00D42FA7">
              <w:rPr>
                <w:color w:val="000000"/>
                <w:sz w:val="20"/>
                <w:szCs w:val="20"/>
                <w:lang w:val="en-IE" w:eastAsia="en-IE"/>
              </w:rPr>
              <w:t xml:space="preserve"> </w:t>
            </w:r>
            <w:r w:rsidRPr="003A37FB">
              <w:rPr>
                <w:color w:val="000000"/>
                <w:sz w:val="20"/>
                <w:szCs w:val="20"/>
                <w:lang w:val="en-IE" w:eastAsia="en-IE"/>
              </w:rPr>
              <w:t xml:space="preserve">8 </w:t>
            </w:r>
            <w:r w:rsidRPr="003A37FB">
              <w:rPr>
                <w:i/>
                <w:color w:val="000000"/>
                <w:sz w:val="20"/>
                <w:szCs w:val="20"/>
                <w:lang w:val="en-IE" w:eastAsia="en-IE"/>
              </w:rPr>
              <w:t>vs.</w:t>
            </w:r>
            <w:r>
              <w:rPr>
                <w:color w:val="000000"/>
                <w:sz w:val="20"/>
                <w:szCs w:val="20"/>
                <w:lang w:val="en-IE" w:eastAsia="en-IE"/>
              </w:rPr>
              <w:t xml:space="preserve"> &gt;</w:t>
            </w:r>
            <w:r w:rsidR="00511CBE">
              <w:rPr>
                <w:color w:val="000000"/>
                <w:sz w:val="20"/>
                <w:szCs w:val="20"/>
                <w:lang w:val="en-IE" w:eastAsia="en-IE"/>
              </w:rPr>
              <w:t xml:space="preserve"> </w:t>
            </w:r>
            <w:r w:rsidRPr="003A37FB">
              <w:rPr>
                <w:color w:val="000000"/>
                <w:sz w:val="20"/>
                <w:szCs w:val="20"/>
                <w:lang w:val="en-IE" w:eastAsia="en-IE"/>
              </w:rPr>
              <w:t xml:space="preserve">8 weeks) </w:t>
            </w:r>
          </w:p>
        </w:tc>
        <w:tc>
          <w:tcPr>
            <w:tcW w:w="1134" w:type="dxa"/>
            <w:shd w:val="clear" w:color="auto" w:fill="auto"/>
            <w:noWrap/>
            <w:hideMark/>
          </w:tcPr>
          <w:p w14:paraId="75B54C11" w14:textId="2F2D11F9"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47340CA8" w14:textId="6946E0C7"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32D652D6" w14:textId="6CB2B3EA" w:rsidR="00851088" w:rsidRPr="003A37FB" w:rsidRDefault="00D60042" w:rsidP="00EA0C03">
            <w:pPr>
              <w:spacing w:after="40"/>
              <w:jc w:val="center"/>
              <w:rPr>
                <w:sz w:val="20"/>
                <w:szCs w:val="20"/>
                <w:lang w:val="en-IE" w:eastAsia="en-IE"/>
              </w:rPr>
            </w:pPr>
            <w:r>
              <w:rPr>
                <w:sz w:val="20"/>
                <w:szCs w:val="20"/>
                <w:lang w:val="en-IE" w:eastAsia="en-IE"/>
              </w:rPr>
              <w:t>NS</w:t>
            </w:r>
          </w:p>
        </w:tc>
        <w:tc>
          <w:tcPr>
            <w:tcW w:w="993" w:type="dxa"/>
          </w:tcPr>
          <w:p w14:paraId="6334B25C" w14:textId="77777777" w:rsidR="00851088" w:rsidRPr="003A37FB" w:rsidRDefault="00851088" w:rsidP="00EA0C03">
            <w:pPr>
              <w:spacing w:after="40"/>
              <w:jc w:val="center"/>
              <w:rPr>
                <w:sz w:val="20"/>
                <w:szCs w:val="20"/>
                <w:lang w:val="en-IE" w:eastAsia="en-IE"/>
              </w:rPr>
            </w:pPr>
          </w:p>
        </w:tc>
        <w:tc>
          <w:tcPr>
            <w:tcW w:w="1134" w:type="dxa"/>
            <w:shd w:val="clear" w:color="auto" w:fill="auto"/>
            <w:noWrap/>
            <w:hideMark/>
          </w:tcPr>
          <w:p w14:paraId="77AB4C5C" w14:textId="77777777" w:rsidR="00851088" w:rsidRPr="003A37FB" w:rsidRDefault="00851088" w:rsidP="00EA0C03">
            <w:pPr>
              <w:spacing w:after="40"/>
              <w:jc w:val="center"/>
              <w:rPr>
                <w:sz w:val="20"/>
                <w:szCs w:val="20"/>
                <w:lang w:val="en-IE" w:eastAsia="en-IE"/>
              </w:rPr>
            </w:pPr>
            <w:r w:rsidRPr="003A37FB">
              <w:rPr>
                <w:sz w:val="20"/>
                <w:szCs w:val="20"/>
                <w:lang w:val="en-IE" w:eastAsia="en-IE"/>
              </w:rPr>
              <w:t>CC, LC</w:t>
            </w:r>
          </w:p>
        </w:tc>
        <w:tc>
          <w:tcPr>
            <w:tcW w:w="992" w:type="dxa"/>
            <w:shd w:val="clear" w:color="auto" w:fill="auto"/>
            <w:noWrap/>
            <w:hideMark/>
          </w:tcPr>
          <w:p w14:paraId="019D5691" w14:textId="77777777" w:rsidR="00851088" w:rsidRPr="003A37FB" w:rsidRDefault="00851088" w:rsidP="00EA0C03">
            <w:pPr>
              <w:spacing w:after="40"/>
              <w:jc w:val="center"/>
              <w:rPr>
                <w:sz w:val="20"/>
                <w:szCs w:val="20"/>
                <w:lang w:val="en-IE" w:eastAsia="en-IE"/>
              </w:rPr>
            </w:pPr>
            <w:r w:rsidRPr="003A37FB">
              <w:rPr>
                <w:sz w:val="20"/>
                <w:szCs w:val="20"/>
                <w:lang w:val="en-IE" w:eastAsia="en-IE"/>
              </w:rPr>
              <w:t>CC, LC</w:t>
            </w:r>
          </w:p>
        </w:tc>
        <w:tc>
          <w:tcPr>
            <w:tcW w:w="992" w:type="dxa"/>
            <w:shd w:val="clear" w:color="auto" w:fill="auto"/>
            <w:noWrap/>
            <w:hideMark/>
          </w:tcPr>
          <w:p w14:paraId="0C0EB6F2" w14:textId="77777777" w:rsidR="00851088" w:rsidRPr="003A37FB" w:rsidRDefault="00851088" w:rsidP="00EA0C03">
            <w:pPr>
              <w:spacing w:after="40"/>
              <w:jc w:val="center"/>
              <w:rPr>
                <w:sz w:val="20"/>
                <w:szCs w:val="20"/>
                <w:lang w:val="en-IE" w:eastAsia="en-IE"/>
              </w:rPr>
            </w:pPr>
            <w:r w:rsidRPr="003A37FB">
              <w:rPr>
                <w:sz w:val="20"/>
                <w:szCs w:val="20"/>
                <w:lang w:val="en-IE" w:eastAsia="en-IE"/>
              </w:rPr>
              <w:t>CC</w:t>
            </w:r>
          </w:p>
        </w:tc>
        <w:tc>
          <w:tcPr>
            <w:tcW w:w="994" w:type="dxa"/>
          </w:tcPr>
          <w:p w14:paraId="2B8D1338" w14:textId="04004660" w:rsidR="00851088" w:rsidRPr="003A37FB" w:rsidRDefault="00851088" w:rsidP="00EA0C03">
            <w:pPr>
              <w:spacing w:after="40"/>
              <w:jc w:val="center"/>
              <w:rPr>
                <w:sz w:val="20"/>
                <w:szCs w:val="20"/>
                <w:lang w:val="en-IE" w:eastAsia="en-IE"/>
              </w:rPr>
            </w:pPr>
            <w:r w:rsidRPr="003A37FB">
              <w:rPr>
                <w:sz w:val="20"/>
                <w:szCs w:val="20"/>
                <w:lang w:val="en-IE" w:eastAsia="en-IE"/>
              </w:rPr>
              <w:t>1.7 to 2.</w:t>
            </w:r>
            <w:r w:rsidR="00DA3A27">
              <w:rPr>
                <w:sz w:val="20"/>
                <w:szCs w:val="20"/>
                <w:lang w:val="en-IE" w:eastAsia="en-IE"/>
              </w:rPr>
              <w:t>1</w:t>
            </w:r>
          </w:p>
        </w:tc>
      </w:tr>
      <w:tr w:rsidR="00851088" w:rsidRPr="003A37FB" w14:paraId="5241AA3E" w14:textId="77777777" w:rsidTr="0056510D">
        <w:trPr>
          <w:trHeight w:val="20"/>
        </w:trPr>
        <w:tc>
          <w:tcPr>
            <w:tcW w:w="2837" w:type="dxa"/>
            <w:shd w:val="clear" w:color="auto" w:fill="auto"/>
            <w:noWrap/>
            <w:vAlign w:val="center"/>
            <w:hideMark/>
          </w:tcPr>
          <w:p w14:paraId="505384FB" w14:textId="77777777" w:rsidR="00851088" w:rsidRPr="003A37FB" w:rsidRDefault="00851088" w:rsidP="00851088">
            <w:pPr>
              <w:spacing w:before="120" w:after="40"/>
              <w:rPr>
                <w:b/>
                <w:bCs/>
                <w:color w:val="000000"/>
                <w:sz w:val="20"/>
                <w:szCs w:val="20"/>
                <w:lang w:val="en-IE" w:eastAsia="en-IE"/>
              </w:rPr>
            </w:pPr>
            <w:r w:rsidRPr="003A37FB">
              <w:rPr>
                <w:b/>
                <w:bCs/>
                <w:color w:val="000000"/>
                <w:sz w:val="20"/>
                <w:szCs w:val="20"/>
                <w:lang w:val="en-IE" w:eastAsia="en-IE"/>
              </w:rPr>
              <w:t>Calf-level study</w:t>
            </w:r>
          </w:p>
        </w:tc>
        <w:tc>
          <w:tcPr>
            <w:tcW w:w="1134" w:type="dxa"/>
            <w:shd w:val="clear" w:color="auto" w:fill="auto"/>
            <w:noWrap/>
            <w:hideMark/>
          </w:tcPr>
          <w:p w14:paraId="2F217750" w14:textId="77777777" w:rsidR="00851088" w:rsidRPr="003A37FB" w:rsidRDefault="00851088" w:rsidP="00851088">
            <w:pPr>
              <w:spacing w:before="120" w:after="40"/>
              <w:jc w:val="center"/>
              <w:rPr>
                <w:b/>
                <w:bCs/>
                <w:sz w:val="20"/>
                <w:szCs w:val="20"/>
                <w:lang w:val="en-IE" w:eastAsia="en-IE"/>
              </w:rPr>
            </w:pPr>
          </w:p>
        </w:tc>
        <w:tc>
          <w:tcPr>
            <w:tcW w:w="992" w:type="dxa"/>
            <w:shd w:val="clear" w:color="auto" w:fill="auto"/>
            <w:noWrap/>
            <w:hideMark/>
          </w:tcPr>
          <w:p w14:paraId="31EB01A5" w14:textId="77777777" w:rsidR="00851088" w:rsidRPr="003A37FB" w:rsidRDefault="00851088" w:rsidP="00851088">
            <w:pPr>
              <w:spacing w:before="120" w:after="40"/>
              <w:jc w:val="center"/>
              <w:rPr>
                <w:sz w:val="20"/>
                <w:szCs w:val="20"/>
                <w:lang w:val="en-IE" w:eastAsia="en-IE"/>
              </w:rPr>
            </w:pPr>
          </w:p>
        </w:tc>
        <w:tc>
          <w:tcPr>
            <w:tcW w:w="992" w:type="dxa"/>
            <w:shd w:val="clear" w:color="auto" w:fill="auto"/>
            <w:noWrap/>
            <w:hideMark/>
          </w:tcPr>
          <w:p w14:paraId="1FAAD8A8" w14:textId="77777777" w:rsidR="00851088" w:rsidRPr="003A37FB" w:rsidRDefault="00851088" w:rsidP="00851088">
            <w:pPr>
              <w:spacing w:before="120" w:after="40"/>
              <w:jc w:val="center"/>
              <w:rPr>
                <w:sz w:val="20"/>
                <w:szCs w:val="20"/>
                <w:lang w:val="en-IE" w:eastAsia="en-IE"/>
              </w:rPr>
            </w:pPr>
          </w:p>
        </w:tc>
        <w:tc>
          <w:tcPr>
            <w:tcW w:w="993" w:type="dxa"/>
          </w:tcPr>
          <w:p w14:paraId="784663F8" w14:textId="77777777" w:rsidR="00851088" w:rsidRPr="003A37FB" w:rsidRDefault="00851088" w:rsidP="00851088">
            <w:pPr>
              <w:spacing w:before="120" w:after="40"/>
              <w:jc w:val="center"/>
              <w:rPr>
                <w:sz w:val="20"/>
                <w:szCs w:val="20"/>
                <w:lang w:val="en-IE" w:eastAsia="en-IE"/>
              </w:rPr>
            </w:pPr>
          </w:p>
        </w:tc>
        <w:tc>
          <w:tcPr>
            <w:tcW w:w="1134" w:type="dxa"/>
            <w:shd w:val="clear" w:color="auto" w:fill="auto"/>
            <w:noWrap/>
            <w:hideMark/>
          </w:tcPr>
          <w:p w14:paraId="3F76111D" w14:textId="77777777" w:rsidR="00851088" w:rsidRPr="003A37FB" w:rsidRDefault="00851088" w:rsidP="00851088">
            <w:pPr>
              <w:spacing w:before="120" w:after="40"/>
              <w:jc w:val="center"/>
              <w:rPr>
                <w:sz w:val="20"/>
                <w:szCs w:val="20"/>
                <w:lang w:val="en-IE" w:eastAsia="en-IE"/>
              </w:rPr>
            </w:pPr>
          </w:p>
        </w:tc>
        <w:tc>
          <w:tcPr>
            <w:tcW w:w="992" w:type="dxa"/>
            <w:shd w:val="clear" w:color="auto" w:fill="auto"/>
            <w:noWrap/>
            <w:hideMark/>
          </w:tcPr>
          <w:p w14:paraId="2F7B4E4B" w14:textId="77777777" w:rsidR="00851088" w:rsidRPr="003A37FB" w:rsidRDefault="00851088" w:rsidP="00851088">
            <w:pPr>
              <w:spacing w:before="120" w:after="40"/>
              <w:jc w:val="center"/>
              <w:rPr>
                <w:sz w:val="20"/>
                <w:szCs w:val="20"/>
                <w:lang w:val="en-IE" w:eastAsia="en-IE"/>
              </w:rPr>
            </w:pPr>
          </w:p>
        </w:tc>
        <w:tc>
          <w:tcPr>
            <w:tcW w:w="992" w:type="dxa"/>
            <w:shd w:val="clear" w:color="auto" w:fill="auto"/>
            <w:noWrap/>
            <w:hideMark/>
          </w:tcPr>
          <w:p w14:paraId="28775509" w14:textId="77777777" w:rsidR="00851088" w:rsidRPr="003A37FB" w:rsidRDefault="00851088" w:rsidP="00851088">
            <w:pPr>
              <w:spacing w:before="120" w:after="40"/>
              <w:jc w:val="center"/>
              <w:rPr>
                <w:sz w:val="20"/>
                <w:szCs w:val="20"/>
                <w:lang w:val="en-IE" w:eastAsia="en-IE"/>
              </w:rPr>
            </w:pPr>
          </w:p>
        </w:tc>
        <w:tc>
          <w:tcPr>
            <w:tcW w:w="994" w:type="dxa"/>
          </w:tcPr>
          <w:p w14:paraId="0506002E" w14:textId="77777777" w:rsidR="00851088" w:rsidRPr="003A37FB" w:rsidRDefault="00851088" w:rsidP="00851088">
            <w:pPr>
              <w:spacing w:before="120" w:after="40"/>
              <w:jc w:val="center"/>
              <w:rPr>
                <w:sz w:val="20"/>
                <w:szCs w:val="20"/>
                <w:lang w:val="en-IE" w:eastAsia="en-IE"/>
              </w:rPr>
            </w:pPr>
          </w:p>
        </w:tc>
      </w:tr>
      <w:tr w:rsidR="00851088" w:rsidRPr="003A37FB" w14:paraId="776FB168" w14:textId="77777777" w:rsidTr="0056510D">
        <w:trPr>
          <w:trHeight w:val="20"/>
        </w:trPr>
        <w:tc>
          <w:tcPr>
            <w:tcW w:w="2837" w:type="dxa"/>
            <w:shd w:val="clear" w:color="auto" w:fill="auto"/>
            <w:noWrap/>
            <w:vAlign w:val="center"/>
            <w:hideMark/>
          </w:tcPr>
          <w:p w14:paraId="3C2CFBF1"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Time of birth relative to calving season (peak </w:t>
            </w:r>
            <w:r w:rsidRPr="003A37FB">
              <w:rPr>
                <w:i/>
                <w:color w:val="000000"/>
                <w:sz w:val="20"/>
                <w:szCs w:val="20"/>
                <w:lang w:val="en-IE" w:eastAsia="en-IE"/>
              </w:rPr>
              <w:t>vs.</w:t>
            </w:r>
            <w:r w:rsidRPr="003A37FB">
              <w:rPr>
                <w:color w:val="000000"/>
                <w:sz w:val="20"/>
                <w:szCs w:val="20"/>
                <w:lang w:val="en-IE" w:eastAsia="en-IE"/>
              </w:rPr>
              <w:t xml:space="preserve"> early)</w:t>
            </w:r>
          </w:p>
        </w:tc>
        <w:tc>
          <w:tcPr>
            <w:tcW w:w="1134" w:type="dxa"/>
            <w:shd w:val="clear" w:color="auto" w:fill="auto"/>
            <w:noWrap/>
            <w:hideMark/>
          </w:tcPr>
          <w:p w14:paraId="24CA2A37" w14:textId="303E1A76"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2" w:type="dxa"/>
            <w:shd w:val="clear" w:color="auto" w:fill="auto"/>
            <w:noWrap/>
            <w:hideMark/>
          </w:tcPr>
          <w:p w14:paraId="7AC23567" w14:textId="2F9C2926"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07879DD1" w14:textId="738AC570" w:rsidR="00851088" w:rsidRPr="003A37FB" w:rsidRDefault="00D60042" w:rsidP="00EA0C03">
            <w:pPr>
              <w:spacing w:after="40"/>
              <w:jc w:val="center"/>
              <w:rPr>
                <w:sz w:val="20"/>
                <w:szCs w:val="20"/>
                <w:lang w:val="en-IE" w:eastAsia="en-IE"/>
              </w:rPr>
            </w:pPr>
            <w:r>
              <w:rPr>
                <w:sz w:val="20"/>
                <w:szCs w:val="20"/>
                <w:lang w:val="en-IE" w:eastAsia="en-IE"/>
              </w:rPr>
              <w:t>NS</w:t>
            </w:r>
          </w:p>
        </w:tc>
        <w:tc>
          <w:tcPr>
            <w:tcW w:w="993" w:type="dxa"/>
          </w:tcPr>
          <w:p w14:paraId="78BE15E4" w14:textId="77777777" w:rsidR="00851088" w:rsidRPr="003A37FB" w:rsidRDefault="00851088" w:rsidP="00EA0C03">
            <w:pPr>
              <w:spacing w:after="40"/>
              <w:jc w:val="center"/>
              <w:rPr>
                <w:sz w:val="20"/>
                <w:szCs w:val="20"/>
                <w:lang w:val="en-IE" w:eastAsia="en-IE"/>
              </w:rPr>
            </w:pPr>
            <w:r w:rsidRPr="003A37FB">
              <w:rPr>
                <w:sz w:val="20"/>
                <w:szCs w:val="20"/>
                <w:lang w:val="en-IE" w:eastAsia="en-IE"/>
              </w:rPr>
              <w:t>2.5 to 3.8</w:t>
            </w:r>
          </w:p>
        </w:tc>
        <w:tc>
          <w:tcPr>
            <w:tcW w:w="1134" w:type="dxa"/>
            <w:shd w:val="clear" w:color="auto" w:fill="auto"/>
            <w:noWrap/>
            <w:hideMark/>
          </w:tcPr>
          <w:p w14:paraId="2F5ACA29" w14:textId="3F812946"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490A43F6" w14:textId="7E325AC8" w:rsidR="00851088" w:rsidRPr="003A37FB" w:rsidRDefault="00D60042" w:rsidP="00D60042">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29DE0FA2" w14:textId="442CB94E" w:rsidR="00851088" w:rsidRPr="003A37FB" w:rsidRDefault="00D60042" w:rsidP="00EA0C03">
            <w:pPr>
              <w:spacing w:after="40"/>
              <w:jc w:val="center"/>
              <w:rPr>
                <w:sz w:val="20"/>
                <w:szCs w:val="20"/>
                <w:lang w:val="en-IE" w:eastAsia="en-IE"/>
              </w:rPr>
            </w:pPr>
            <w:r>
              <w:rPr>
                <w:sz w:val="20"/>
                <w:szCs w:val="20"/>
                <w:lang w:val="en-IE" w:eastAsia="en-IE"/>
              </w:rPr>
              <w:t>NS</w:t>
            </w:r>
          </w:p>
        </w:tc>
        <w:tc>
          <w:tcPr>
            <w:tcW w:w="994" w:type="dxa"/>
          </w:tcPr>
          <w:p w14:paraId="470A7678" w14:textId="77777777" w:rsidR="00851088" w:rsidRPr="003A37FB" w:rsidRDefault="00851088" w:rsidP="00EA0C03">
            <w:pPr>
              <w:spacing w:after="40"/>
              <w:jc w:val="center"/>
              <w:rPr>
                <w:sz w:val="20"/>
                <w:szCs w:val="20"/>
                <w:lang w:val="en-IE" w:eastAsia="en-IE"/>
              </w:rPr>
            </w:pPr>
          </w:p>
        </w:tc>
      </w:tr>
      <w:tr w:rsidR="00143060" w:rsidRPr="003A37FB" w14:paraId="59A9713D" w14:textId="77777777" w:rsidTr="0056510D">
        <w:trPr>
          <w:trHeight w:val="20"/>
        </w:trPr>
        <w:tc>
          <w:tcPr>
            <w:tcW w:w="2837" w:type="dxa"/>
            <w:shd w:val="clear" w:color="auto" w:fill="auto"/>
            <w:noWrap/>
            <w:vAlign w:val="center"/>
            <w:hideMark/>
          </w:tcPr>
          <w:p w14:paraId="2058F368" w14:textId="77777777" w:rsidR="00143060" w:rsidRPr="003A37FB" w:rsidRDefault="00143060" w:rsidP="00EA0C03">
            <w:pPr>
              <w:spacing w:after="40"/>
              <w:ind w:left="90"/>
              <w:rPr>
                <w:color w:val="000000"/>
                <w:sz w:val="20"/>
                <w:szCs w:val="20"/>
                <w:lang w:val="en-IE" w:eastAsia="en-IE"/>
              </w:rPr>
            </w:pPr>
            <w:r w:rsidRPr="003A37FB">
              <w:rPr>
                <w:color w:val="000000"/>
                <w:sz w:val="20"/>
                <w:szCs w:val="20"/>
                <w:lang w:val="en-IE" w:eastAsia="en-IE"/>
              </w:rPr>
              <w:t>Tim</w:t>
            </w:r>
            <w:r>
              <w:rPr>
                <w:color w:val="000000"/>
                <w:sz w:val="20"/>
                <w:szCs w:val="20"/>
                <w:lang w:val="en-IE" w:eastAsia="en-IE"/>
              </w:rPr>
              <w:t xml:space="preserve">e of first colostrum feeding (&gt; </w:t>
            </w:r>
            <w:r w:rsidRPr="003A37FB">
              <w:rPr>
                <w:color w:val="000000"/>
                <w:sz w:val="20"/>
                <w:szCs w:val="20"/>
                <w:lang w:val="en-IE" w:eastAsia="en-IE"/>
              </w:rPr>
              <w:t xml:space="preserve">2 h </w:t>
            </w:r>
            <w:r w:rsidRPr="003A37FB">
              <w:rPr>
                <w:i/>
                <w:color w:val="000000"/>
                <w:sz w:val="20"/>
                <w:szCs w:val="20"/>
                <w:lang w:val="en-IE" w:eastAsia="en-IE"/>
              </w:rPr>
              <w:t>vs.</w:t>
            </w:r>
            <w:r w:rsidRPr="003A37FB">
              <w:rPr>
                <w:color w:val="000000"/>
                <w:sz w:val="20"/>
                <w:szCs w:val="20"/>
                <w:lang w:val="en-IE" w:eastAsia="en-IE"/>
              </w:rPr>
              <w:t xml:space="preserve"> within 2 h</w:t>
            </w:r>
            <w:r>
              <w:rPr>
                <w:color w:val="000000"/>
                <w:sz w:val="20"/>
                <w:szCs w:val="20"/>
                <w:lang w:val="en-IE" w:eastAsia="en-IE"/>
              </w:rPr>
              <w:t xml:space="preserve"> post-birth</w:t>
            </w:r>
            <w:r w:rsidRPr="003A37FB">
              <w:rPr>
                <w:color w:val="000000"/>
                <w:sz w:val="20"/>
                <w:szCs w:val="20"/>
                <w:lang w:val="en-IE" w:eastAsia="en-IE"/>
              </w:rPr>
              <w:t>)</w:t>
            </w:r>
          </w:p>
        </w:tc>
        <w:tc>
          <w:tcPr>
            <w:tcW w:w="1134" w:type="dxa"/>
            <w:shd w:val="clear" w:color="auto" w:fill="auto"/>
            <w:noWrap/>
            <w:hideMark/>
          </w:tcPr>
          <w:p w14:paraId="0F7EA3BE" w14:textId="77777777" w:rsidR="00143060" w:rsidRPr="003A37FB" w:rsidRDefault="00143060" w:rsidP="00EA0C03">
            <w:pPr>
              <w:spacing w:after="40"/>
              <w:jc w:val="center"/>
              <w:rPr>
                <w:sz w:val="20"/>
                <w:szCs w:val="20"/>
                <w:lang w:val="en-IE" w:eastAsia="en-IE"/>
              </w:rPr>
            </w:pPr>
            <w:r>
              <w:rPr>
                <w:sz w:val="20"/>
                <w:szCs w:val="20"/>
                <w:lang w:val="en-IE" w:eastAsia="en-IE"/>
              </w:rPr>
              <w:t>P</w:t>
            </w:r>
            <w:r w:rsidRPr="003A37FB">
              <w:rPr>
                <w:sz w:val="20"/>
                <w:szCs w:val="20"/>
                <w:lang w:val="en-IE" w:eastAsia="en-IE"/>
              </w:rPr>
              <w:t>, CC, LC</w:t>
            </w:r>
          </w:p>
        </w:tc>
        <w:tc>
          <w:tcPr>
            <w:tcW w:w="992" w:type="dxa"/>
            <w:shd w:val="clear" w:color="auto" w:fill="auto"/>
            <w:noWrap/>
            <w:hideMark/>
          </w:tcPr>
          <w:p w14:paraId="085C6407" w14:textId="77777777" w:rsidR="00143060" w:rsidRPr="003A37FB" w:rsidRDefault="00143060" w:rsidP="00EA0C03">
            <w:pPr>
              <w:spacing w:after="40"/>
              <w:jc w:val="center"/>
              <w:rPr>
                <w:sz w:val="20"/>
                <w:szCs w:val="20"/>
                <w:lang w:val="en-IE" w:eastAsia="en-IE"/>
              </w:rPr>
            </w:pPr>
            <w:r>
              <w:rPr>
                <w:sz w:val="20"/>
                <w:szCs w:val="20"/>
                <w:lang w:val="en-IE" w:eastAsia="en-IE"/>
              </w:rPr>
              <w:t>P</w:t>
            </w:r>
            <w:r w:rsidRPr="003A37FB">
              <w:rPr>
                <w:sz w:val="20"/>
                <w:szCs w:val="20"/>
                <w:lang w:val="en-IE" w:eastAsia="en-IE"/>
              </w:rPr>
              <w:t>, CC, LC</w:t>
            </w:r>
          </w:p>
        </w:tc>
        <w:tc>
          <w:tcPr>
            <w:tcW w:w="992" w:type="dxa"/>
            <w:shd w:val="clear" w:color="auto" w:fill="auto"/>
            <w:noWrap/>
            <w:hideMark/>
          </w:tcPr>
          <w:p w14:paraId="5B761644" w14:textId="77777777" w:rsidR="00143060" w:rsidRPr="003A37FB" w:rsidRDefault="00143060" w:rsidP="00EA0C03">
            <w:pPr>
              <w:spacing w:after="40"/>
              <w:jc w:val="center"/>
              <w:rPr>
                <w:sz w:val="20"/>
                <w:szCs w:val="20"/>
                <w:lang w:val="en-IE" w:eastAsia="en-IE"/>
              </w:rPr>
            </w:pPr>
            <w:r>
              <w:rPr>
                <w:sz w:val="20"/>
                <w:szCs w:val="20"/>
                <w:lang w:val="en-IE" w:eastAsia="en-IE"/>
              </w:rPr>
              <w:t>P</w:t>
            </w:r>
            <w:r w:rsidRPr="003A37FB">
              <w:rPr>
                <w:sz w:val="20"/>
                <w:szCs w:val="20"/>
                <w:lang w:val="en-IE" w:eastAsia="en-IE"/>
              </w:rPr>
              <w:t>, LC</w:t>
            </w:r>
          </w:p>
        </w:tc>
        <w:tc>
          <w:tcPr>
            <w:tcW w:w="993" w:type="dxa"/>
          </w:tcPr>
          <w:p w14:paraId="5C41119B" w14:textId="77777777" w:rsidR="00143060" w:rsidRPr="003A37FB" w:rsidRDefault="00143060" w:rsidP="00EA0C03">
            <w:pPr>
              <w:spacing w:after="40"/>
              <w:jc w:val="center"/>
              <w:rPr>
                <w:sz w:val="20"/>
                <w:szCs w:val="20"/>
                <w:lang w:val="en-IE" w:eastAsia="en-IE"/>
              </w:rPr>
            </w:pPr>
            <w:r w:rsidRPr="003A37FB">
              <w:rPr>
                <w:sz w:val="20"/>
                <w:szCs w:val="20"/>
                <w:lang w:val="en-IE" w:eastAsia="en-IE"/>
              </w:rPr>
              <w:t>2.3 to 10.1</w:t>
            </w:r>
          </w:p>
        </w:tc>
        <w:tc>
          <w:tcPr>
            <w:tcW w:w="1134" w:type="dxa"/>
            <w:shd w:val="clear" w:color="auto" w:fill="auto"/>
            <w:noWrap/>
            <w:hideMark/>
          </w:tcPr>
          <w:p w14:paraId="474D5E85" w14:textId="77777777" w:rsidR="00143060" w:rsidRPr="003A37FB" w:rsidRDefault="00143060"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7E2FEDC7" w14:textId="77777777" w:rsidR="00143060" w:rsidRPr="003A37FB" w:rsidRDefault="00143060"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0FC1E6DA" w14:textId="77777777" w:rsidR="00143060" w:rsidRPr="003A37FB" w:rsidRDefault="00143060" w:rsidP="00EA0C03">
            <w:pPr>
              <w:spacing w:after="40"/>
              <w:jc w:val="center"/>
              <w:rPr>
                <w:sz w:val="20"/>
                <w:szCs w:val="20"/>
                <w:lang w:val="en-IE" w:eastAsia="en-IE"/>
              </w:rPr>
            </w:pPr>
            <w:r>
              <w:rPr>
                <w:sz w:val="20"/>
                <w:szCs w:val="20"/>
                <w:lang w:val="en-IE" w:eastAsia="en-IE"/>
              </w:rPr>
              <w:t>NS</w:t>
            </w:r>
          </w:p>
        </w:tc>
        <w:tc>
          <w:tcPr>
            <w:tcW w:w="994" w:type="dxa"/>
          </w:tcPr>
          <w:p w14:paraId="1CC200E7" w14:textId="77777777" w:rsidR="00143060" w:rsidRPr="003A37FB" w:rsidRDefault="00143060" w:rsidP="00EA0C03">
            <w:pPr>
              <w:spacing w:after="40"/>
              <w:jc w:val="center"/>
              <w:rPr>
                <w:sz w:val="20"/>
                <w:szCs w:val="20"/>
                <w:lang w:val="en-IE" w:eastAsia="en-IE"/>
              </w:rPr>
            </w:pPr>
          </w:p>
        </w:tc>
      </w:tr>
      <w:tr w:rsidR="00851088" w:rsidRPr="003A37FB" w14:paraId="33169F03" w14:textId="77777777" w:rsidTr="0056510D">
        <w:trPr>
          <w:trHeight w:val="20"/>
        </w:trPr>
        <w:tc>
          <w:tcPr>
            <w:tcW w:w="2837" w:type="dxa"/>
            <w:shd w:val="clear" w:color="auto" w:fill="auto"/>
            <w:noWrap/>
            <w:vAlign w:val="center"/>
            <w:hideMark/>
          </w:tcPr>
          <w:p w14:paraId="12F5DE7E"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Perinatal problems (yes </w:t>
            </w:r>
            <w:r w:rsidRPr="003A37FB">
              <w:rPr>
                <w:i/>
                <w:color w:val="000000"/>
                <w:sz w:val="20"/>
                <w:szCs w:val="20"/>
                <w:lang w:val="en-IE" w:eastAsia="en-IE"/>
              </w:rPr>
              <w:t>vs.</w:t>
            </w:r>
            <w:r w:rsidRPr="003A37FB">
              <w:rPr>
                <w:color w:val="000000"/>
                <w:sz w:val="20"/>
                <w:szCs w:val="20"/>
                <w:lang w:val="en-IE" w:eastAsia="en-IE"/>
              </w:rPr>
              <w:t xml:space="preserve"> no)</w:t>
            </w:r>
          </w:p>
        </w:tc>
        <w:tc>
          <w:tcPr>
            <w:tcW w:w="1134" w:type="dxa"/>
            <w:shd w:val="clear" w:color="auto" w:fill="auto"/>
            <w:noWrap/>
            <w:hideMark/>
          </w:tcPr>
          <w:p w14:paraId="7D65370D" w14:textId="029BE4D0"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2" w:type="dxa"/>
            <w:shd w:val="clear" w:color="auto" w:fill="auto"/>
            <w:noWrap/>
            <w:hideMark/>
          </w:tcPr>
          <w:p w14:paraId="2EFDDF2A" w14:textId="3C371F4B"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2" w:type="dxa"/>
            <w:shd w:val="clear" w:color="auto" w:fill="auto"/>
            <w:noWrap/>
            <w:hideMark/>
          </w:tcPr>
          <w:p w14:paraId="5C672865" w14:textId="1CE11825"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3" w:type="dxa"/>
          </w:tcPr>
          <w:p w14:paraId="7C85983C" w14:textId="77777777" w:rsidR="00851088" w:rsidRPr="003A37FB" w:rsidRDefault="00851088" w:rsidP="00EA0C03">
            <w:pPr>
              <w:spacing w:after="40"/>
              <w:jc w:val="center"/>
              <w:rPr>
                <w:sz w:val="20"/>
                <w:szCs w:val="20"/>
                <w:lang w:val="en-IE" w:eastAsia="en-IE"/>
              </w:rPr>
            </w:pPr>
            <w:r w:rsidRPr="003A37FB">
              <w:rPr>
                <w:sz w:val="20"/>
                <w:szCs w:val="20"/>
                <w:lang w:val="en-IE" w:eastAsia="en-IE"/>
              </w:rPr>
              <w:t>3.6 to 4.5</w:t>
            </w:r>
          </w:p>
        </w:tc>
        <w:tc>
          <w:tcPr>
            <w:tcW w:w="1134" w:type="dxa"/>
            <w:shd w:val="clear" w:color="auto" w:fill="auto"/>
            <w:noWrap/>
            <w:hideMark/>
          </w:tcPr>
          <w:p w14:paraId="2C2E2511" w14:textId="2617F874"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0150CCFB" w14:textId="00DC4DE6" w:rsidR="00851088" w:rsidRPr="003A37FB" w:rsidRDefault="003750F7" w:rsidP="00EA0C03">
            <w:pPr>
              <w:spacing w:after="40"/>
              <w:jc w:val="center"/>
              <w:rPr>
                <w:sz w:val="20"/>
                <w:szCs w:val="20"/>
                <w:lang w:val="en-IE" w:eastAsia="en-IE"/>
              </w:rPr>
            </w:pPr>
            <w:r>
              <w:rPr>
                <w:sz w:val="20"/>
                <w:szCs w:val="20"/>
                <w:lang w:val="en-IE" w:eastAsia="en-IE"/>
              </w:rPr>
              <w:t>P</w:t>
            </w:r>
          </w:p>
        </w:tc>
        <w:tc>
          <w:tcPr>
            <w:tcW w:w="992" w:type="dxa"/>
            <w:shd w:val="clear" w:color="auto" w:fill="auto"/>
            <w:noWrap/>
            <w:hideMark/>
          </w:tcPr>
          <w:p w14:paraId="13D45775" w14:textId="0A342DDD" w:rsidR="00851088" w:rsidRPr="003A37FB" w:rsidRDefault="00D60042" w:rsidP="00EA0C03">
            <w:pPr>
              <w:spacing w:after="40"/>
              <w:jc w:val="center"/>
              <w:rPr>
                <w:sz w:val="20"/>
                <w:szCs w:val="20"/>
                <w:lang w:val="en-IE" w:eastAsia="en-IE"/>
              </w:rPr>
            </w:pPr>
            <w:r>
              <w:rPr>
                <w:sz w:val="20"/>
                <w:szCs w:val="20"/>
                <w:lang w:val="en-IE" w:eastAsia="en-IE"/>
              </w:rPr>
              <w:t>NS</w:t>
            </w:r>
          </w:p>
        </w:tc>
        <w:tc>
          <w:tcPr>
            <w:tcW w:w="994" w:type="dxa"/>
          </w:tcPr>
          <w:p w14:paraId="542BE5AA" w14:textId="77777777" w:rsidR="00851088" w:rsidRPr="003A37FB" w:rsidRDefault="00851088" w:rsidP="00EA0C03">
            <w:pPr>
              <w:spacing w:after="40"/>
              <w:jc w:val="center"/>
              <w:rPr>
                <w:sz w:val="20"/>
                <w:szCs w:val="20"/>
                <w:lang w:val="en-IE" w:eastAsia="en-IE"/>
              </w:rPr>
            </w:pPr>
          </w:p>
        </w:tc>
      </w:tr>
      <w:tr w:rsidR="00851088" w:rsidRPr="003A37FB" w14:paraId="0935E181" w14:textId="77777777" w:rsidTr="0056510D">
        <w:trPr>
          <w:trHeight w:val="20"/>
        </w:trPr>
        <w:tc>
          <w:tcPr>
            <w:tcW w:w="2837" w:type="dxa"/>
            <w:shd w:val="clear" w:color="auto" w:fill="auto"/>
            <w:noWrap/>
            <w:vAlign w:val="center"/>
            <w:hideMark/>
          </w:tcPr>
          <w:p w14:paraId="1CA3B75D"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Dam parity (primiparous </w:t>
            </w:r>
            <w:r w:rsidRPr="003A37FB">
              <w:rPr>
                <w:i/>
                <w:color w:val="000000"/>
                <w:sz w:val="20"/>
                <w:szCs w:val="20"/>
                <w:lang w:val="en-IE" w:eastAsia="en-IE"/>
              </w:rPr>
              <w:t>vs.</w:t>
            </w:r>
            <w:r w:rsidRPr="003A37FB">
              <w:rPr>
                <w:color w:val="000000"/>
                <w:sz w:val="20"/>
                <w:szCs w:val="20"/>
                <w:lang w:val="en-IE" w:eastAsia="en-IE"/>
              </w:rPr>
              <w:t xml:space="preserve"> multiparous)</w:t>
            </w:r>
          </w:p>
        </w:tc>
        <w:tc>
          <w:tcPr>
            <w:tcW w:w="1134" w:type="dxa"/>
            <w:shd w:val="clear" w:color="auto" w:fill="auto"/>
            <w:noWrap/>
            <w:hideMark/>
          </w:tcPr>
          <w:p w14:paraId="4FBE1977" w14:textId="165A59C3"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4AE3CA4A" w14:textId="5D142EA9"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1FD44D7B" w14:textId="72A0A1BD" w:rsidR="00851088" w:rsidRPr="003A37FB" w:rsidRDefault="00D60042" w:rsidP="00EA0C03">
            <w:pPr>
              <w:spacing w:after="40"/>
              <w:jc w:val="center"/>
              <w:rPr>
                <w:sz w:val="20"/>
                <w:szCs w:val="20"/>
                <w:lang w:val="en-IE" w:eastAsia="en-IE"/>
              </w:rPr>
            </w:pPr>
            <w:r>
              <w:rPr>
                <w:sz w:val="20"/>
                <w:szCs w:val="20"/>
                <w:lang w:val="en-IE" w:eastAsia="en-IE"/>
              </w:rPr>
              <w:t>NS</w:t>
            </w:r>
          </w:p>
        </w:tc>
        <w:tc>
          <w:tcPr>
            <w:tcW w:w="993" w:type="dxa"/>
          </w:tcPr>
          <w:p w14:paraId="2EAD1DEF" w14:textId="77777777" w:rsidR="00851088" w:rsidRPr="003A37FB" w:rsidRDefault="00851088" w:rsidP="00EA0C03">
            <w:pPr>
              <w:spacing w:after="40"/>
              <w:jc w:val="center"/>
              <w:rPr>
                <w:sz w:val="20"/>
                <w:szCs w:val="20"/>
                <w:lang w:val="en-IE" w:eastAsia="en-IE"/>
              </w:rPr>
            </w:pPr>
          </w:p>
        </w:tc>
        <w:tc>
          <w:tcPr>
            <w:tcW w:w="1134" w:type="dxa"/>
            <w:shd w:val="clear" w:color="auto" w:fill="auto"/>
            <w:noWrap/>
            <w:hideMark/>
          </w:tcPr>
          <w:p w14:paraId="426220C8" w14:textId="79D77E43"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 LC</w:t>
            </w:r>
          </w:p>
        </w:tc>
        <w:tc>
          <w:tcPr>
            <w:tcW w:w="992" w:type="dxa"/>
            <w:shd w:val="clear" w:color="auto" w:fill="auto"/>
            <w:noWrap/>
            <w:hideMark/>
          </w:tcPr>
          <w:p w14:paraId="49907305" w14:textId="218A9DCD" w:rsidR="00851088" w:rsidRPr="003A37FB" w:rsidRDefault="00D60042" w:rsidP="00EA0C03">
            <w:pPr>
              <w:spacing w:after="40"/>
              <w:jc w:val="center"/>
              <w:rPr>
                <w:sz w:val="20"/>
                <w:szCs w:val="20"/>
                <w:lang w:val="en-IE" w:eastAsia="en-IE"/>
              </w:rPr>
            </w:pPr>
            <w:r>
              <w:rPr>
                <w:sz w:val="20"/>
                <w:szCs w:val="20"/>
                <w:lang w:val="en-IE" w:eastAsia="en-IE"/>
              </w:rPr>
              <w:t>P</w:t>
            </w:r>
            <w:r w:rsidR="00851088" w:rsidRPr="003A37FB">
              <w:rPr>
                <w:sz w:val="20"/>
                <w:szCs w:val="20"/>
                <w:lang w:val="en-IE" w:eastAsia="en-IE"/>
              </w:rPr>
              <w:t>, CC</w:t>
            </w:r>
          </w:p>
        </w:tc>
        <w:tc>
          <w:tcPr>
            <w:tcW w:w="992" w:type="dxa"/>
            <w:shd w:val="clear" w:color="auto" w:fill="auto"/>
            <w:noWrap/>
            <w:hideMark/>
          </w:tcPr>
          <w:p w14:paraId="459962E7" w14:textId="3C776A5A" w:rsidR="00851088" w:rsidRPr="003A37FB" w:rsidRDefault="00D60042" w:rsidP="00EA0C03">
            <w:pPr>
              <w:spacing w:after="40"/>
              <w:jc w:val="center"/>
              <w:rPr>
                <w:sz w:val="20"/>
                <w:szCs w:val="20"/>
                <w:lang w:val="en-IE" w:eastAsia="en-IE"/>
              </w:rPr>
            </w:pPr>
            <w:r>
              <w:rPr>
                <w:sz w:val="20"/>
                <w:szCs w:val="20"/>
                <w:lang w:val="en-IE" w:eastAsia="en-IE"/>
              </w:rPr>
              <w:t>P</w:t>
            </w:r>
          </w:p>
        </w:tc>
        <w:tc>
          <w:tcPr>
            <w:tcW w:w="994" w:type="dxa"/>
          </w:tcPr>
          <w:p w14:paraId="28741AD3" w14:textId="77777777" w:rsidR="00851088" w:rsidRPr="003A37FB" w:rsidRDefault="00851088" w:rsidP="00EA0C03">
            <w:pPr>
              <w:spacing w:after="40"/>
              <w:jc w:val="center"/>
              <w:rPr>
                <w:sz w:val="20"/>
                <w:szCs w:val="20"/>
                <w:lang w:val="en-IE" w:eastAsia="en-IE"/>
              </w:rPr>
            </w:pPr>
            <w:r w:rsidRPr="003A37FB">
              <w:rPr>
                <w:sz w:val="20"/>
                <w:szCs w:val="20"/>
                <w:lang w:val="en-IE" w:eastAsia="en-IE"/>
              </w:rPr>
              <w:t>1.5 to 1.6</w:t>
            </w:r>
          </w:p>
        </w:tc>
      </w:tr>
      <w:tr w:rsidR="00851088" w:rsidRPr="003A37FB" w14:paraId="776A8798" w14:textId="77777777" w:rsidTr="0056510D">
        <w:trPr>
          <w:trHeight w:val="20"/>
        </w:trPr>
        <w:tc>
          <w:tcPr>
            <w:tcW w:w="2837" w:type="dxa"/>
            <w:shd w:val="clear" w:color="auto" w:fill="auto"/>
            <w:noWrap/>
            <w:hideMark/>
          </w:tcPr>
          <w:p w14:paraId="7318C4F6" w14:textId="73C89D1C" w:rsidR="00851088" w:rsidRPr="003A37FB" w:rsidRDefault="00851088" w:rsidP="00511CBE">
            <w:pPr>
              <w:spacing w:after="40"/>
              <w:ind w:left="90"/>
              <w:rPr>
                <w:color w:val="000000"/>
                <w:sz w:val="20"/>
                <w:szCs w:val="20"/>
                <w:lang w:val="en-IE" w:eastAsia="en-IE"/>
              </w:rPr>
            </w:pPr>
            <w:r w:rsidRPr="003A37FB">
              <w:rPr>
                <w:color w:val="000000"/>
                <w:sz w:val="20"/>
                <w:szCs w:val="20"/>
                <w:lang w:val="en-IE" w:eastAsia="en-IE"/>
              </w:rPr>
              <w:t xml:space="preserve">Calving supervision (not </w:t>
            </w:r>
            <w:r w:rsidR="00511CBE">
              <w:rPr>
                <w:color w:val="000000"/>
                <w:sz w:val="20"/>
                <w:szCs w:val="20"/>
                <w:lang w:val="en-IE" w:eastAsia="en-IE"/>
              </w:rPr>
              <w:t>supervised</w:t>
            </w:r>
            <w:r w:rsidRPr="003A37FB">
              <w:rPr>
                <w:color w:val="000000"/>
                <w:sz w:val="20"/>
                <w:szCs w:val="20"/>
                <w:lang w:val="en-IE" w:eastAsia="en-IE"/>
              </w:rPr>
              <w:t xml:space="preserve"> </w:t>
            </w:r>
            <w:r w:rsidRPr="003A37FB">
              <w:rPr>
                <w:i/>
                <w:color w:val="000000"/>
                <w:sz w:val="20"/>
                <w:szCs w:val="20"/>
                <w:lang w:val="en-IE" w:eastAsia="en-IE"/>
              </w:rPr>
              <w:t>vs.</w:t>
            </w:r>
            <w:r w:rsidRPr="003A37FB">
              <w:rPr>
                <w:color w:val="000000"/>
                <w:sz w:val="20"/>
                <w:szCs w:val="20"/>
                <w:lang w:val="en-IE" w:eastAsia="en-IE"/>
              </w:rPr>
              <w:t xml:space="preserve"> present at calving)</w:t>
            </w:r>
          </w:p>
        </w:tc>
        <w:tc>
          <w:tcPr>
            <w:tcW w:w="1134" w:type="dxa"/>
            <w:shd w:val="clear" w:color="auto" w:fill="auto"/>
          </w:tcPr>
          <w:p w14:paraId="18490CED" w14:textId="12A5752D"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4581A7CE" w14:textId="6CB37EA5"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1A0F5D29" w14:textId="7056DD30" w:rsidR="00851088" w:rsidRPr="003A37FB" w:rsidRDefault="00D60042" w:rsidP="00EA0C03">
            <w:pPr>
              <w:spacing w:after="40"/>
              <w:jc w:val="center"/>
              <w:rPr>
                <w:sz w:val="20"/>
                <w:szCs w:val="20"/>
                <w:lang w:val="en-IE" w:eastAsia="en-IE"/>
              </w:rPr>
            </w:pPr>
            <w:r>
              <w:rPr>
                <w:sz w:val="20"/>
                <w:szCs w:val="20"/>
                <w:lang w:val="en-IE" w:eastAsia="en-IE"/>
              </w:rPr>
              <w:t>NS</w:t>
            </w:r>
          </w:p>
        </w:tc>
        <w:tc>
          <w:tcPr>
            <w:tcW w:w="993" w:type="dxa"/>
          </w:tcPr>
          <w:p w14:paraId="5A75A0C5" w14:textId="77777777" w:rsidR="00851088" w:rsidRPr="003A37FB" w:rsidRDefault="00851088" w:rsidP="00EA0C03">
            <w:pPr>
              <w:spacing w:after="40"/>
              <w:jc w:val="center"/>
              <w:rPr>
                <w:sz w:val="20"/>
                <w:szCs w:val="20"/>
                <w:lang w:val="en-IE" w:eastAsia="en-IE"/>
              </w:rPr>
            </w:pPr>
          </w:p>
        </w:tc>
        <w:tc>
          <w:tcPr>
            <w:tcW w:w="1134" w:type="dxa"/>
            <w:shd w:val="clear" w:color="auto" w:fill="auto"/>
            <w:noWrap/>
            <w:hideMark/>
          </w:tcPr>
          <w:p w14:paraId="6DA58C37" w14:textId="77777777" w:rsidR="00851088" w:rsidRPr="003A37FB" w:rsidRDefault="00851088" w:rsidP="00EA0C03">
            <w:pPr>
              <w:spacing w:after="40"/>
              <w:jc w:val="center"/>
              <w:rPr>
                <w:sz w:val="20"/>
                <w:szCs w:val="20"/>
                <w:lang w:val="en-IE" w:eastAsia="en-IE"/>
              </w:rPr>
            </w:pPr>
            <w:r w:rsidRPr="003A37FB">
              <w:rPr>
                <w:sz w:val="20"/>
                <w:szCs w:val="20"/>
                <w:lang w:val="en-IE" w:eastAsia="en-IE"/>
              </w:rPr>
              <w:t>CC, LC</w:t>
            </w:r>
          </w:p>
        </w:tc>
        <w:tc>
          <w:tcPr>
            <w:tcW w:w="992" w:type="dxa"/>
            <w:shd w:val="clear" w:color="auto" w:fill="auto"/>
            <w:noWrap/>
            <w:hideMark/>
          </w:tcPr>
          <w:p w14:paraId="03011458" w14:textId="77777777" w:rsidR="00851088" w:rsidRPr="003A37FB" w:rsidRDefault="00851088" w:rsidP="00EA0C03">
            <w:pPr>
              <w:spacing w:after="40"/>
              <w:jc w:val="center"/>
              <w:rPr>
                <w:sz w:val="20"/>
                <w:szCs w:val="20"/>
                <w:lang w:val="en-IE" w:eastAsia="en-IE"/>
              </w:rPr>
            </w:pPr>
            <w:r w:rsidRPr="003A37FB">
              <w:rPr>
                <w:sz w:val="20"/>
                <w:szCs w:val="20"/>
                <w:lang w:val="en-IE" w:eastAsia="en-IE"/>
              </w:rPr>
              <w:t>CC, LC</w:t>
            </w:r>
          </w:p>
        </w:tc>
        <w:tc>
          <w:tcPr>
            <w:tcW w:w="992" w:type="dxa"/>
            <w:shd w:val="clear" w:color="auto" w:fill="auto"/>
            <w:noWrap/>
            <w:hideMark/>
          </w:tcPr>
          <w:p w14:paraId="5B7618E8" w14:textId="77777777" w:rsidR="00851088" w:rsidRPr="003A37FB" w:rsidRDefault="00851088" w:rsidP="00EA0C03">
            <w:pPr>
              <w:spacing w:after="40"/>
              <w:jc w:val="center"/>
              <w:rPr>
                <w:sz w:val="20"/>
                <w:szCs w:val="20"/>
                <w:lang w:val="en-IE" w:eastAsia="en-IE"/>
              </w:rPr>
            </w:pPr>
            <w:r w:rsidRPr="003A37FB">
              <w:rPr>
                <w:sz w:val="20"/>
                <w:szCs w:val="20"/>
                <w:lang w:val="en-IE" w:eastAsia="en-IE"/>
              </w:rPr>
              <w:t>CC, LC</w:t>
            </w:r>
          </w:p>
        </w:tc>
        <w:tc>
          <w:tcPr>
            <w:tcW w:w="994" w:type="dxa"/>
          </w:tcPr>
          <w:p w14:paraId="5CA66B2D" w14:textId="77777777" w:rsidR="00851088" w:rsidRPr="003A37FB" w:rsidRDefault="00851088" w:rsidP="00EA0C03">
            <w:pPr>
              <w:spacing w:after="40"/>
              <w:jc w:val="center"/>
              <w:rPr>
                <w:sz w:val="20"/>
                <w:szCs w:val="20"/>
                <w:lang w:val="en-IE" w:eastAsia="en-IE"/>
              </w:rPr>
            </w:pPr>
            <w:r w:rsidRPr="003A37FB">
              <w:rPr>
                <w:sz w:val="20"/>
                <w:szCs w:val="20"/>
                <w:lang w:val="en-IE" w:eastAsia="en-IE"/>
              </w:rPr>
              <w:t>0.6 to 0.7</w:t>
            </w:r>
          </w:p>
        </w:tc>
      </w:tr>
      <w:tr w:rsidR="00851088" w:rsidRPr="003A37FB" w14:paraId="1C3AC7D2" w14:textId="77777777" w:rsidTr="0056510D">
        <w:trPr>
          <w:trHeight w:val="20"/>
        </w:trPr>
        <w:tc>
          <w:tcPr>
            <w:tcW w:w="2837" w:type="dxa"/>
            <w:shd w:val="clear" w:color="auto" w:fill="auto"/>
            <w:noWrap/>
            <w:vAlign w:val="center"/>
            <w:hideMark/>
          </w:tcPr>
          <w:p w14:paraId="4CE0C1C9" w14:textId="77777777" w:rsidR="00851088" w:rsidRPr="003A37FB" w:rsidRDefault="00851088" w:rsidP="00EA0C03">
            <w:pPr>
              <w:spacing w:after="40"/>
              <w:ind w:left="90"/>
              <w:rPr>
                <w:color w:val="000000"/>
                <w:sz w:val="20"/>
                <w:szCs w:val="20"/>
                <w:lang w:val="en-IE" w:eastAsia="en-IE"/>
              </w:rPr>
            </w:pPr>
            <w:r w:rsidRPr="003A37FB">
              <w:rPr>
                <w:color w:val="000000"/>
                <w:sz w:val="20"/>
                <w:szCs w:val="20"/>
                <w:lang w:val="en-IE" w:eastAsia="en-IE"/>
              </w:rPr>
              <w:t xml:space="preserve">Type of colostrum feeding (stored </w:t>
            </w:r>
            <w:r w:rsidRPr="003A37FB">
              <w:rPr>
                <w:i/>
                <w:color w:val="000000"/>
                <w:sz w:val="20"/>
                <w:szCs w:val="20"/>
                <w:lang w:val="en-IE" w:eastAsia="en-IE"/>
              </w:rPr>
              <w:t>vs.</w:t>
            </w:r>
            <w:r w:rsidRPr="003A37FB">
              <w:rPr>
                <w:color w:val="000000"/>
                <w:sz w:val="20"/>
                <w:szCs w:val="20"/>
                <w:lang w:val="en-IE" w:eastAsia="en-IE"/>
              </w:rPr>
              <w:t xml:space="preserve"> fresh colostrum)</w:t>
            </w:r>
          </w:p>
        </w:tc>
        <w:tc>
          <w:tcPr>
            <w:tcW w:w="1134" w:type="dxa"/>
            <w:shd w:val="clear" w:color="auto" w:fill="auto"/>
            <w:noWrap/>
            <w:hideMark/>
          </w:tcPr>
          <w:p w14:paraId="657727B1" w14:textId="2B9E4707" w:rsidR="00851088" w:rsidRPr="003A37FB" w:rsidRDefault="003750F7" w:rsidP="00EA0C03">
            <w:pPr>
              <w:spacing w:after="40"/>
              <w:jc w:val="center"/>
              <w:rPr>
                <w:sz w:val="20"/>
                <w:szCs w:val="20"/>
                <w:lang w:val="en-IE" w:eastAsia="en-IE"/>
              </w:rPr>
            </w:pPr>
            <w:r>
              <w:rPr>
                <w:sz w:val="20"/>
                <w:szCs w:val="20"/>
                <w:lang w:val="en-IE" w:eastAsia="en-IE"/>
              </w:rPr>
              <w:t>N/A</w:t>
            </w:r>
          </w:p>
        </w:tc>
        <w:tc>
          <w:tcPr>
            <w:tcW w:w="992" w:type="dxa"/>
            <w:shd w:val="clear" w:color="auto" w:fill="auto"/>
            <w:noWrap/>
            <w:hideMark/>
          </w:tcPr>
          <w:p w14:paraId="273A8BD1" w14:textId="0D2AA55B" w:rsidR="00851088" w:rsidRPr="003A37FB" w:rsidRDefault="003750F7" w:rsidP="00EA0C03">
            <w:pPr>
              <w:spacing w:after="40"/>
              <w:jc w:val="center"/>
              <w:rPr>
                <w:sz w:val="20"/>
                <w:szCs w:val="20"/>
                <w:lang w:val="en-IE" w:eastAsia="en-IE"/>
              </w:rPr>
            </w:pPr>
            <w:r>
              <w:rPr>
                <w:sz w:val="20"/>
                <w:szCs w:val="20"/>
                <w:lang w:val="en-IE" w:eastAsia="en-IE"/>
              </w:rPr>
              <w:t>N/A</w:t>
            </w:r>
          </w:p>
        </w:tc>
        <w:tc>
          <w:tcPr>
            <w:tcW w:w="992" w:type="dxa"/>
            <w:shd w:val="clear" w:color="auto" w:fill="auto"/>
            <w:noWrap/>
            <w:hideMark/>
          </w:tcPr>
          <w:p w14:paraId="0C129497" w14:textId="037A6D5F" w:rsidR="00851088" w:rsidRPr="003A37FB" w:rsidRDefault="003750F7" w:rsidP="00EA0C03">
            <w:pPr>
              <w:spacing w:after="40"/>
              <w:jc w:val="center"/>
              <w:rPr>
                <w:sz w:val="20"/>
                <w:szCs w:val="20"/>
                <w:lang w:val="en-IE" w:eastAsia="en-IE"/>
              </w:rPr>
            </w:pPr>
            <w:r>
              <w:rPr>
                <w:sz w:val="20"/>
                <w:szCs w:val="20"/>
                <w:lang w:val="en-IE" w:eastAsia="en-IE"/>
              </w:rPr>
              <w:t>N/A</w:t>
            </w:r>
          </w:p>
        </w:tc>
        <w:tc>
          <w:tcPr>
            <w:tcW w:w="993" w:type="dxa"/>
          </w:tcPr>
          <w:p w14:paraId="3FDB1928" w14:textId="77777777" w:rsidR="00851088" w:rsidRPr="003A37FB" w:rsidRDefault="00851088" w:rsidP="00EA0C03">
            <w:pPr>
              <w:spacing w:after="40"/>
              <w:jc w:val="center"/>
              <w:rPr>
                <w:sz w:val="20"/>
                <w:szCs w:val="20"/>
                <w:lang w:val="en-IE" w:eastAsia="en-IE"/>
              </w:rPr>
            </w:pPr>
          </w:p>
        </w:tc>
        <w:tc>
          <w:tcPr>
            <w:tcW w:w="1134" w:type="dxa"/>
            <w:shd w:val="clear" w:color="auto" w:fill="auto"/>
            <w:noWrap/>
            <w:hideMark/>
          </w:tcPr>
          <w:p w14:paraId="5360E521" w14:textId="22807ACA" w:rsidR="00851088" w:rsidRPr="003A37FB" w:rsidRDefault="00D60042" w:rsidP="00EA0C03">
            <w:pPr>
              <w:spacing w:after="40"/>
              <w:jc w:val="center"/>
              <w:rPr>
                <w:sz w:val="20"/>
                <w:szCs w:val="20"/>
                <w:lang w:val="en-IE" w:eastAsia="en-IE"/>
              </w:rPr>
            </w:pPr>
            <w:r>
              <w:rPr>
                <w:sz w:val="20"/>
                <w:szCs w:val="20"/>
                <w:lang w:val="en-IE" w:eastAsia="en-IE"/>
              </w:rPr>
              <w:t>NS</w:t>
            </w:r>
          </w:p>
        </w:tc>
        <w:tc>
          <w:tcPr>
            <w:tcW w:w="992" w:type="dxa"/>
            <w:shd w:val="clear" w:color="auto" w:fill="auto"/>
            <w:noWrap/>
            <w:hideMark/>
          </w:tcPr>
          <w:p w14:paraId="4742F569" w14:textId="77777777" w:rsidR="00851088" w:rsidRPr="003A37FB" w:rsidRDefault="00851088" w:rsidP="00EA0C03">
            <w:pPr>
              <w:spacing w:after="40"/>
              <w:jc w:val="center"/>
              <w:rPr>
                <w:sz w:val="20"/>
                <w:szCs w:val="20"/>
                <w:lang w:val="en-IE" w:eastAsia="en-IE"/>
              </w:rPr>
            </w:pPr>
            <w:r w:rsidRPr="003A37FB">
              <w:rPr>
                <w:sz w:val="20"/>
                <w:szCs w:val="20"/>
                <w:lang w:val="en-IE" w:eastAsia="en-IE"/>
              </w:rPr>
              <w:t>LC</w:t>
            </w:r>
          </w:p>
        </w:tc>
        <w:tc>
          <w:tcPr>
            <w:tcW w:w="992" w:type="dxa"/>
            <w:shd w:val="clear" w:color="auto" w:fill="auto"/>
            <w:noWrap/>
            <w:hideMark/>
          </w:tcPr>
          <w:p w14:paraId="6ECD8F7D" w14:textId="77777777" w:rsidR="00851088" w:rsidRPr="003A37FB" w:rsidRDefault="00851088" w:rsidP="00EA0C03">
            <w:pPr>
              <w:spacing w:after="40"/>
              <w:jc w:val="center"/>
              <w:rPr>
                <w:sz w:val="20"/>
                <w:szCs w:val="20"/>
                <w:lang w:val="en-IE" w:eastAsia="en-IE"/>
              </w:rPr>
            </w:pPr>
            <w:r w:rsidRPr="003A37FB">
              <w:rPr>
                <w:sz w:val="20"/>
                <w:szCs w:val="20"/>
                <w:lang w:val="en-IE" w:eastAsia="en-IE"/>
              </w:rPr>
              <w:t>LC</w:t>
            </w:r>
          </w:p>
        </w:tc>
        <w:tc>
          <w:tcPr>
            <w:tcW w:w="994" w:type="dxa"/>
          </w:tcPr>
          <w:p w14:paraId="5F06A026" w14:textId="77777777" w:rsidR="00851088" w:rsidRPr="003A37FB" w:rsidRDefault="00851088" w:rsidP="00EA0C03">
            <w:pPr>
              <w:spacing w:after="40"/>
              <w:jc w:val="center"/>
              <w:rPr>
                <w:sz w:val="20"/>
                <w:szCs w:val="20"/>
                <w:lang w:val="en-IE" w:eastAsia="en-IE"/>
              </w:rPr>
            </w:pPr>
            <w:r w:rsidRPr="003A37FB">
              <w:rPr>
                <w:sz w:val="20"/>
                <w:szCs w:val="20"/>
                <w:lang w:val="en-IE" w:eastAsia="en-IE"/>
              </w:rPr>
              <w:t>2.8 to 5.0</w:t>
            </w:r>
          </w:p>
        </w:tc>
      </w:tr>
    </w:tbl>
    <w:p w14:paraId="16FE401D" w14:textId="19988361" w:rsidR="00851088" w:rsidRPr="00DE48BF" w:rsidRDefault="00D60042" w:rsidP="00851088">
      <w:pPr>
        <w:jc w:val="both"/>
        <w:rPr>
          <w:color w:val="000000"/>
          <w:sz w:val="16"/>
          <w:szCs w:val="22"/>
          <w:lang w:val="en-IE" w:eastAsia="en-IE"/>
        </w:rPr>
      </w:pPr>
      <w:r w:rsidRPr="00DE48BF">
        <w:rPr>
          <w:color w:val="000000"/>
          <w:sz w:val="16"/>
          <w:szCs w:val="22"/>
          <w:lang w:val="en-IE" w:eastAsia="en-IE"/>
        </w:rPr>
        <w:t>P</w:t>
      </w:r>
      <w:r w:rsidR="00851088" w:rsidRPr="00DE48BF">
        <w:rPr>
          <w:color w:val="000000"/>
          <w:sz w:val="16"/>
          <w:szCs w:val="22"/>
          <w:lang w:val="en-IE" w:eastAsia="en-IE"/>
        </w:rPr>
        <w:t xml:space="preserve"> – Passive immune measures; CC – Current cut-offs; LC – Literature cut-offs; </w:t>
      </w:r>
      <w:r w:rsidRPr="00DE48BF">
        <w:rPr>
          <w:color w:val="000000"/>
          <w:sz w:val="16"/>
          <w:szCs w:val="22"/>
          <w:lang w:val="en-IE" w:eastAsia="en-IE"/>
        </w:rPr>
        <w:t>NS – Not significant (</w:t>
      </w:r>
      <w:r w:rsidRPr="00DE48BF">
        <w:rPr>
          <w:i/>
          <w:color w:val="000000"/>
          <w:sz w:val="16"/>
          <w:szCs w:val="22"/>
          <w:lang w:val="en-IE" w:eastAsia="en-IE"/>
        </w:rPr>
        <w:t>P</w:t>
      </w:r>
      <w:r w:rsidRPr="00DE48BF">
        <w:rPr>
          <w:color w:val="000000"/>
          <w:sz w:val="16"/>
          <w:szCs w:val="22"/>
          <w:lang w:val="en-IE" w:eastAsia="en-IE"/>
        </w:rPr>
        <w:t xml:space="preserve">&gt;0.05); </w:t>
      </w:r>
      <w:r w:rsidR="003750F7" w:rsidRPr="00DE48BF">
        <w:rPr>
          <w:color w:val="000000"/>
          <w:sz w:val="16"/>
          <w:szCs w:val="22"/>
          <w:lang w:val="en-IE" w:eastAsia="en-IE"/>
        </w:rPr>
        <w:t xml:space="preserve">N/A – Not applicable; </w:t>
      </w:r>
      <w:r w:rsidR="00851088" w:rsidRPr="00DE48BF">
        <w:rPr>
          <w:color w:val="000000"/>
          <w:sz w:val="16"/>
          <w:szCs w:val="22"/>
          <w:vertAlign w:val="superscript"/>
          <w:lang w:val="en-IE" w:eastAsia="en-IE"/>
        </w:rPr>
        <w:t>1</w:t>
      </w:r>
      <w:r w:rsidR="00851088" w:rsidRPr="00DE48BF">
        <w:rPr>
          <w:color w:val="000000"/>
          <w:sz w:val="16"/>
          <w:szCs w:val="22"/>
          <w:lang w:val="en-IE" w:eastAsia="en-IE"/>
        </w:rPr>
        <w:t xml:space="preserve">Odds ratio for </w:t>
      </w:r>
      <w:r w:rsidR="00DA3A27">
        <w:rPr>
          <w:sz w:val="16"/>
          <w:szCs w:val="20"/>
        </w:rPr>
        <w:t>FPT</w:t>
      </w:r>
      <w:r w:rsidR="00851088" w:rsidRPr="00DE48BF">
        <w:rPr>
          <w:color w:val="000000"/>
          <w:sz w:val="16"/>
          <w:szCs w:val="22"/>
          <w:lang w:val="en-IE" w:eastAsia="en-IE"/>
        </w:rPr>
        <w:t xml:space="preserve">. </w:t>
      </w:r>
    </w:p>
    <w:p w14:paraId="37B1C552" w14:textId="77777777" w:rsidR="002F7FF0" w:rsidRPr="001227FD" w:rsidRDefault="002F7FF0" w:rsidP="000A2EC1">
      <w:pPr>
        <w:ind w:left="284" w:hanging="284"/>
        <w:jc w:val="both"/>
        <w:rPr>
          <w:sz w:val="16"/>
          <w:szCs w:val="20"/>
        </w:rPr>
      </w:pPr>
    </w:p>
    <w:sectPr w:rsidR="002F7FF0" w:rsidRPr="001227FD" w:rsidSect="00510BA9">
      <w:pgSz w:w="11906" w:h="16838" w:code="9"/>
      <w:pgMar w:top="1135" w:right="964" w:bottom="567" w:left="96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2B42" w14:textId="77777777" w:rsidR="009B2F67" w:rsidRDefault="009B2F67" w:rsidP="00884485">
      <w:r>
        <w:separator/>
      </w:r>
    </w:p>
  </w:endnote>
  <w:endnote w:type="continuationSeparator" w:id="0">
    <w:p w14:paraId="5E67FA63" w14:textId="77777777" w:rsidR="009B2F67" w:rsidRDefault="009B2F67" w:rsidP="0088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3937" w14:textId="77777777" w:rsidR="009B2F67" w:rsidRDefault="009B2F67" w:rsidP="00884485">
      <w:r>
        <w:separator/>
      </w:r>
    </w:p>
  </w:footnote>
  <w:footnote w:type="continuationSeparator" w:id="0">
    <w:p w14:paraId="3E647AA7" w14:textId="77777777" w:rsidR="009B2F67" w:rsidRDefault="009B2F67" w:rsidP="0088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50BAD"/>
    <w:multiLevelType w:val="hybridMultilevel"/>
    <w:tmpl w:val="0D84CC5C"/>
    <w:lvl w:ilvl="0" w:tplc="0CC8C716">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85"/>
    <w:rsid w:val="0000386A"/>
    <w:rsid w:val="00004BB0"/>
    <w:rsid w:val="000115B5"/>
    <w:rsid w:val="00016FD9"/>
    <w:rsid w:val="00031F1D"/>
    <w:rsid w:val="00040182"/>
    <w:rsid w:val="000506B4"/>
    <w:rsid w:val="00053572"/>
    <w:rsid w:val="0006331B"/>
    <w:rsid w:val="00064EA8"/>
    <w:rsid w:val="00071AC2"/>
    <w:rsid w:val="00080141"/>
    <w:rsid w:val="00082159"/>
    <w:rsid w:val="000848B4"/>
    <w:rsid w:val="000868CB"/>
    <w:rsid w:val="00087F5D"/>
    <w:rsid w:val="000927D9"/>
    <w:rsid w:val="000A2EC1"/>
    <w:rsid w:val="000A2EF0"/>
    <w:rsid w:val="000A6F7B"/>
    <w:rsid w:val="000A6F93"/>
    <w:rsid w:val="000B5A4F"/>
    <w:rsid w:val="000D215A"/>
    <w:rsid w:val="000E6D89"/>
    <w:rsid w:val="000F18E7"/>
    <w:rsid w:val="00116D18"/>
    <w:rsid w:val="00116F96"/>
    <w:rsid w:val="00121E0A"/>
    <w:rsid w:val="001227FD"/>
    <w:rsid w:val="00127C36"/>
    <w:rsid w:val="00132CF5"/>
    <w:rsid w:val="00143060"/>
    <w:rsid w:val="00160ECC"/>
    <w:rsid w:val="00172400"/>
    <w:rsid w:val="00172919"/>
    <w:rsid w:val="00184EE5"/>
    <w:rsid w:val="00186E31"/>
    <w:rsid w:val="001A0A0B"/>
    <w:rsid w:val="001A5E86"/>
    <w:rsid w:val="001B2F91"/>
    <w:rsid w:val="001C4B61"/>
    <w:rsid w:val="001C5273"/>
    <w:rsid w:val="001D2162"/>
    <w:rsid w:val="001F4F22"/>
    <w:rsid w:val="00232865"/>
    <w:rsid w:val="00247C9D"/>
    <w:rsid w:val="00250FA6"/>
    <w:rsid w:val="002625CB"/>
    <w:rsid w:val="00267B95"/>
    <w:rsid w:val="00280203"/>
    <w:rsid w:val="002A18BB"/>
    <w:rsid w:val="002B0932"/>
    <w:rsid w:val="002B6D26"/>
    <w:rsid w:val="002B704F"/>
    <w:rsid w:val="002C1C49"/>
    <w:rsid w:val="002C3C22"/>
    <w:rsid w:val="002D23A8"/>
    <w:rsid w:val="002D78DA"/>
    <w:rsid w:val="002E03C7"/>
    <w:rsid w:val="002F3EFC"/>
    <w:rsid w:val="002F7FF0"/>
    <w:rsid w:val="00304A46"/>
    <w:rsid w:val="0033514B"/>
    <w:rsid w:val="00340AC1"/>
    <w:rsid w:val="003427F9"/>
    <w:rsid w:val="003507E6"/>
    <w:rsid w:val="003517BE"/>
    <w:rsid w:val="0035363F"/>
    <w:rsid w:val="00356B01"/>
    <w:rsid w:val="00360DE9"/>
    <w:rsid w:val="00364022"/>
    <w:rsid w:val="003654C1"/>
    <w:rsid w:val="00365B44"/>
    <w:rsid w:val="00367D35"/>
    <w:rsid w:val="003713AD"/>
    <w:rsid w:val="0037500E"/>
    <w:rsid w:val="003750F7"/>
    <w:rsid w:val="00375614"/>
    <w:rsid w:val="003847C3"/>
    <w:rsid w:val="00392114"/>
    <w:rsid w:val="00396BCB"/>
    <w:rsid w:val="003A3E93"/>
    <w:rsid w:val="003B45FF"/>
    <w:rsid w:val="003C2B99"/>
    <w:rsid w:val="003C6592"/>
    <w:rsid w:val="003C66E1"/>
    <w:rsid w:val="003D4AEF"/>
    <w:rsid w:val="003E1F1B"/>
    <w:rsid w:val="0040392A"/>
    <w:rsid w:val="004142A3"/>
    <w:rsid w:val="004152ED"/>
    <w:rsid w:val="00415DB8"/>
    <w:rsid w:val="00437C2F"/>
    <w:rsid w:val="004473F7"/>
    <w:rsid w:val="0045126D"/>
    <w:rsid w:val="00460679"/>
    <w:rsid w:val="0046346E"/>
    <w:rsid w:val="004862A4"/>
    <w:rsid w:val="00487BAA"/>
    <w:rsid w:val="004929BE"/>
    <w:rsid w:val="004A1F56"/>
    <w:rsid w:val="004A5B7C"/>
    <w:rsid w:val="004C1DDC"/>
    <w:rsid w:val="004D0FAB"/>
    <w:rsid w:val="004D32AD"/>
    <w:rsid w:val="00510BA9"/>
    <w:rsid w:val="00511CBE"/>
    <w:rsid w:val="00517AFF"/>
    <w:rsid w:val="00530BEF"/>
    <w:rsid w:val="0055199E"/>
    <w:rsid w:val="0056510D"/>
    <w:rsid w:val="00566E67"/>
    <w:rsid w:val="0058000D"/>
    <w:rsid w:val="00580A65"/>
    <w:rsid w:val="00585FF9"/>
    <w:rsid w:val="00594947"/>
    <w:rsid w:val="005A1E60"/>
    <w:rsid w:val="005A2E7C"/>
    <w:rsid w:val="005A4CAE"/>
    <w:rsid w:val="005B4CDE"/>
    <w:rsid w:val="005C00DA"/>
    <w:rsid w:val="005C0C99"/>
    <w:rsid w:val="005C1FE9"/>
    <w:rsid w:val="005F4259"/>
    <w:rsid w:val="00611B11"/>
    <w:rsid w:val="00621322"/>
    <w:rsid w:val="006271B8"/>
    <w:rsid w:val="00632142"/>
    <w:rsid w:val="00643677"/>
    <w:rsid w:val="00645256"/>
    <w:rsid w:val="00660BDB"/>
    <w:rsid w:val="00663411"/>
    <w:rsid w:val="00670C18"/>
    <w:rsid w:val="006817C0"/>
    <w:rsid w:val="006A6A6D"/>
    <w:rsid w:val="006B00D4"/>
    <w:rsid w:val="006B42B0"/>
    <w:rsid w:val="006D1C3C"/>
    <w:rsid w:val="006D2B4E"/>
    <w:rsid w:val="006D4890"/>
    <w:rsid w:val="006D780A"/>
    <w:rsid w:val="006F1174"/>
    <w:rsid w:val="006F4001"/>
    <w:rsid w:val="006F75F1"/>
    <w:rsid w:val="00704903"/>
    <w:rsid w:val="00717C6B"/>
    <w:rsid w:val="0072294B"/>
    <w:rsid w:val="00726232"/>
    <w:rsid w:val="007334E8"/>
    <w:rsid w:val="00733AF8"/>
    <w:rsid w:val="007354B8"/>
    <w:rsid w:val="00741489"/>
    <w:rsid w:val="00753738"/>
    <w:rsid w:val="0076171D"/>
    <w:rsid w:val="00762EE5"/>
    <w:rsid w:val="00764898"/>
    <w:rsid w:val="00773F33"/>
    <w:rsid w:val="0078633D"/>
    <w:rsid w:val="00791809"/>
    <w:rsid w:val="007976CF"/>
    <w:rsid w:val="007A0DBE"/>
    <w:rsid w:val="007B0C7E"/>
    <w:rsid w:val="007B4BF1"/>
    <w:rsid w:val="007C6BC4"/>
    <w:rsid w:val="007E3349"/>
    <w:rsid w:val="0080065C"/>
    <w:rsid w:val="00802C23"/>
    <w:rsid w:val="0082328F"/>
    <w:rsid w:val="00827731"/>
    <w:rsid w:val="008315F8"/>
    <w:rsid w:val="00834827"/>
    <w:rsid w:val="00841A1A"/>
    <w:rsid w:val="008470D1"/>
    <w:rsid w:val="00851088"/>
    <w:rsid w:val="00854922"/>
    <w:rsid w:val="00872973"/>
    <w:rsid w:val="00877BAC"/>
    <w:rsid w:val="00884485"/>
    <w:rsid w:val="00886D64"/>
    <w:rsid w:val="00893D25"/>
    <w:rsid w:val="008945B1"/>
    <w:rsid w:val="0089639D"/>
    <w:rsid w:val="008A562E"/>
    <w:rsid w:val="008B1377"/>
    <w:rsid w:val="008B7234"/>
    <w:rsid w:val="008C02CA"/>
    <w:rsid w:val="008D383C"/>
    <w:rsid w:val="008E264D"/>
    <w:rsid w:val="00917221"/>
    <w:rsid w:val="00942260"/>
    <w:rsid w:val="0094533C"/>
    <w:rsid w:val="00972E95"/>
    <w:rsid w:val="00973BF3"/>
    <w:rsid w:val="009745E4"/>
    <w:rsid w:val="00990490"/>
    <w:rsid w:val="00992A37"/>
    <w:rsid w:val="009B165A"/>
    <w:rsid w:val="009B1F43"/>
    <w:rsid w:val="009B2F67"/>
    <w:rsid w:val="009D12DD"/>
    <w:rsid w:val="009D4FDD"/>
    <w:rsid w:val="009E0FA4"/>
    <w:rsid w:val="009E17BD"/>
    <w:rsid w:val="009E5BB5"/>
    <w:rsid w:val="009F33B4"/>
    <w:rsid w:val="00A00561"/>
    <w:rsid w:val="00A01EBB"/>
    <w:rsid w:val="00A201A6"/>
    <w:rsid w:val="00A223CB"/>
    <w:rsid w:val="00A5618E"/>
    <w:rsid w:val="00A620B9"/>
    <w:rsid w:val="00A6317C"/>
    <w:rsid w:val="00A72015"/>
    <w:rsid w:val="00A72986"/>
    <w:rsid w:val="00A90C45"/>
    <w:rsid w:val="00A92AEC"/>
    <w:rsid w:val="00A97F14"/>
    <w:rsid w:val="00AB116A"/>
    <w:rsid w:val="00AC2CF2"/>
    <w:rsid w:val="00AC6188"/>
    <w:rsid w:val="00AD09EE"/>
    <w:rsid w:val="00AD4579"/>
    <w:rsid w:val="00AD7342"/>
    <w:rsid w:val="00AF220B"/>
    <w:rsid w:val="00B07B4B"/>
    <w:rsid w:val="00B3069F"/>
    <w:rsid w:val="00B32783"/>
    <w:rsid w:val="00B35B51"/>
    <w:rsid w:val="00B46E7D"/>
    <w:rsid w:val="00B9754B"/>
    <w:rsid w:val="00BB5150"/>
    <w:rsid w:val="00BB757E"/>
    <w:rsid w:val="00BC4E04"/>
    <w:rsid w:val="00BE047B"/>
    <w:rsid w:val="00BE0B34"/>
    <w:rsid w:val="00BE280F"/>
    <w:rsid w:val="00BE750D"/>
    <w:rsid w:val="00BF1A3F"/>
    <w:rsid w:val="00BF1D3C"/>
    <w:rsid w:val="00C0023B"/>
    <w:rsid w:val="00C028B6"/>
    <w:rsid w:val="00C045DA"/>
    <w:rsid w:val="00C04E64"/>
    <w:rsid w:val="00C360F8"/>
    <w:rsid w:val="00C4241F"/>
    <w:rsid w:val="00C53E8B"/>
    <w:rsid w:val="00C56CB9"/>
    <w:rsid w:val="00C64008"/>
    <w:rsid w:val="00C7061A"/>
    <w:rsid w:val="00C73BE0"/>
    <w:rsid w:val="00C73DA2"/>
    <w:rsid w:val="00C751A2"/>
    <w:rsid w:val="00C84C18"/>
    <w:rsid w:val="00C86F5D"/>
    <w:rsid w:val="00C90998"/>
    <w:rsid w:val="00C9451A"/>
    <w:rsid w:val="00CA2544"/>
    <w:rsid w:val="00CA5D78"/>
    <w:rsid w:val="00CB150E"/>
    <w:rsid w:val="00CB16C4"/>
    <w:rsid w:val="00CB74BC"/>
    <w:rsid w:val="00CC34F2"/>
    <w:rsid w:val="00CD04C0"/>
    <w:rsid w:val="00CE1EA0"/>
    <w:rsid w:val="00CE3CA5"/>
    <w:rsid w:val="00CF6306"/>
    <w:rsid w:val="00CF7D86"/>
    <w:rsid w:val="00D02DE7"/>
    <w:rsid w:val="00D11CAA"/>
    <w:rsid w:val="00D12BF8"/>
    <w:rsid w:val="00D20224"/>
    <w:rsid w:val="00D23009"/>
    <w:rsid w:val="00D24E40"/>
    <w:rsid w:val="00D27F97"/>
    <w:rsid w:val="00D37857"/>
    <w:rsid w:val="00D42FA7"/>
    <w:rsid w:val="00D4391D"/>
    <w:rsid w:val="00D51124"/>
    <w:rsid w:val="00D60042"/>
    <w:rsid w:val="00D76B09"/>
    <w:rsid w:val="00D81179"/>
    <w:rsid w:val="00D8610F"/>
    <w:rsid w:val="00D95BE2"/>
    <w:rsid w:val="00DA3A27"/>
    <w:rsid w:val="00DA715E"/>
    <w:rsid w:val="00DC6623"/>
    <w:rsid w:val="00DD253F"/>
    <w:rsid w:val="00DE48BF"/>
    <w:rsid w:val="00DF4E4C"/>
    <w:rsid w:val="00DF4F05"/>
    <w:rsid w:val="00DF50DB"/>
    <w:rsid w:val="00E20985"/>
    <w:rsid w:val="00E250BC"/>
    <w:rsid w:val="00E36445"/>
    <w:rsid w:val="00E61A74"/>
    <w:rsid w:val="00E663B2"/>
    <w:rsid w:val="00E81FE0"/>
    <w:rsid w:val="00E8732E"/>
    <w:rsid w:val="00E96EF2"/>
    <w:rsid w:val="00EA1A17"/>
    <w:rsid w:val="00EA25DC"/>
    <w:rsid w:val="00EB110B"/>
    <w:rsid w:val="00EB20A5"/>
    <w:rsid w:val="00EB3463"/>
    <w:rsid w:val="00EB6573"/>
    <w:rsid w:val="00EC1D98"/>
    <w:rsid w:val="00EC45AC"/>
    <w:rsid w:val="00ED2842"/>
    <w:rsid w:val="00EE618B"/>
    <w:rsid w:val="00EE69D5"/>
    <w:rsid w:val="00EE6F7B"/>
    <w:rsid w:val="00EF003F"/>
    <w:rsid w:val="00EF4C9B"/>
    <w:rsid w:val="00F06D33"/>
    <w:rsid w:val="00F117B6"/>
    <w:rsid w:val="00F126FE"/>
    <w:rsid w:val="00F14182"/>
    <w:rsid w:val="00F178A1"/>
    <w:rsid w:val="00F33446"/>
    <w:rsid w:val="00F35BF5"/>
    <w:rsid w:val="00F37722"/>
    <w:rsid w:val="00F47EC7"/>
    <w:rsid w:val="00F55126"/>
    <w:rsid w:val="00F57EB4"/>
    <w:rsid w:val="00F63D48"/>
    <w:rsid w:val="00F63D89"/>
    <w:rsid w:val="00F653F0"/>
    <w:rsid w:val="00F86704"/>
    <w:rsid w:val="00F96EB5"/>
    <w:rsid w:val="00FA57B7"/>
    <w:rsid w:val="00FA5D84"/>
    <w:rsid w:val="00FB19CF"/>
    <w:rsid w:val="00FE0DAF"/>
    <w:rsid w:val="00FF7A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83A13"/>
  <w15:chartTrackingRefBased/>
  <w15:docId w15:val="{CA50DAAB-9ACD-4920-8143-30E7D86E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E9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4485"/>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rsid w:val="00884485"/>
    <w:rPr>
      <w:rFonts w:ascii="Calibri" w:eastAsia="Calibri" w:hAnsi="Calibri" w:cs="Times New Roman"/>
      <w:lang w:val="en-GB"/>
    </w:rPr>
  </w:style>
  <w:style w:type="paragraph" w:styleId="Caption">
    <w:name w:val="caption"/>
    <w:basedOn w:val="Normal"/>
    <w:next w:val="Normal"/>
    <w:uiPriority w:val="35"/>
    <w:unhideWhenUsed/>
    <w:qFormat/>
    <w:rsid w:val="00884485"/>
    <w:rPr>
      <w:b/>
      <w:bCs/>
      <w:sz w:val="20"/>
      <w:szCs w:val="20"/>
    </w:rPr>
  </w:style>
  <w:style w:type="paragraph" w:styleId="Footer">
    <w:name w:val="footer"/>
    <w:basedOn w:val="Normal"/>
    <w:link w:val="FooterChar"/>
    <w:uiPriority w:val="99"/>
    <w:unhideWhenUsed/>
    <w:rsid w:val="00884485"/>
    <w:pPr>
      <w:tabs>
        <w:tab w:val="center" w:pos="4513"/>
        <w:tab w:val="right" w:pos="9026"/>
      </w:tabs>
    </w:pPr>
  </w:style>
  <w:style w:type="character" w:customStyle="1" w:styleId="FooterChar">
    <w:name w:val="Footer Char"/>
    <w:basedOn w:val="DefaultParagraphFont"/>
    <w:link w:val="Footer"/>
    <w:uiPriority w:val="99"/>
    <w:rsid w:val="0088448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2294B"/>
    <w:rPr>
      <w:sz w:val="16"/>
      <w:szCs w:val="16"/>
    </w:rPr>
  </w:style>
  <w:style w:type="paragraph" w:styleId="CommentText">
    <w:name w:val="annotation text"/>
    <w:basedOn w:val="Normal"/>
    <w:link w:val="CommentTextChar"/>
    <w:uiPriority w:val="99"/>
    <w:unhideWhenUsed/>
    <w:rsid w:val="0072294B"/>
    <w:pPr>
      <w:spacing w:after="200"/>
    </w:pPr>
    <w:rPr>
      <w:rFonts w:asciiTheme="minorHAnsi" w:eastAsiaTheme="minorHAnsi" w:hAnsiTheme="minorHAnsi" w:cstheme="minorBidi"/>
      <w:sz w:val="20"/>
      <w:szCs w:val="20"/>
      <w:lang w:val="en-IE"/>
    </w:rPr>
  </w:style>
  <w:style w:type="character" w:customStyle="1" w:styleId="CommentTextChar">
    <w:name w:val="Comment Text Char"/>
    <w:basedOn w:val="DefaultParagraphFont"/>
    <w:link w:val="CommentText"/>
    <w:uiPriority w:val="99"/>
    <w:rsid w:val="0072294B"/>
    <w:rPr>
      <w:sz w:val="20"/>
      <w:szCs w:val="20"/>
    </w:rPr>
  </w:style>
  <w:style w:type="paragraph" w:styleId="BalloonText">
    <w:name w:val="Balloon Text"/>
    <w:basedOn w:val="Normal"/>
    <w:link w:val="BalloonTextChar"/>
    <w:uiPriority w:val="99"/>
    <w:semiHidden/>
    <w:unhideWhenUsed/>
    <w:rsid w:val="00722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94B"/>
    <w:rPr>
      <w:rFonts w:ascii="Segoe UI" w:eastAsia="Times New Roman" w:hAnsi="Segoe UI" w:cs="Segoe UI"/>
      <w:sz w:val="18"/>
      <w:szCs w:val="18"/>
      <w:lang w:val="en-GB"/>
    </w:rPr>
  </w:style>
  <w:style w:type="character" w:styleId="Hyperlink">
    <w:name w:val="Hyperlink"/>
    <w:basedOn w:val="DefaultParagraphFont"/>
    <w:uiPriority w:val="99"/>
    <w:semiHidden/>
    <w:unhideWhenUsed/>
    <w:rsid w:val="00DF50DB"/>
    <w:rPr>
      <w:color w:val="0000FF"/>
      <w:u w:val="single"/>
    </w:rPr>
  </w:style>
  <w:style w:type="character" w:styleId="Emphasis">
    <w:name w:val="Emphasis"/>
    <w:basedOn w:val="DefaultParagraphFont"/>
    <w:uiPriority w:val="20"/>
    <w:qFormat/>
    <w:rsid w:val="00DF50DB"/>
    <w:rPr>
      <w:i/>
      <w:iCs/>
    </w:rPr>
  </w:style>
  <w:style w:type="paragraph" w:styleId="ListParagraph">
    <w:name w:val="List Paragraph"/>
    <w:basedOn w:val="Normal"/>
    <w:uiPriority w:val="34"/>
    <w:qFormat/>
    <w:rsid w:val="00841A1A"/>
    <w:pPr>
      <w:spacing w:after="160" w:line="259" w:lineRule="auto"/>
      <w:ind w:left="720"/>
      <w:contextualSpacing/>
    </w:pPr>
    <w:rPr>
      <w:rFonts w:asciiTheme="minorHAnsi" w:eastAsiaTheme="minorHAnsi" w:hAnsiTheme="minorHAnsi" w:cstheme="minorBidi"/>
      <w:sz w:val="22"/>
      <w:szCs w:val="22"/>
      <w:lang w:val="en-IE"/>
    </w:rPr>
  </w:style>
  <w:style w:type="paragraph" w:styleId="Revision">
    <w:name w:val="Revision"/>
    <w:hidden/>
    <w:uiPriority w:val="99"/>
    <w:semiHidden/>
    <w:rsid w:val="00D4391D"/>
    <w:pPr>
      <w:spacing w:after="0" w:line="240" w:lineRule="auto"/>
    </w:pPr>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C04E64"/>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C04E6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37126">
      <w:bodyDiv w:val="1"/>
      <w:marLeft w:val="0"/>
      <w:marRight w:val="0"/>
      <w:marTop w:val="0"/>
      <w:marBottom w:val="0"/>
      <w:divBdr>
        <w:top w:val="none" w:sz="0" w:space="0" w:color="auto"/>
        <w:left w:val="none" w:sz="0" w:space="0" w:color="auto"/>
        <w:bottom w:val="none" w:sz="0" w:space="0" w:color="auto"/>
        <w:right w:val="none" w:sz="0" w:space="0" w:color="auto"/>
      </w:divBdr>
    </w:div>
    <w:div w:id="913508686">
      <w:bodyDiv w:val="1"/>
      <w:marLeft w:val="0"/>
      <w:marRight w:val="0"/>
      <w:marTop w:val="0"/>
      <w:marBottom w:val="0"/>
      <w:divBdr>
        <w:top w:val="none" w:sz="0" w:space="0" w:color="auto"/>
        <w:left w:val="none" w:sz="0" w:space="0" w:color="auto"/>
        <w:bottom w:val="none" w:sz="0" w:space="0" w:color="auto"/>
        <w:right w:val="none" w:sz="0" w:space="0" w:color="auto"/>
      </w:divBdr>
    </w:div>
    <w:div w:id="1139148464">
      <w:bodyDiv w:val="1"/>
      <w:marLeft w:val="0"/>
      <w:marRight w:val="0"/>
      <w:marTop w:val="0"/>
      <w:marBottom w:val="0"/>
      <w:divBdr>
        <w:top w:val="none" w:sz="0" w:space="0" w:color="auto"/>
        <w:left w:val="none" w:sz="0" w:space="0" w:color="auto"/>
        <w:bottom w:val="none" w:sz="0" w:space="0" w:color="auto"/>
        <w:right w:val="none" w:sz="0" w:space="0" w:color="auto"/>
      </w:divBdr>
    </w:div>
    <w:div w:id="13322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AE4B9AAEECF4EAD0A6640EC52C338" ma:contentTypeVersion="10" ma:contentTypeDescription="Create a new document." ma:contentTypeScope="" ma:versionID="70572947c0425bea0e3ac542d4eece54">
  <xsd:schema xmlns:xsd="http://www.w3.org/2001/XMLSchema" xmlns:xs="http://www.w3.org/2001/XMLSchema" xmlns:p="http://schemas.microsoft.com/office/2006/metadata/properties" xmlns:ns3="ec32989c-1330-4a59-afed-f9f7248c63b9" targetNamespace="http://schemas.microsoft.com/office/2006/metadata/properties" ma:root="true" ma:fieldsID="7825b1df6c3dd4e6658f2877fc6b1706" ns3:_="">
    <xsd:import namespace="ec32989c-1330-4a59-afed-f9f7248c63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2989c-1330-4a59-afed-f9f7248c6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3E25-D9A6-4C82-9CAD-1779E5349D60}">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c32989c-1330-4a59-afed-f9f7248c63b9"/>
    <ds:schemaRef ds:uri="http://www.w3.org/XML/1998/namespace"/>
  </ds:schemaRefs>
</ds:datastoreItem>
</file>

<file path=customXml/itemProps2.xml><?xml version="1.0" encoding="utf-8"?>
<ds:datastoreItem xmlns:ds="http://schemas.openxmlformats.org/officeDocument/2006/customXml" ds:itemID="{6A1035FD-2B2D-4E2B-97E0-254280AC00FE}">
  <ds:schemaRefs>
    <ds:schemaRef ds:uri="http://schemas.microsoft.com/sharepoint/v3/contenttype/forms"/>
  </ds:schemaRefs>
</ds:datastoreItem>
</file>

<file path=customXml/itemProps3.xml><?xml version="1.0" encoding="utf-8"?>
<ds:datastoreItem xmlns:ds="http://schemas.openxmlformats.org/officeDocument/2006/customXml" ds:itemID="{8610365B-4A5D-4A17-884E-DFEF640CA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2989c-1330-4a59-afed-f9f7248c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6FDCD-3375-478D-8506-1CC3085B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Rischi Robinson (Walsh Scholar)</dc:creator>
  <cp:keywords/>
  <dc:description/>
  <cp:lastModifiedBy>Rischi Robinson (Walsh Scholar)</cp:lastModifiedBy>
  <cp:revision>4</cp:revision>
  <dcterms:created xsi:type="dcterms:W3CDTF">2025-01-13T11:07:00Z</dcterms:created>
  <dcterms:modified xsi:type="dcterms:W3CDTF">2025-01-13T14:47:00Z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http://www.zotero.org/styles/journal-of-animal-science</vt:lpwstr>
  </property>
  <property fmtid="{D5CDD505-2E9C-101B-9397-08002B2CF9AE}" pid="15" name="Mendeley Recent Style Name 6_1">
    <vt:lpwstr>Journal of Animal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http://www.zotero.org/styles/animal</vt:lpwstr>
  </property>
  <property fmtid="{D5CDD505-2E9C-101B-9397-08002B2CF9AE}" pid="21" name="Mendeley Recent Style Name 9_1">
    <vt:lpwstr>animal</vt:lpwstr>
  </property>
  <property fmtid="{D5CDD505-2E9C-101B-9397-08002B2CF9AE}" pid="22" name="Mendeley Document_1">
    <vt:lpwstr>True</vt:lpwstr>
  </property>
  <property fmtid="{D5CDD505-2E9C-101B-9397-08002B2CF9AE}" pid="23" name="Mendeley Unique User Id_1">
    <vt:lpwstr>407bc5f5-ce66-3a51-b4be-3a0f27611a2d</vt:lpwstr>
  </property>
  <property fmtid="{D5CDD505-2E9C-101B-9397-08002B2CF9AE}" pid="24" name="Mendeley Citation Style_1">
    <vt:lpwstr>http://www.zotero.org/styles/animal</vt:lpwstr>
  </property>
  <property fmtid="{D5CDD505-2E9C-101B-9397-08002B2CF9AE}" pid="25" name="ContentTypeId">
    <vt:lpwstr>0x010100DE8AE4B9AAEECF4EAD0A6640EC52C338</vt:lpwstr>
  </property>
</Properties>
</file>